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mpp-mes-data-model-reference"/>
    <w:p>
      <w:pPr>
        <w:pStyle w:val="Heading1"/>
      </w:pPr>
      <w:r>
        <w:t xml:space="preserve">MPP MES — Data Model Reference</w:t>
      </w:r>
    </w:p>
    <w:p>
      <w:pPr>
        <w:pStyle w:val="FirstParagraph"/>
      </w:pPr>
      <w:r>
        <w:rPr>
          <w:b/>
          <w:bCs/>
        </w:rPr>
        <w:t xml:space="preserve">Version:</w:t>
      </w:r>
      <w:r>
        <w:t xml:space="preserve"> </w:t>
      </w:r>
      <w:r>
        <w:t xml:space="preserve">v1.8 working draft (rev 2026-04-22 — OI-11 reverted, see revision history)</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~72</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p>
            <w:pPr>
              <w:pStyle w:val="Compact"/>
            </w:pPr>
            <w:r>
              <w:t xml:space="preserve">0.4.1</w:t>
            </w:r>
          </w:p>
        </w:tc>
        <w:tc>
          <w:tcPr/>
          <w:p>
            <w:pPr>
              <w:pStyle w:val="Compact"/>
            </w:pPr>
            <w:r>
              <w:t xml:space="preserve">2026-04-10</w:t>
            </w:r>
          </w:p>
        </w:tc>
        <w:tc>
          <w:tcPr/>
          <w:p>
            <w:pPr>
              <w:pStyle w:val="Compact"/>
            </w:pPr>
            <w:r>
              <w:t xml:space="preserve">Blue Ridge Automation</w:t>
            </w:r>
          </w:p>
        </w:tc>
        <w:tc>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p>
            <w:pPr>
              <w:pStyle w:val="Compact"/>
            </w:pPr>
            <w:r>
              <w:t xml:space="preserve">0.5.1</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shd w:val="clear" w:color="auto" w:fill="F2F2F2"/>
          </w:tcPr>
          <w:tcPr/>
          <w:p>
            <w:pPr>
              <w:pStyle w:val="Compact"/>
            </w:pPr>
            <w:r>
              <w:t xml:space="preserve">0.6</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p>
            <w:pPr>
              <w:pStyle w:val="Compact"/>
            </w:pPr>
            <w:r>
              <w:t xml:space="preserve">1.1</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shd w:val="clear" w:color="auto" w:fill="F2F2F2"/>
          </w:tcPr>
          <w:tcPr/>
          <w:p>
            <w:pPr>
              <w:pStyle w:val="Compact"/>
            </w:pPr>
            <w:r>
              <w:t xml:space="preserve">1.8</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p>
            <w:pPr>
              <w:pStyle w:val="Compact"/>
            </w:pPr>
            <w:r>
              <w:t xml:space="preserve">1.8-rev</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shd w:val="clear" w:color="auto" w:fill="F2F2F2"/>
          </w:tcPr>
          <w:tcPr/>
          <w:p>
            <w:pPr>
              <w:pStyle w:val="Compact"/>
            </w:pPr>
            <w:r>
              <w:t xml:space="preserve">1.7</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p>
            <w:pPr>
              <w:pStyle w:val="Compact"/>
            </w:pPr>
            <w:r>
              <w:t xml:space="preserve">1.6</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shd w:val="clear" w:color="auto" w:fill="F2F2F2"/>
          </w:tcPr>
          <w:tcPr/>
          <w:p>
            <w:pPr>
              <w:pStyle w:val="Compact"/>
            </w:pPr>
            <w:r>
              <w:t xml:space="preserve">1.5</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p>
            <w:pPr>
              <w:pStyle w:val="Compact"/>
            </w:pPr>
            <w:r>
              <w:t xml:space="preserve">1.4</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shd w:val="clear" w:color="auto" w:fill="F2F2F2"/>
          </w:tcPr>
          <w:tcPr/>
          <w:p>
            <w:pPr>
              <w:pStyle w:val="Compact"/>
            </w:pPr>
            <w:r>
              <w:t xml:space="preserve">1.3</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p>
            <w:pPr>
              <w:pStyle w:val="Compact"/>
            </w:pPr>
            <w:r>
              <w:t xml:space="preserve">1.2</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shd w:val="clear" w:color="auto" w:fill="F2F2F2"/>
          </w:tcPr>
          <w:tcPr/>
          <w:p>
            <w:pPr>
              <w:pStyle w:val="Compact"/>
            </w:pPr>
            <w:r>
              <w:t xml:space="preserve">1.0</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p>
            <w:pPr>
              <w:pStyle w:val="Compact"/>
            </w:pPr>
            <w:r>
              <w:t xml:space="preserve">0.9</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shd w:val="clear" w:color="auto" w:fill="F2F2F2"/>
          </w:tcPr>
          <w:tcPr/>
          <w:p>
            <w:pPr>
              <w:pStyle w:val="Compact"/>
            </w:pPr>
            <w:r>
              <w:t xml:space="preserve">0.8</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p>
            <w:pPr>
              <w:pStyle w:val="Compact"/>
            </w:pPr>
            <w:r>
              <w:t xml:space="preserve">0.7</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All enum and status values are code-table backed with FK — no free-text enums, no magic integers</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1"/>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NumberOfCavities</w:t>
      </w:r>
      <w:r>
        <w:t xml:space="preserve">,</w:t>
      </w:r>
      <w:r>
        <w:t xml:space="preserve"> </w:t>
      </w:r>
      <w:r>
        <w:rPr>
          <w:rStyle w:val="VerbatimChar"/>
        </w:rPr>
        <w:t xml:space="preserve">RefCycleTimeSec</w:t>
      </w:r>
      <w:r>
        <w:t xml:space="preserve">. Different definitions carry different attribute sets.</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 all open LOTs). Scan-in mutation rejects when cumulative lineside quantity would exceed this. Added v1.8 (OI-12). Complements</w:t>
            </w:r>
            <w:r>
              <w:t xml:space="preserve"> </w:t>
            </w:r>
            <w:r>
              <w:rPr>
                <w:rStyle w:val="VerbatimChar"/>
              </w:rPr>
              <w:t xml:space="preserve">Parts.ContainerConfig.MaxParts</w:t>
            </w:r>
            <w:r>
              <w:t xml:space="preserve"> </w:t>
            </w:r>
            <w:r>
              <w:t xml:space="preserve">which caps per-container;</w:t>
            </w:r>
            <w:r>
              <w:t xml:space="preserve"> </w:t>
            </w:r>
            <w:r>
              <w:rPr>
                <w:rStyle w:val="VerbatimChar"/>
              </w:rPr>
              <w:t xml:space="preserve">LinesideLimit</w:t>
            </w:r>
            <w:r>
              <w:t xml:space="preserve"> </w:t>
            </w:r>
            <w:r>
              <w:t xml:space="preserve">caps per-location.</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w:t>
      </w:r>
      <w:r>
        <w:t xml:space="preserve"> </w:t>
      </w:r>
      <w:r>
        <w:t xml:space="preserve">Terminals are shared, not 1:1 with machines. Operators scan a machine barcode/QR code as the first step of any interaction.</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bookmarkEnd w:id="17"/>
    <w:bookmarkStart w:id="18" w:name="appuser"/>
    <w:p>
      <w:pPr>
        <w:pStyle w:val="Heading3"/>
      </w:pPr>
      <w:r>
        <w:t xml:space="preserve">AppUser</w:t>
      </w:r>
    </w:p>
    <w:p>
      <w:pPr>
        <w:pStyle w:val="FirstParagraph"/>
      </w:pPr>
      <w:r>
        <w:t xml:space="preserve">MES users in two classes (FDS §4):</w:t>
      </w:r>
    </w:p>
    <w:p>
      <w:pPr>
        <w:pStyle w:val="Compact"/>
        <w:numPr>
          <w:ilvl w:val="0"/>
          <w:numId w:val="1003"/>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initials entered at a terminal; no authentication. Managed via the Configuration Tool Admin screen.</w:t>
      </w:r>
    </w:p>
    <w:p>
      <w:pPr>
        <w:pStyle w:val="Compact"/>
        <w:numPr>
          <w:ilvl w:val="0"/>
          <w:numId w:val="1003"/>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w:t>
      </w:r>
    </w:p>
    <w:p>
      <w:pPr>
        <w:pStyle w:val="FirstParagraph"/>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w:t>
            </w:r>
          </w:p>
        </w:tc>
      </w:tr>
      <w:tr>
        <w:tc>
          <w:tcPr/>
          <w:p>
            <w:pPr>
              <w:pStyle w:val="Compact"/>
            </w:pPr>
            <w:r>
              <w:t xml:space="preserve">AdAccount</w:t>
            </w:r>
          </w:p>
        </w:tc>
        <w:tc>
          <w:tcPr/>
          <w:p>
            <w:pPr>
              <w:pStyle w:val="Compact"/>
            </w:pPr>
            <w:r>
              <w:t xml:space="preserve">NVARCHAR(100)</w:t>
            </w:r>
          </w:p>
        </w:tc>
        <w:tc>
          <w:tcPr/>
          <w:p>
            <w:pPr>
              <w:pStyle w:val="Compact"/>
            </w:pPr>
            <w:r>
              <w:t xml:space="preserve">NULL, filtered UNIQUE where NOT NULL</w:t>
            </w:r>
          </w:p>
        </w:tc>
        <w:tc>
          <w:tcPr/>
          <w:p>
            <w:pPr>
              <w:pStyle w:val="Compact"/>
            </w:pPr>
            <w:r>
              <w:t xml:space="preserve">Active Directory identity. NULL for Operator class, NOT NULL for Interactive Users.</w:t>
            </w:r>
          </w:p>
        </w:tc>
      </w:tr>
      <w:tr>
        <w:tc>
          <w:tcPr>
            <w:shd w:val="clear" w:color="auto" w:fill="F2F2F2"/>
          </w:tcPr>
          <w:tcPr/>
          <w:p>
            <w:pPr>
              <w:pStyle w:val="Compact"/>
            </w:pPr>
            <w:r>
              <w:t xml:space="preserve">DisplayName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IgnitionRole</w:t>
            </w:r>
          </w:p>
        </w:tc>
        <w:tc>
          <w:tcPr/>
          <w:p>
            <w:pPr>
              <w:pStyle w:val="Compact"/>
            </w:pPr>
            <w:r>
              <w:t xml:space="preserve">NVARCHAR(100)</w:t>
            </w:r>
          </w:p>
        </w:tc>
        <w:tc>
          <w:tcPr/>
          <w:p>
            <w:pPr>
              <w:pStyle w:val="Compact"/>
            </w:pPr>
            <w:r>
              <w:t xml:space="preserve">NULL</w:t>
            </w:r>
          </w:p>
        </w:tc>
        <w:tc>
          <w:tcPr/>
          <w:p>
            <w:pPr>
              <w:pStyle w:val="Compact"/>
            </w:pPr>
            <w:r>
              <w:t xml:space="preserve">NULL for Operator class. References Ignition’s internal role config for Interactive Users.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Check constraint:</w:t>
      </w:r>
      <w:r>
        <w:t xml:space="preserve"> </w:t>
      </w:r>
      <w:r>
        <w:rPr>
          <w:rStyle w:val="VerbatimChar"/>
        </w:rPr>
        <w:t xml:space="preserve">IgnitionRole IS NULL OR AdAccount IS NOT NULL</w:t>
      </w:r>
      <w:r>
        <w:t xml:space="preserve"> </w:t>
      </w:r>
      <w:r>
        <w:t xml:space="preserve">— an Operator (no AD) cannot carry an Ignition role; roles apply only to AD-backed users.</w:t>
      </w:r>
    </w:p>
    <w:p>
      <w:pPr>
        <w:pStyle w:val="BodyText"/>
      </w:pPr>
      <w:r>
        <w:rPr>
          <w:b/>
          <w:bCs/>
        </w:rPr>
        <w:t xml:space="preserve">Legacy columns to be removed in the Phase G Tool &amp; Security migration</w:t>
      </w:r>
      <w:r>
        <w:t xml:space="preserve"> </w:t>
      </w:r>
      <w:r>
        <w:t xml:space="preserve">(Phase G of the 2026-04-20 OI review refactor):</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are no longer used by the design. They remain in the live schema from Phases 1–8 and will be dropped alongside the related procs (</w:t>
      </w:r>
      <w:r>
        <w:rPr>
          <w:rStyle w:val="VerbatimChar"/>
        </w:rPr>
        <w:t xml:space="preserve">AppUser_SetPin</w:t>
      </w:r>
      <w:r>
        <w:t xml:space="preserve">,</w:t>
      </w:r>
      <w:r>
        <w:t xml:space="preserve"> </w:t>
      </w:r>
      <w:r>
        <w:rPr>
          <w:rStyle w:val="VerbatimChar"/>
        </w:rPr>
        <w:t xml:space="preserve">AppUser_GetByClockNumber</w:t>
      </w:r>
      <w:r>
        <w:t xml:space="preserve">) when Phase G runs.</w:t>
      </w:r>
    </w:p>
    <w:p>
      <w:r>
        <w:pict>
          <v:rect style="width:0;height:1.5pt" o:hralign="center" o:hrstd="t" o:hr="t"/>
        </w:pict>
      </w:r>
    </w:p>
    <w:bookmarkEnd w:id="18"/>
    <w:bookmarkEnd w:id="19"/>
    <w:bookmarkStart w:id="34"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t xml:space="preserve">Reasonability check ceiling</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Uom.Id, NOT NULL</w:t>
            </w:r>
          </w:p>
        </w:tc>
        <w:tc>
          <w:tcPr>
            <w:shd w:val="clear" w:color="auto" w:fill="F2F2F2"/>
          </w:tcPr>
          <w:tcPr/>
          <w:p>
            <w:pPr>
              <w:pStyle w:val="Compact"/>
            </w:pPr>
            <w:r>
              <w:t xml:space="preserve">Counting UOM</w:t>
            </w:r>
          </w:p>
        </w:tc>
      </w:tr>
      <w:tr>
        <w:tc>
          <w:tcPr/>
          <w:p>
            <w:pPr>
              <w:pStyle w:val="Compact"/>
            </w:pPr>
            <w:r>
              <w:t xml:space="preserve">UnitWeight</w:t>
            </w:r>
          </w:p>
        </w:tc>
        <w:tc>
          <w:tcPr/>
          <w:p>
            <w:pPr>
              <w:pStyle w:val="Compact"/>
            </w:pPr>
            <w:r>
              <w:t xml:space="preserve">DECIMAL(10,4)</w:t>
            </w:r>
          </w:p>
        </w:tc>
        <w:tc>
          <w:tcPr/>
          <w:p>
            <w:pPr>
              <w:pStyle w:val="Compact"/>
            </w:pPr>
            <w:r>
              <w:t xml:space="preserve">NULL</w:t>
            </w:r>
          </w:p>
        </w:tc>
        <w:tc>
          <w:tcPr/>
          <w:p>
            <w:pPr>
              <w:pStyle w:val="Compact"/>
            </w:pPr>
            <w:r>
              <w:t xml:space="preserve">Weight per piece</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Uom.Id, NULL</w:t>
            </w:r>
          </w:p>
        </w:tc>
        <w:tc>
          <w:tcPr>
            <w:shd w:val="clear" w:color="auto" w:fill="F2F2F2"/>
          </w:tcPr>
          <w:tcPr/>
          <w:p>
            <w:pPr>
              <w:pStyle w:val="Compact"/>
            </w:pPr>
            <w:r>
              <w:t xml:space="preserve">Weight UOM</w:t>
            </w:r>
          </w:p>
        </w:tc>
      </w:tr>
      <w:tr>
        <w:tc>
          <w:tcPr/>
          <w:p>
            <w:pPr>
              <w:pStyle w:val="Compact"/>
            </w:pPr>
            <w:r>
              <w:t xml:space="preserve">CountryOfOrigin</w:t>
            </w:r>
          </w:p>
        </w:tc>
        <w:tc>
          <w:tcPr/>
          <w:p>
            <w:pPr>
              <w:pStyle w:val="Compact"/>
            </w:pPr>
            <w:r>
              <w:t xml:space="preserve">NVARCHAR(2)</w:t>
            </w:r>
          </w:p>
        </w:tc>
        <w:tc>
          <w:tcPr/>
          <w:p>
            <w:pPr>
              <w:pStyle w:val="Compact"/>
            </w:pPr>
            <w:r>
              <w:t xml:space="preserve">NULL</w:t>
            </w:r>
          </w:p>
        </w:tc>
        <w:tc>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2"/>
    <w:bookmarkStart w:id="23"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AreaLocationId</w:t>
            </w:r>
          </w:p>
        </w:tc>
        <w:tc>
          <w:tcPr/>
          <w:p>
            <w:pPr>
              <w:pStyle w:val="Compact"/>
            </w:pPr>
            <w:r>
              <w:t xml:space="preserve">BIGINT</w:t>
            </w:r>
          </w:p>
        </w:tc>
        <w:tc>
          <w:tcPr/>
          <w:p>
            <w:pPr>
              <w:pStyle w:val="Compact"/>
            </w:pPr>
            <w:r>
              <w:t xml:space="preserve">FK → Location.Id, NOT NULL</w:t>
            </w:r>
          </w:p>
        </w:tc>
        <w:tc>
          <w:tcPr/>
          <w:p>
            <w:pPr>
              <w:pStyle w:val="Compact"/>
            </w:pPr>
            <w:r>
              <w:t xml:space="preserve">Area (ISA-95 Area, organizational grouping)</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itemlocation"/>
    <w:p>
      <w:pPr>
        <w:pStyle w:val="Heading3"/>
      </w:pPr>
      <w:r>
        <w:t xml:space="preserve">ItemLocation</w:t>
      </w:r>
    </w:p>
    <w:p>
      <w:pPr>
        <w:pStyle w:val="FirstParagraph"/>
      </w:pPr>
      <w:r>
        <w:t xml:space="preserve">Part-to-location eligibility (which parts can run on which machines)</w:t>
      </w:r>
      <w:r>
        <w:t xml:space="preserve"> </w:t>
      </w:r>
      <w:r>
        <w:rPr>
          <w:b/>
          <w:bCs/>
        </w:rPr>
        <w:t xml:space="preserve">plus consumption metadata</w:t>
      </w:r>
      <w:r>
        <w:t xml:space="preserve"> </w:t>
      </w:r>
      <w:r>
        <w:t xml:space="preserve">for runtime Allocations (added v1.8, OI-18).</w:t>
      </w:r>
    </w:p>
    <w:p>
      <w:pPr>
        <w:pStyle w:val="BodyText"/>
      </w:pPr>
      <w:r>
        <w:t xml:space="preserve">v1.8 extends this junction with 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at the workstation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Output cells (produce-at) carry</w:t>
      </w:r>
      <w:r>
        <w:t xml:space="preserve"> </w:t>
      </w:r>
      <w:r>
        <w:rPr>
          <w:rStyle w:val="VerbatimChar"/>
        </w:rPr>
        <w:t xml:space="preserve">IsConsumptionPoint = 0</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Machine or work cell</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t xml:space="preserve">Maximum pieces per scan-in — rejects over-scan. Added v1.8 (OI-18).</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0"/>
    <w:bookmarkStart w:id="31"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MaxParts</w:t>
            </w:r>
          </w:p>
        </w:tc>
        <w:tc>
          <w:tcPr/>
          <w:p>
            <w:pPr>
              <w:pStyle w:val="Compact"/>
            </w:pPr>
            <w:r>
              <w:t xml:space="preserve">INT</w:t>
            </w:r>
          </w:p>
        </w:tc>
        <w:tc>
          <w:tcPr/>
          <w:p>
            <w:pPr>
              <w:pStyle w:val="Compact"/>
            </w:pPr>
            <w:r>
              <w:t xml:space="preserve">NULL</w:t>
            </w:r>
          </w:p>
        </w:tc>
        <w:tc>
          <w:tcPr/>
          <w:p>
            <w:pPr>
              <w:pStyle w:val="Compact"/>
            </w:pPr>
            <w:r>
              <w:t xml:space="preserve">Hard cap on pieces per container regardless of trays/parts math. Scan-in mutation rejects when cumulative container quantity would exceed this. Added v1.8 (OI-12) to stop lineside over-scanning.</w:t>
            </w:r>
          </w:p>
        </w:tc>
      </w:tr>
      <w:tr>
        <w:tc>
          <w:tcPr>
            <w:shd w:val="clear" w:color="auto" w:fill="F2F2F2"/>
          </w:tcPr>
          <w:tcPr/>
          <w:p>
            <w:pPr>
              <w:pStyle w:val="Compact"/>
            </w:pPr>
            <w:r>
              <w:t xml:space="preserve">IsSerialized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ClosureMethod</w:t>
            </w:r>
          </w:p>
        </w:tc>
        <w:tc>
          <w:tcPr/>
          <w:p>
            <w:pPr>
              <w:pStyle w:val="Compact"/>
            </w:pPr>
            <w:r>
              <w:t xml:space="preserve">NVARCHAR(20)</w:t>
            </w:r>
          </w:p>
        </w:tc>
        <w:tc>
          <w:tcPr/>
          <w:p>
            <w:pPr>
              <w:pStyle w:val="Compact"/>
            </w:pPr>
            <w:r>
              <w:t xml:space="preserve">NULL</w:t>
            </w:r>
          </w:p>
        </w:tc>
        <w:tc>
          <w:tcPr/>
          <w:p>
            <w:pPr>
              <w:pStyle w:val="Compact"/>
            </w:pPr>
            <w:r>
              <w:rPr>
                <w:rStyle w:val="VerbatimChar"/>
              </w:rPr>
              <w:t xml:space="preserve">BY_COUNT</w:t>
            </w:r>
            <w:r>
              <w:t xml:space="preserve"> </w:t>
            </w:r>
            <w:r>
              <w:t xml:space="preserve">or</w:t>
            </w:r>
            <w:r>
              <w:t xml:space="preserve"> </w:t>
            </w:r>
            <w:r>
              <w:rPr>
                <w:rStyle w:val="VerbatimChar"/>
              </w:rPr>
              <w:t xml:space="preserve">BY_WEIGHT</w:t>
            </w:r>
            <w:r>
              <w:t xml:space="preserve">. Added in Phase 4 pending OI-02 closure.</w:t>
            </w:r>
          </w:p>
        </w:tc>
      </w:tr>
      <w:tr>
        <w:tc>
          <w:tcPr>
            <w:shd w:val="clear" w:color="auto" w:fill="F2F2F2"/>
          </w:tcPr>
          <w:tcPr/>
          <w:p>
            <w:pPr>
              <w:pStyle w:val="Compact"/>
            </w:pPr>
            <w:r>
              <w:t xml:space="preserve">TargetWeight</w:t>
            </w:r>
          </w:p>
        </w:tc>
        <w:tc>
          <w:tcPr>
            <w:shd w:val="clear" w:color="auto" w:fill="F2F2F2"/>
          </w:tcPr>
          <w:tcPr/>
          <w:p>
            <w:pPr>
              <w:pStyle w:val="Compact"/>
            </w:pPr>
            <w:r>
              <w:t xml:space="preserve">DECIMAL(10,4)</w:t>
            </w:r>
          </w:p>
        </w:tc>
        <w:tc>
          <w:tcPr>
            <w:shd w:val="clear" w:color="auto" w:fill="F2F2F2"/>
          </w:tcPr>
          <w:tcPr/>
          <w:p>
            <w:pPr>
              <w:pStyle w:val="Compact"/>
            </w:pPr>
            <w:r>
              <w:t xml:space="preserve">NULL</w:t>
            </w:r>
          </w:p>
        </w:tc>
        <w:tc>
          <w:tcPr>
            <w:shd w:val="clear" w:color="auto" w:fill="F2F2F2"/>
          </w:tcPr>
          <w:tcPr/>
          <w:p>
            <w:pPr>
              <w:pStyle w:val="Compact"/>
            </w:pPr>
            <w:r>
              <w:t xml:space="preserve">Target weight for BY_WEIGHT closure. Added in Phase 4 pending OI-02 closure.</w:t>
            </w:r>
          </w:p>
        </w:tc>
      </w:tr>
      <w:tr>
        <w:tc>
          <w:tcPr/>
          <w:p>
            <w:pPr>
              <w:pStyle w:val="Compact"/>
            </w:pPr>
            <w:r>
              <w:t xml:space="preserve">DunnageCode</w:t>
            </w:r>
          </w:p>
        </w:tc>
        <w:tc>
          <w:tcPr/>
          <w:p>
            <w:pPr>
              <w:pStyle w:val="Compact"/>
            </w:pPr>
            <w:r>
              <w:t xml:space="preserve">NVARCHAR(50)</w:t>
            </w:r>
          </w:p>
        </w:tc>
        <w:tc>
          <w:tcPr/>
          <w:p>
            <w:pPr>
              <w:pStyle w:val="Compact"/>
            </w:pPr>
            <w:r>
              <w:t xml:space="preserve">NULL</w:t>
            </w:r>
          </w:p>
        </w:tc>
        <w:tc>
          <w:tcPr/>
          <w:p>
            <w:pPr>
              <w:pStyle w:val="Compact"/>
            </w:pPr>
            <w:r>
              <w:t xml:space="preserve">Returnable dunnage identifier</w:t>
            </w:r>
          </w:p>
        </w:tc>
      </w:tr>
      <w:tr>
        <w:tc>
          <w:tcPr>
            <w:shd w:val="clear" w:color="auto" w:fill="F2F2F2"/>
          </w:tcPr>
          <w:tcPr/>
          <w:p>
            <w:pPr>
              <w:pStyle w:val="Compact"/>
            </w:pPr>
            <w:r>
              <w:t xml:space="preserve">CustomerCode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Honda customer code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1"/>
    <w:bookmarkStart w:id="32" w:name="Xa23e193ffd3b16e17bb30c0d98b27fecf839dc2"/>
    <w:p>
      <w:pPr>
        <w:pStyle w:val="Heading3"/>
      </w:pPr>
      <w:r>
        <w:t xml:space="preserve">✅ Resolved (v1.8 rev): Casting → Trim Part Identity Change → 1-line BOM</w:t>
      </w:r>
    </w:p>
    <w:p>
      <w:pPr>
        <w:pStyle w:val="BlockText"/>
      </w:pPr>
      <w:r>
        <w:rPr>
          <w:b/>
          <w:bCs/>
        </w:rPr>
        <w:t xml:space="preserve">OI-11 resolution (2026-04-22):</w:t>
      </w:r>
      <w:r>
        <w:t xml:space="preserve"> </w:t>
      </w:r>
      <w:r>
        <w:t xml:space="preserve">An earlier v1.8 draft added a dedicated</w:t>
      </w:r>
      <w:r>
        <w:t xml:space="preserve"> </w:t>
      </w:r>
      <w:r>
        <w:rPr>
          <w:rStyle w:val="VerbatimChar"/>
        </w:rPr>
        <w:t xml:space="preserve">Parts.ItemTransform</w:t>
      </w:r>
      <w:r>
        <w:t xml:space="preserve"> </w:t>
      </w:r>
      <w:r>
        <w:t xml:space="preserve">table to bridge the Casting → Trim part-identity change. On review it was redundant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OperatorId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cast piece becomes one trim piece) is just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5G0-CAST-4102</w:t>
      </w:r>
      <w:r>
        <w:t xml:space="preserve"> </w:t>
      </w:r>
      <w:r>
        <w:t xml:space="preserve">on the trim part.</w:t>
      </w:r>
    </w:p>
    <w:p>
      <w:pPr>
        <w:pStyle w:val="BlockText"/>
      </w:pPr>
      <w:r>
        <w:rPr>
          <w:b/>
          <w:bCs/>
        </w:rPr>
        <w:t xml:space="preserve">Modelled as:</w:t>
      </w:r>
    </w:p>
    <w:p>
      <w:pPr>
        <w:pStyle w:val="Compact"/>
        <w:numPr>
          <w:ilvl w:val="0"/>
          <w:numId w:val="1004"/>
        </w:numPr>
      </w:pPr>
      <w:r>
        <w:rPr>
          <w:rStyle w:val="VerbatimChar"/>
        </w:rPr>
        <w:t xml:space="preserve">Parts.Item</w:t>
      </w:r>
      <w:r>
        <w:t xml:space="preserve"> </w:t>
      </w:r>
      <w:r>
        <w:t xml:space="preserve">has two rows for the same physical part:</w:t>
      </w:r>
      <w:r>
        <w:t xml:space="preserve"> </w:t>
      </w:r>
      <w:r>
        <w:rPr>
          <w:rStyle w:val="VerbatimChar"/>
        </w:rPr>
        <w:t xml:space="preserve">5G0-CAST-4102</w:t>
      </w:r>
      <w:r>
        <w:t xml:space="preserve"> </w:t>
      </w:r>
      <w:r>
        <w:t xml:space="preserve">(Component) and</w:t>
      </w:r>
      <w:r>
        <w:t xml:space="preserve"> </w:t>
      </w:r>
      <w:r>
        <w:rPr>
          <w:rStyle w:val="VerbatimChar"/>
        </w:rPr>
        <w:t xml:space="preserve">5G0-TRIM-4102</w:t>
      </w:r>
      <w:r>
        <w:t xml:space="preserve"> </w:t>
      </w:r>
      <w:r>
        <w:t xml:space="preserve">(Sub-Assembly or Component depending on downstream use).</w:t>
      </w:r>
    </w:p>
    <w:p>
      <w:pPr>
        <w:pStyle w:val="Compact"/>
        <w:numPr>
          <w:ilvl w:val="0"/>
          <w:numId w:val="1004"/>
        </w:numPr>
      </w:pPr>
      <w:r>
        <w:rPr>
          <w:rStyle w:val="VerbatimChar"/>
        </w:rPr>
        <w:t xml:space="preserve">Parts.Bom</w:t>
      </w:r>
      <w:r>
        <w:t xml:space="preserve"> </w:t>
      </w:r>
      <w:r>
        <w:t xml:space="preserve">for the trim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5G0-CAST</w:t>
      </w:r>
      <w:r>
        <w:t xml:space="preserve"> </w:t>
      </w:r>
      <w:r>
        <w:t xml:space="preserve">and</w:t>
      </w:r>
      <w:r>
        <w:t xml:space="preserve"> </w:t>
      </w:r>
      <w:r>
        <w:rPr>
          <w:rStyle w:val="VerbatimChar"/>
        </w:rPr>
        <w:t xml:space="preserve">QtyPer = 1</w:t>
      </w:r>
      <w:r>
        <w:t xml:space="preserve">.</w:t>
      </w:r>
    </w:p>
    <w:p>
      <w:pPr>
        <w:pStyle w:val="Compact"/>
        <w:numPr>
          <w:ilvl w:val="0"/>
          <w:numId w:val="1004"/>
        </w:numPr>
      </w:pPr>
      <w:r>
        <w:t xml:space="preserve">At the first Trim Shop Cell, scanning a cast LOT in prompts:</w:t>
      </w:r>
      <w:r>
        <w:t xml:space="preserve"> </w:t>
      </w:r>
      <w:r>
        <w:rPr>
          <w:i/>
          <w:iCs/>
        </w:rPr>
        <w:t xml:space="preserve">“This LOT is 5G0-CAST-4102. Receive as 5G0-TRIM-4102?”</w:t>
      </w:r>
      <w:r>
        <w:t xml:space="preserve"> </w:t>
      </w:r>
      <w:r>
        <w:t xml:space="preserve">— the prompt is driven by BOM lookup (which finished items have the scanned Item as a component).</w:t>
      </w:r>
    </w:p>
    <w:p>
      <w:pPr>
        <w:pStyle w:val="Compact"/>
        <w:numPr>
          <w:ilvl w:val="0"/>
          <w:numId w:val="1004"/>
        </w:numPr>
      </w:pPr>
      <w:r>
        <w:t xml:space="preserve">On confirm, a new destination LOT of the trim part is created;</w:t>
      </w:r>
      <w:r>
        <w:t xml:space="preserve"> </w:t>
      </w:r>
      <w:r>
        <w:rPr>
          <w:rStyle w:val="VerbatimChar"/>
        </w:rPr>
        <w:t xml:space="preserve">Workorder.ConsumptionEvent</w:t>
      </w:r>
      <w:r>
        <w:t xml:space="preserve"> </w:t>
      </w:r>
      <w:r>
        <w:t xml:space="preserve">records the flow (source cast LOT → produced trim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4"/>
        </w:numPr>
      </w:pPr>
      <w:r>
        <w:t xml:space="preserve">Yield loss at Trim (if any) is captured normally via</w:t>
      </w:r>
      <w:r>
        <w:t xml:space="preserve"> </w:t>
      </w:r>
      <w:r>
        <w:rPr>
          <w:rStyle w:val="VerbatimChar"/>
        </w:rPr>
        <w:t xml:space="preserve">Workorder.RejectEvent</w:t>
      </w:r>
      <w:r>
        <w:t xml:space="preserve"> </w:t>
      </w:r>
      <w:r>
        <w:t xml:space="preserve">on the source side.</w:t>
      </w:r>
    </w:p>
    <w:p>
      <w:pPr>
        <w:pStyle w:val="Compact"/>
        <w:numPr>
          <w:ilvl w:val="0"/>
          <w:numId w:val="1004"/>
        </w:numPr>
      </w:pPr>
      <w:r>
        <w:t xml:space="preserve">Backward trace: walk</w:t>
      </w:r>
      <w:r>
        <w:t xml:space="preserve"> </w:t>
      </w:r>
      <w:r>
        <w:rPr>
          <w:rStyle w:val="VerbatimChar"/>
        </w:rPr>
        <w:t xml:space="preserve">LotGenealogy</w:t>
      </w:r>
      <w:r>
        <w:t xml:space="preserve"> </w:t>
      </w:r>
      <w:r>
        <w:t xml:space="preserve">from shipped trim LOT back to cast LOT → machine / die / cavity / operator / timestamp. No join through an extra table.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(UI prompt + confirmation), the backward trace, and the FDS §5.7 Genealogy queries all work unchanged.</w:t>
      </w:r>
    </w:p>
    <w:bookmarkEnd w:id="32"/>
    <w:bookmarkStart w:id="33"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3"/>
    <w:bookmarkEnd w:id="34"/>
    <w:bookmarkStart w:id="52"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bookmarkStart w:id="35"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5"/>
    <w:bookmarkStart w:id="36"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6"/>
    <w:bookmarkStart w:id="37"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7"/>
    <w:bookmarkStart w:id="38" w:name="lot"/>
    <w:p>
      <w:pPr>
        <w:pStyle w:val="Heading3"/>
      </w:pPr>
      <w:r>
        <w:t xml:space="preserve">Lot</w:t>
      </w:r>
    </w:p>
    <w:p>
      <w:pPr>
        <w:pStyle w:val="FirstParagraph"/>
      </w:pPr>
      <w:r>
        <w:t xml:space="preserve">The central tracking 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Die cast LOTs only</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t xml:space="preserve">Die cast LOTs only</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 sub-LOTs</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bookmarkEnd w:id="38"/>
    <w:bookmarkStart w:id="39"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0"/>
    <w:bookmarkStart w:id="41"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1"/>
    <w:bookmarkStart w:id="42"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2"/>
    <w:bookmarkStart w:id="43"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3"/>
    <w:bookmarkStart w:id="44"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4"/>
    <w:bookmarkStart w:id="45"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5"/>
    <w:bookmarkStart w:id="46"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6"/>
    <w:bookmarkStart w:id="47"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7"/>
    <w:bookmarkStart w:id="48"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8"/>
    <w:bookmarkStart w:id="49"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49"/>
    <w:bookmarkStart w:id="50"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lockText"/>
      </w:pPr>
      <w:r>
        <w:t xml:space="preserve">🔶</w:t>
      </w:r>
      <w:r>
        <w:t xml:space="preserve"> </w:t>
      </w:r>
      <w:r>
        <w:rPr>
          <w:b/>
          <w:bCs/>
        </w:rPr>
        <w:t xml:space="preserve">PENDING INTERNAL REVIEW — UJ-16:</w:t>
      </w:r>
      <w:r>
        <w:t xml:space="preserve"> </w:t>
      </w:r>
      <w:r>
        <w:t xml:space="preserve">When</w:t>
      </w:r>
      <w:r>
        <w:t xml:space="preserve"> </w:t>
      </w:r>
      <w:r>
        <w:rPr>
          <w:rStyle w:val="VerbatimChar"/>
        </w:rPr>
        <w:t xml:space="preserve">HardwareInterlockEnable=false</w:t>
      </w:r>
      <w:r>
        <w:t xml:space="preserve">, parts enter containers without MES serial validation. A flag is needed to record that interlock was bypassed and serial validation was skipped. Two options under discussion:</w:t>
      </w:r>
    </w:p>
    <w:p>
      <w:pPr>
        <w:pStyle w:val="BlockText"/>
      </w:pPr>
      <w:r>
        <w:rPr>
          <w:b/>
          <w:bCs/>
        </w:rPr>
        <w:t xml:space="preserve">(a)</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ContainerSerial</w:t>
      </w:r>
      <w:r>
        <w:t xml:space="preserve"> </w:t>
      </w:r>
      <w:r>
        <w:t xml:space="preserve">— marks the specific serial-to-container assignment that skipped validation.</w:t>
      </w:r>
    </w:p>
    <w:p>
      <w:pPr>
        <w:pStyle w:val="BlockText"/>
      </w:pPr>
      <w:r>
        <w:rPr>
          <w:b/>
          <w:bCs/>
        </w:rPr>
        <w:t xml:space="preserve">(b)</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ProductionEvent</w:t>
      </w:r>
      <w:r>
        <w:t xml:space="preserve"> </w:t>
      </w:r>
      <w:r>
        <w:t xml:space="preserve">— marks the broader production event as having occurred without interlock.</w:t>
      </w:r>
    </w:p>
    <w:p>
      <w:pPr>
        <w:pStyle w:val="BlockText"/>
      </w:pPr>
      <w:r>
        <w:t xml:space="preserve">The circumstances under which MPP bypasses the interlock are not yet understood. Both options are presented for discussion with Ben. The flag may belong on both tables if bypass affects traceability at both levels.</w:t>
      </w:r>
    </w:p>
    <w:bookmarkEnd w:id="50"/>
    <w:bookmarkStart w:id="51" w:name="shippinglabel"/>
    <w:p>
      <w:pPr>
        <w:pStyle w:val="Heading3"/>
      </w:pPr>
      <w:r>
        <w:t xml:space="preserve">ShippingLabel</w:t>
      </w:r>
    </w:p>
    <w:p>
      <w:pPr>
        <w:pStyle w:val="FirstParagraph"/>
      </w:pPr>
      <w:r>
        <w:t xml:space="preserve">Container shipping label print/void history.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AIM</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bl>
    <w:p>
      <w:r>
        <w:pict>
          <v:rect style="width:0;height:1.5pt" o:hralign="center" o:hrstd="t" o:hr="t"/>
        </w:pict>
      </w:r>
    </w:p>
    <w:bookmarkEnd w:id="51"/>
    <w:bookmarkEnd w:id="52"/>
    <w:bookmarkStart w:id="63"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Maintenance WO</w:t>
      </w:r>
      <w:r>
        <w:t xml:space="preserve"> </w:t>
      </w:r>
      <w:r>
        <w:rPr>
          <w:i/>
          <w:iCs/>
        </w:rPr>
        <w:t xml:space="preserve">flow</w:t>
      </w:r>
      <w:r>
        <w:t xml:space="preserve"> </w:t>
      </w:r>
      <w:r>
        <w:t xml:space="preserve">(screens, state machine, scheduling) —</w:t>
      </w:r>
      <w:r>
        <w:t xml:space="preserve"> </w:t>
      </w:r>
      <w:r>
        <w:rPr>
          <w:b/>
          <w:bCs/>
        </w:rPr>
        <w:t xml:space="preserve">FUTURE</w:t>
      </w:r>
      <w:r>
        <w:t xml:space="preserve"> </w:t>
      </w:r>
      <w:r>
        <w:t xml:space="preserve">(schema hook is MVP —</w:t>
      </w:r>
      <w:r>
        <w:t xml:space="preserve"> </w:t>
      </w:r>
      <w:r>
        <w:rPr>
          <w:rStyle w:val="VerbatimChar"/>
        </w:rPr>
        <w:t xml:space="preserve">WorkOrderType</w:t>
      </w:r>
      <w:r>
        <w:t xml:space="preserve"> </w:t>
      </w:r>
      <w:r>
        <w:t xml:space="preserve">seed +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(2026-04-20 MPP review):</w:t>
      </w:r>
      <w:r>
        <w:t xml:space="preserve"> </w:t>
      </w:r>
      <w:r>
        <w:t xml:space="preserve">Confirmed revised — three WO types exist:</w:t>
      </w:r>
      <w:r>
        <w:t xml:space="preserve"> </w:t>
      </w:r>
      <w:r>
        <w:rPr>
          <w:b/>
          <w:bCs/>
        </w:rPr>
        <w:t xml:space="preserve">Demand</w:t>
      </w:r>
      <w:r>
        <w:t xml:space="preserve"> </w:t>
      </w:r>
      <w:r>
        <w:t xml:space="preserve">(production, existing MVP-LITE behaviour),</w:t>
      </w:r>
      <w:r>
        <w:t xml:space="preserve"> </w:t>
      </w:r>
      <w:r>
        <w:rPr>
          <w:b/>
          <w:bCs/>
        </w:rPr>
        <w:t xml:space="preserve">Maintenance</w:t>
      </w:r>
      <w:r>
        <w:t xml:space="preserve"> </w:t>
      </w:r>
      <w:r>
        <w:t xml:space="preserve">(targets a Tool, FUTURE flow but schema hook is MVP),</w:t>
      </w:r>
      <w:r>
        <w:t xml:space="preserve"> </w:t>
      </w:r>
      <w:r>
        <w:rPr>
          <w:b/>
          <w:bCs/>
        </w:rPr>
        <w:t xml:space="preserve">Recipe</w:t>
      </w:r>
      <w:r>
        <w:t xml:space="preserve"> </w:t>
      </w:r>
      <w:r>
        <w:t xml:space="preserve">(configuration/recipe context, hidden from operator). Demand WOs remain invisible background bookkeeping. Operators never see or interact with any WO type in the MVP. All WO tables are populated but no WO-specific Perspective screens are built.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53"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3"/>
    <w:bookmarkStart w:id="54"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54"/>
    <w:bookmarkStart w:id="55"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5"/>
    <w:bookmarkStart w:id="56" w:name="workordertype"/>
    <w:p>
      <w:pPr>
        <w:pStyle w:val="Heading3"/>
      </w:pPr>
      <w:r>
        <w:t xml:space="preserve">WorkOrderType</w:t>
      </w:r>
    </w:p>
    <w:p>
      <w:pPr>
        <w:pStyle w:val="FirstParagraph"/>
      </w:pPr>
      <w:r>
        <w:t xml:space="preserve">Read-only code table. Seeded at migration time. Added in v1.7 (Phase B) to support the three-type WO model confirmed at the 2026-04-20 OI-07 review.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Demand</w:t>
            </w:r>
            <w:r>
              <w:t xml:space="preserve">,</w:t>
            </w:r>
            <w:r>
              <w:t xml:space="preserve"> </w:t>
            </w:r>
            <w:r>
              <w:rPr>
                <w:rStyle w:val="VerbatimChar"/>
              </w:rPr>
              <w:t xml:space="preserve">Maintenance</w:t>
            </w:r>
            <w:r>
              <w:t xml:space="preserve">,</w:t>
            </w:r>
            <w:r>
              <w:t xml:space="preserve"> </w:t>
            </w:r>
            <w:r>
              <w:rPr>
                <w:rStyle w:val="VerbatimChar"/>
              </w:rPr>
              <w:t xml:space="preserve">Recipe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Demand</w:t>
            </w:r>
          </w:p>
        </w:tc>
        <w:tc>
          <w:tcPr/>
          <w:p>
            <w:pPr>
              <w:pStyle w:val="Compact"/>
            </w:pPr>
            <w:r>
              <w:t xml:space="preserve">Demand Work Order</w:t>
            </w:r>
          </w:p>
        </w:tc>
        <w:tc>
          <w:tcPr/>
          <w:p>
            <w:pPr>
              <w:pStyle w:val="Compact"/>
            </w:pPr>
            <w:r>
              <w:t xml:space="preserve">Production work orders (existing MVP-LITE behaviour; auto-generated, invisible to operators).</w:t>
            </w:r>
          </w:p>
        </w:tc>
      </w:tr>
      <w:tr>
        <w:tc>
          <w:tcPr>
            <w:shd w:val="clear" w:color="auto" w:fill="F2F2F2"/>
          </w:tcPr>
          <w:tcPr/>
          <w:p>
            <w:pPr>
              <w:pStyle w:val="Compact"/>
            </w:pPr>
            <w:r>
              <w:t xml:space="preserve">Maintenance</w:t>
            </w:r>
          </w:p>
        </w:tc>
        <w:tc>
          <w:tcPr>
            <w:shd w:val="clear" w:color="auto" w:fill="F2F2F2"/>
          </w:tcPr>
          <w:tcPr/>
          <w:p>
            <w:pPr>
              <w:pStyle w:val="Compact"/>
            </w:pPr>
            <w:r>
              <w:t xml:space="preserve">Maintenance Work Order</w:t>
            </w:r>
          </w:p>
        </w:tc>
        <w:tc>
          <w:tcPr>
            <w:shd w:val="clear" w:color="auto" w:fill="F2F2F2"/>
          </w:tcPr>
          <w:tcPr/>
          <w:p>
            <w:pPr>
              <w:pStyle w:val="Compact"/>
            </w:pPr>
            <w:r>
              <w:t xml:space="preserve">Targets a Tool (via</w:t>
            </w:r>
            <w:r>
              <w:t xml:space="preserve"> </w:t>
            </w:r>
            <w:r>
              <w:rPr>
                <w:rStyle w:val="VerbatimChar"/>
              </w:rPr>
              <w:t xml:space="preserve">WorkOrder.ToolId</w:t>
            </w:r>
            <w:r>
              <w:t xml:space="preserve">).</w:t>
            </w:r>
            <w:r>
              <w:t xml:space="preserve"> </w:t>
            </w:r>
            <w:r>
              <w:rPr>
                <w:b/>
                <w:bCs/>
              </w:rPr>
              <w:t xml:space="preserve">FUTURE</w:t>
            </w:r>
            <w:r>
              <w:t xml:space="preserve"> </w:t>
            </w:r>
            <w:r>
              <w:t xml:space="preserve">— no flow, screens, or procs in MVP; schema hook only. Ben owes the maintenance-engine scope.</w:t>
            </w:r>
          </w:p>
        </w:tc>
      </w:tr>
      <w:tr>
        <w:tc>
          <w:tcPr/>
          <w:p>
            <w:pPr>
              <w:pStyle w:val="Compact"/>
            </w:pPr>
            <w:r>
              <w:t xml:space="preserve">Recipe</w:t>
            </w:r>
          </w:p>
        </w:tc>
        <w:tc>
          <w:tcPr/>
          <w:p>
            <w:pPr>
              <w:pStyle w:val="Compact"/>
            </w:pPr>
            <w:r>
              <w:t xml:space="preserve">Recipe Work Order</w:t>
            </w:r>
          </w:p>
        </w:tc>
        <w:tc>
          <w:tcPr/>
          <w:p>
            <w:pPr>
              <w:pStyle w:val="Compact"/>
            </w:pPr>
            <w:r>
              <w:t xml:space="preserve">Configuration / recipe context. Hidden from operator.</w:t>
            </w:r>
          </w:p>
        </w:tc>
      </w:tr>
    </w:tbl>
    <w:bookmarkEnd w:id="56"/>
    <w:bookmarkStart w:id="57" w:name="workorder"/>
    <w:p>
      <w:pPr>
        <w:pStyle w:val="Heading3"/>
      </w:pPr>
      <w:r>
        <w:t xml:space="preserve">WorkOrder</w:t>
      </w:r>
    </w:p>
    <w:p>
      <w:pPr>
        <w:pStyle w:val="FirstParagraph"/>
      </w:pPr>
      <w:r>
        <w:t xml:space="preserve">Auto-generated internal work order. Operators never see this. v1.7 adds</w:t>
      </w:r>
      <w:r>
        <w:t xml:space="preserve"> </w:t>
      </w:r>
      <w:r>
        <w:rPr>
          <w:rStyle w:val="VerbatimChar"/>
        </w:rPr>
        <w:t xml:space="preserve">WorkOrderTypeId</w:t>
      </w:r>
      <w:r>
        <w:t xml:space="preserve"> </w:t>
      </w:r>
      <w:r>
        <w:t xml:space="preserve">(discriminator) and</w:t>
      </w:r>
      <w:r>
        <w:t xml:space="preserve"> </w:t>
      </w:r>
      <w:r>
        <w:rPr>
          <w:rStyle w:val="VerbatimChar"/>
        </w:rPr>
        <w:t xml:space="preserve">ToolId</w:t>
      </w:r>
      <w:r>
        <w:t xml:space="preserve"> </w:t>
      </w:r>
      <w:r>
        <w:t xml:space="preserve">(Maintenance-only, nullable).</w:t>
      </w:r>
    </w:p>
    <w:p>
      <w:pPr>
        <w:pStyle w:val="BlockText"/>
      </w:pPr>
      <w:r>
        <w:rPr>
          <w:b/>
          <w:bCs/>
        </w:rPr>
        <w:t xml:space="preserve">⚠ Implementation deferred to Arc 2 Phase 1</w:t>
      </w:r>
      <w:r>
        <w:t xml:space="preserve"> </w:t>
      </w:r>
      <w:r>
        <w:t xml:space="preserve">(discovered 2026-04-22 during Phase G scoping). The</w:t>
      </w:r>
      <w:r>
        <w:t xml:space="preserve"> </w:t>
      </w:r>
      <w:r>
        <w:rPr>
          <w:rStyle w:val="VerbatimChar"/>
        </w:rPr>
        <w:t xml:space="preserve">Workorder.WorkOrder</w:t>
      </w:r>
      <w:r>
        <w:t xml:space="preserve"> </w:t>
      </w:r>
      <w:r>
        <w:t xml:space="preserve">table itself does not yet exist — Phases 1–8 built only the</w:t>
      </w:r>
      <w:r>
        <w:t xml:space="preserve"> </w:t>
      </w:r>
      <w:r>
        <w:rPr>
          <w:rStyle w:val="VerbatimChar"/>
        </w:rPr>
        <w:t xml:space="preserve">WorkOrderStatus</w:t>
      </w:r>
      <w:r>
        <w:t xml:space="preserve"> </w:t>
      </w:r>
      <w:r>
        <w:t xml:space="preserve">+</w:t>
      </w:r>
      <w:r>
        <w:t xml:space="preserve"> </w:t>
      </w:r>
      <w:r>
        <w:rPr>
          <w:rStyle w:val="VerbatimChar"/>
        </w:rPr>
        <w:t xml:space="preserve">OperationStatus</w:t>
      </w:r>
      <w:r>
        <w:t xml:space="preserve"> </w:t>
      </w:r>
      <w:r>
        <w:t xml:space="preserve">code tables. The v1.7 Phase B spec wrote these as</w:t>
      </w:r>
      <w:r>
        <w:t xml:space="preserve"> </w:t>
      </w:r>
      <w:r>
        <w:rPr>
          <w:i/>
          <w:iCs/>
        </w:rPr>
        <w:t xml:space="preserve">ALTER ADD COLUMN</w:t>
      </w:r>
      <w:r>
        <w:t xml:space="preserve">, but there’s no table to ALTER. Arc 2 Phase 1 CREATEs</w:t>
      </w:r>
      <w:r>
        <w:t xml:space="preserve"> </w:t>
      </w:r>
      <w:r>
        <w:rPr>
          <w:rStyle w:val="VerbatimChar"/>
        </w:rPr>
        <w:t xml:space="preserve">Workorder.WorkOrder</w:t>
      </w:r>
      <w:r>
        <w:t xml:space="preserve"> </w:t>
      </w:r>
      <w:r>
        <w:t xml:space="preserve">with</w:t>
      </w:r>
      <w:r>
        <w:t xml:space="preserve"> </w:t>
      </w:r>
      <w:r>
        <w:rPr>
          <w:rStyle w:val="VerbatimChar"/>
        </w:rPr>
        <w:t xml:space="preserve">WorkOrderTypeId</w:t>
      </w:r>
      <w:r>
        <w:t xml:space="preserve"> </w:t>
      </w:r>
      <w:r>
        <w:t xml:space="preserve">(FK →</w:t>
      </w:r>
      <w:r>
        <w:t xml:space="preserve"> </w:t>
      </w:r>
      <w:r>
        <w:rPr>
          <w:rStyle w:val="VerbatimChar"/>
        </w:rPr>
        <w:t xml:space="preserve">Workorder.WorkOrderType</w:t>
      </w:r>
      <w:r>
        <w:t xml:space="preserve">, created in Phase G) and</w:t>
      </w:r>
      <w:r>
        <w:t xml:space="preserve"> </w:t>
      </w:r>
      <w:r>
        <w:rPr>
          <w:rStyle w:val="VerbatimChar"/>
        </w:rPr>
        <w:t xml:space="preserve">ToolId</w:t>
      </w:r>
      <w:r>
        <w:t xml:space="preserve"> </w:t>
      </w:r>
      <w:r>
        <w:t xml:space="preserve">(FK →</w:t>
      </w:r>
      <w:r>
        <w:t xml:space="preserve"> </w:t>
      </w:r>
      <w:r>
        <w:rPr>
          <w:rStyle w:val="VerbatimChar"/>
        </w:rPr>
        <w:t xml:space="preserve">Tools.Tool</w:t>
      </w:r>
      <w:r>
        <w:t xml:space="preserve">, created in Phase G) baked in from day one. The column contract described below is authoritative — it’s just the DDL verb that changes from ALTER to CREATE.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 Phase G migration backfills existing rows to</w:t>
            </w:r>
            <w:r>
              <w:t xml:space="preserve"> </w:t>
            </w:r>
            <w:r>
              <w:rPr>
                <w:rStyle w:val="VerbatimChar"/>
              </w:rPr>
              <w:t xml:space="preserve">Demand</w:t>
            </w:r>
            <w:r>
              <w:t xml:space="preserve">. Existing create procs default to</w:t>
            </w:r>
            <w:r>
              <w:t xml:space="preserve"> </w:t>
            </w:r>
            <w:r>
              <w:rPr>
                <w:rStyle w:val="VerbatimChar"/>
              </w:rPr>
              <w:t xml:space="preserve">Demand</w:t>
            </w:r>
            <w:r>
              <w:t xml:space="preserve"> </w:t>
            </w:r>
            <w:r>
              <w:t xml:space="preserve">so Phase 1–8 callers need no changes.</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Populated only when</w:t>
            </w:r>
            <w:r>
              <w:t xml:space="preserve"> </w:t>
            </w:r>
            <w:r>
              <w:rPr>
                <w:rStyle w:val="VerbatimChar"/>
              </w:rPr>
              <w:t xml:space="preserve">WorkOrderTypeId = Maintenance</w:t>
            </w:r>
            <w:r>
              <w:t xml:space="preserve">. Enforced at the proc layer (no hard CHECK —</w:t>
            </w:r>
            <w:r>
              <w:t xml:space="preserve"> </w:t>
            </w:r>
            <w:r>
              <w:rPr>
                <w:rStyle w:val="VerbatimChar"/>
              </w:rPr>
              <w:t xml:space="preserve">Recipe</w:t>
            </w:r>
            <w:r>
              <w:t xml:space="preserve"> </w:t>
            </w:r>
            <w:r>
              <w:t xml:space="preserve">WOs legitimately have NULL</w:t>
            </w:r>
            <w:r>
              <w:t xml:space="preserve"> </w:t>
            </w:r>
            <w:r>
              <w:rPr>
                <w:rStyle w:val="VerbatimChar"/>
              </w:rPr>
              <w:t xml:space="preserve">ToolId</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57"/>
    <w:bookmarkStart w:id="58"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OperatorId</w:t>
            </w:r>
          </w:p>
        </w:tc>
        <w:tc>
          <w:tcPr/>
          <w:p>
            <w:pPr>
              <w:pStyle w:val="Compact"/>
            </w:pPr>
            <w:r>
              <w:t xml:space="preserve">BIGINT</w:t>
            </w:r>
          </w:p>
        </w:tc>
        <w:tc>
          <w:tcPr/>
          <w:p>
            <w:pPr>
              <w:pStyle w:val="Compact"/>
            </w:pPr>
            <w:r>
              <w:t xml:space="preserve">FK → AppUser.Id, NULL</w:t>
            </w:r>
          </w:p>
        </w:tc>
        <w:tc>
          <w:tcPr/>
          <w:p>
            <w:pPr>
              <w:pStyle w:val="Compact"/>
            </w:pPr>
          </w:p>
        </w:tc>
      </w:tr>
    </w:tbl>
    <w:bookmarkEnd w:id="58"/>
    <w:bookmarkStart w:id="59" w:name="productionevent"/>
    <w:p>
      <w:pPr>
        <w:pStyle w:val="Heading3"/>
      </w:pPr>
      <w:r>
        <w:t xml:space="preserve">ProductionEvent</w:t>
      </w:r>
    </w:p>
    <w:p>
      <w:pPr>
        <w:pStyle w:val="FirstParagraph"/>
      </w:pPr>
      <w:r>
        <w:t xml:space="preserve">Immutable record of production output and of the data collection required by the operation template. One row per LOT-passes-through-operation. Hot data collection fields (die, cavity, weight, counts) are typed columns on this table; any additional</w:t>
      </w:r>
      <w:r>
        <w:t xml:space="preserve"> </w:t>
      </w:r>
      <w:r>
        <w:rPr>
          <w:rStyle w:val="VerbatimChar"/>
        </w:rPr>
        <w:t xml:space="preserve">DataCollectionField</w:t>
      </w:r>
      <w:r>
        <w:t xml:space="preserve"> </w:t>
      </w:r>
      <w:r>
        <w:t xml:space="preserve">configured on the operation template is captured in child</w:t>
      </w:r>
      <w:r>
        <w:t xml:space="preserve"> </w:t>
      </w:r>
      <w:r>
        <w:rPr>
          <w:rStyle w:val="VerbatimChar"/>
        </w:rPr>
        <w:t xml:space="preserve">ProductionEventValue</w:t>
      </w:r>
      <w:r>
        <w:t xml:space="preserve"> </w:t>
      </w:r>
      <w:r>
        <w:t xml:space="preserve">rows.</w:t>
      </w:r>
    </w:p>
    <w:p>
      <w:pPr>
        <w:pStyle w:val="BlockText"/>
      </w:pPr>
      <w:r>
        <w:rPr>
          <w:b/>
          <w:bCs/>
        </w:rPr>
        <w:t xml:space="preserve">⚠ Implementation deferred to Arc 2 Phase 1</w:t>
      </w:r>
      <w:r>
        <w:t xml:space="preserve"> </w:t>
      </w:r>
      <w:r>
        <w:t xml:space="preserve">(discovered 2026-04-22). Like</w:t>
      </w:r>
      <w:r>
        <w:t xml:space="preserve"> </w:t>
      </w:r>
      <w:r>
        <w:rPr>
          <w:rStyle w:val="VerbatimChar"/>
        </w:rPr>
        <w:t xml:space="preserve">Workorder.WorkOrder</w:t>
      </w:r>
      <w:r>
        <w:t xml:space="preserve">, this table does not yet exist in the codebase. Arc 2 Phase 1 CREATEs it with the full column list below, including the v1.8</w:t>
      </w:r>
      <w:r>
        <w:t xml:space="preserve"> </w:t>
      </w:r>
      <w:r>
        <w:rPr>
          <w:rStyle w:val="VerbatimChar"/>
        </w:rPr>
        <w:t xml:space="preserve">ScrapSourceId</w:t>
      </w:r>
      <w:r>
        <w:t xml:space="preserve"> </w:t>
      </w:r>
      <w:r>
        <w:t xml:space="preserve">(FK →</w:t>
      </w:r>
      <w:r>
        <w:t xml:space="preserve"> </w:t>
      </w:r>
      <w:r>
        <w:rPr>
          <w:rStyle w:val="VerbatimChar"/>
        </w:rPr>
        <w:t xml:space="preserve">Workorder.ScrapSource</w:t>
      </w:r>
      <w:r>
        <w:t xml:space="preserve">, created in Phase G). The column contract is authoritative; the DDL verb is CREATE, not ALTER.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The versioned operation template this event executed under. Direct FK so events remain queryable even when work orders are absent (OI-07 background-only WOs).</w:t>
            </w: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Machine/cell where the operation ran</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GoodCount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NoGoodCount</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ScrapSourceId</w:t>
            </w:r>
          </w:p>
        </w:tc>
        <w:tc>
          <w:tcPr/>
          <w:p>
            <w:pPr>
              <w:pStyle w:val="Compact"/>
            </w:pPr>
            <w:r>
              <w:t xml:space="preserve">BIGINT</w:t>
            </w:r>
          </w:p>
        </w:tc>
        <w:tc>
          <w:tcPr/>
          <w:p>
            <w:pPr>
              <w:pStyle w:val="Compact"/>
            </w:pPr>
            <w:r>
              <w:t xml:space="preserve">FK → ScrapSource.Id, NULL</w:t>
            </w:r>
          </w:p>
        </w:tc>
        <w:tc>
          <w:tcPr/>
          <w:p>
            <w:pPr>
              <w:pStyle w:val="Compact"/>
            </w:pPr>
            <w:r>
              <w:t xml:space="preserve">Populated only when this event represents a scrap action; identifies whether the scrap came from unallocated inventory (</w:t>
            </w:r>
            <w:r>
              <w:rPr>
                <w:rStyle w:val="VerbatimChar"/>
              </w:rPr>
              <w:t xml:space="preserve">Inventory</w:t>
            </w:r>
            <w:r>
              <w:t xml:space="preserve">) or from in-process material at a workstation (</w:t>
            </w:r>
            <w:r>
              <w:rPr>
                <w:rStyle w:val="VerbatimChar"/>
              </w:rPr>
              <w:t xml:space="preserve">Location</w:t>
            </w:r>
            <w:r>
              <w:t xml:space="preserve">). NULL for non-scrap events. Added v1.8 (OI-20).</w:t>
            </w:r>
          </w:p>
        </w:tc>
      </w:tr>
      <w:tr>
        <w:tc>
          <w:tcPr>
            <w:shd w:val="clear" w:color="auto" w:fill="F2F2F2"/>
          </w:tcPr>
          <w:tcPr/>
          <w:p>
            <w:pPr>
              <w:pStyle w:val="Compact"/>
            </w:pPr>
            <w:r>
              <w:t xml:space="preserve">DieIdentifier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Die name/number captured from the machine’s</w:t>
            </w:r>
            <w:r>
              <w:t xml:space="preserve"> </w:t>
            </w:r>
            <w:r>
              <w:rPr>
                <w:rStyle w:val="VerbatimChar"/>
              </w:rPr>
              <w:t xml:space="preserve">LocationAttribute</w:t>
            </w:r>
            <w:r>
              <w:t xml:space="preserve"> </w:t>
            </w:r>
            <w:r>
              <w:t xml:space="preserve">value at event time. Retained as an immutable historical snapshot (survives tool rename/replacement). v1.7 promoted Tool to a first-class entity (§7 Tools Schema) — a parallel</w:t>
            </w:r>
            <w:r>
              <w:t xml:space="preserve"> </w:t>
            </w:r>
            <w:r>
              <w:rPr>
                <w:rStyle w:val="VerbatimChar"/>
              </w:rPr>
              <w:t xml:space="preserve">ToolId BIGINT FK → Tools.Tool</w:t>
            </w:r>
            <w:r>
              <w:t xml:space="preserve"> </w:t>
            </w:r>
            <w:r>
              <w:t xml:space="preserve">may be added in a later phase for query/analytics joins, but this NVARCHAR column stays as the as-captured string.</w:t>
            </w:r>
          </w:p>
        </w:tc>
      </w:tr>
      <w:tr>
        <w:tc>
          <w:tcPr/>
          <w:p>
            <w:pPr>
              <w:pStyle w:val="Compact"/>
            </w:pPr>
            <w:r>
              <w:t xml:space="preserve">CavityNumber</w:t>
            </w:r>
          </w:p>
        </w:tc>
        <w:tc>
          <w:tcPr/>
          <w:p>
            <w:pPr>
              <w:pStyle w:val="Compact"/>
            </w:pPr>
            <w:r>
              <w:t xml:space="preserve">INT</w:t>
            </w:r>
          </w:p>
        </w:tc>
        <w:tc>
          <w:tcPr/>
          <w:p>
            <w:pPr>
              <w:pStyle w:val="Compact"/>
            </w:pPr>
            <w:r>
              <w:t xml:space="preserve">NULL</w:t>
            </w:r>
          </w:p>
        </w:tc>
        <w:tc>
          <w:tcPr/>
          <w:p>
            <w:pPr>
              <w:pStyle w:val="Compact"/>
            </w:pPr>
            <w:r>
              <w:t xml:space="preserve">Cavity captured when the operation template requires</w:t>
            </w:r>
            <w:r>
              <w:t xml:space="preserve"> </w:t>
            </w:r>
            <w:r>
              <w:rPr>
                <w:rStyle w:val="VerbatimChar"/>
              </w:rPr>
              <w:t xml:space="preserve">CavityInfo</w:t>
            </w:r>
          </w:p>
        </w:tc>
      </w:tr>
      <w:tr>
        <w:tc>
          <w:tcPr>
            <w:shd w:val="clear" w:color="auto" w:fill="F2F2F2"/>
          </w:tcPr>
          <w:tcPr/>
          <w:p>
            <w:pPr>
              <w:pStyle w:val="Compact"/>
            </w:pPr>
            <w:r>
              <w:t xml:space="preserve">WeightValue</w:t>
            </w:r>
          </w:p>
        </w:tc>
        <w:tc>
          <w:tcPr>
            <w:shd w:val="clear" w:color="auto" w:fill="F2F2F2"/>
          </w:tcPr>
          <w:tcPr/>
          <w:p>
            <w:pPr>
              <w:pStyle w:val="Compact"/>
            </w:pPr>
            <w:r>
              <w:t xml:space="preserve">DECIMAL(10,3)</w:t>
            </w:r>
          </w:p>
        </w:tc>
        <w:tc>
          <w:tcPr>
            <w:shd w:val="clear" w:color="auto" w:fill="F2F2F2"/>
          </w:tcPr>
          <w:tcPr/>
          <w:p>
            <w:pPr>
              <w:pStyle w:val="Compact"/>
            </w:pPr>
            <w:r>
              <w:t xml:space="preserve">NULL</w:t>
            </w:r>
          </w:p>
        </w:tc>
        <w:tc>
          <w:tcPr>
            <w:shd w:val="clear" w:color="auto" w:fill="F2F2F2"/>
          </w:tcPr>
          <w:tcPr/>
          <w:p>
            <w:pPr>
              <w:pStyle w:val="Compact"/>
            </w:pPr>
            <w:r>
              <w:t xml:space="preserve">Captured when operation template requires</w:t>
            </w:r>
            <w:r>
              <w:t xml:space="preserve"> </w:t>
            </w:r>
            <w:r>
              <w:rPr>
                <w:rStyle w:val="VerbatimChar"/>
              </w:rPr>
              <w:t xml:space="preserve">Weight</w:t>
            </w:r>
            <w:r>
              <w:t xml:space="preserve"> </w:t>
            </w:r>
            <w:r>
              <w:t xml:space="preserve">(e.g., scale-driven container closure, OI-02)</w:t>
            </w:r>
          </w:p>
        </w:tc>
      </w:tr>
      <w:tr>
        <w:tc>
          <w:tcPr/>
          <w:p>
            <w:pPr>
              <w:pStyle w:val="Compact"/>
            </w:pPr>
            <w:r>
              <w:t xml:space="preserve">WeightUomId</w:t>
            </w:r>
          </w:p>
        </w:tc>
        <w:tc>
          <w:tcPr/>
          <w:p>
            <w:pPr>
              <w:pStyle w:val="Compact"/>
            </w:pPr>
            <w:r>
              <w:t xml:space="preserve">BIGINT</w:t>
            </w:r>
          </w:p>
        </w:tc>
        <w:tc>
          <w:tcPr/>
          <w:p>
            <w:pPr>
              <w:pStyle w:val="Compact"/>
            </w:pPr>
            <w:r>
              <w:t xml:space="preserve">FK → Parts.Uom.Id, NULL</w:t>
            </w:r>
          </w:p>
        </w:tc>
        <w:tc>
          <w:tcPr/>
          <w:p>
            <w:pPr>
              <w:pStyle w:val="Compact"/>
            </w:pPr>
            <w:r>
              <w:t xml:space="preserve">Required whenever</w:t>
            </w:r>
            <w:r>
              <w:t xml:space="preserve"> </w:t>
            </w:r>
            <w:r>
              <w:rPr>
                <w:rStyle w:val="VerbatimChar"/>
              </w:rPr>
              <w:t xml:space="preserve">WeightValue</w:t>
            </w:r>
            <w:r>
              <w:t xml:space="preserve"> </w:t>
            </w:r>
            <w:r>
              <w:t xml:space="preserve">is set</w:t>
            </w: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RecordedAt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59"/>
    <w:bookmarkStart w:id="60"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(GoodCount, NoGoodCount, DieIdentifier, CavityNumber, WeightValue) SHALL NOT also be written to</w:t>
      </w:r>
      <w:r>
        <w:t xml:space="preserve"> </w:t>
      </w:r>
      <w:r>
        <w:rPr>
          <w:rStyle w:val="VerbatimChar"/>
        </w:rPr>
        <w:t xml:space="preserve">ProductionEventValue</w:t>
      </w:r>
      <w:r>
        <w:t xml:space="preserve">. The Phase 8 write proc enforces this.</w:t>
      </w:r>
    </w:p>
    <w:bookmarkEnd w:id="60"/>
    <w:bookmarkStart w:id="61"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61"/>
    <w:bookmarkStart w:id="62"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62"/>
    <w:bookmarkEnd w:id="63"/>
    <w:bookmarkStart w:id="77"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64"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4"/>
    <w:bookmarkStart w:id="65"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65"/>
    <w:bookmarkStart w:id="66"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66"/>
    <w:bookmarkStart w:id="67"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67"/>
    <w:bookmarkStart w:id="68"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68"/>
    <w:bookmarkStart w:id="69"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69"/>
    <w:bookmarkStart w:id="70"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70"/>
    <w:bookmarkStart w:id="71"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1"/>
    <w:bookmarkStart w:id="72"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2"/>
    <w:bookmarkStart w:id="73"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3"/>
    <w:bookmarkStart w:id="74"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4"/>
    <w:bookmarkStart w:id="75"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75"/>
    <w:bookmarkStart w:id="76"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76"/>
    <w:bookmarkEnd w:id="77"/>
    <w:bookmarkStart w:id="85"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78"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8"/>
    <w:bookmarkStart w:id="79"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79"/>
    <w:bookmarkStart w:id="80"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0"/>
    <w:bookmarkStart w:id="81"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81"/>
    <w:bookmarkStart w:id="82"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2"/>
    <w:bookmarkStart w:id="83"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lockText"/>
      </w:pPr>
      <w:r>
        <w:t xml:space="preserve">🔶</w:t>
      </w:r>
      <w:r>
        <w:t xml:space="preserve"> </w:t>
      </w:r>
      <w:r>
        <w:rPr>
          <w:b/>
          <w:bCs/>
        </w:rPr>
        <w:t xml:space="preserve">PENDING INTERNAL REVIEW — UJ-14: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 Needs review with Ben.</w:t>
      </w:r>
    </w:p>
    <w:bookmarkEnd w:id="83"/>
    <w:bookmarkStart w:id="84"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84"/>
    <w:bookmarkEnd w:id="85"/>
    <w:bookmarkStart w:id="98"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86"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86"/>
    <w:bookmarkStart w:id="87"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UI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87"/>
    <w:bookmarkStart w:id="88"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88"/>
    <w:bookmarkStart w:id="89"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No shot counter column.</w:t>
      </w:r>
      <w:r>
        <w:t xml:space="preserve"> </w:t>
      </w:r>
      <w:r>
        <w:t xml:space="preserve">Shot counts derive from</w:t>
      </w:r>
      <w:r>
        <w:t xml:space="preserve"> </w:t>
      </w:r>
      <w:r>
        <w:rPr>
          <w:rStyle w:val="VerbatimChar"/>
        </w:rPr>
        <w:t xml:space="preserve">Workorder.ProductionEvent</w:t>
      </w:r>
      <w:r>
        <w:t xml:space="preserve"> </w:t>
      </w:r>
      <w:r>
        <w:t xml:space="preserve">group-by</w:t>
      </w:r>
      <w:r>
        <w:t xml:space="preserve"> </w:t>
      </w:r>
      <w:r>
        <w:rPr>
          <w:rStyle w:val="VerbatimChar"/>
        </w:rPr>
        <w:t xml:space="preserve">(Tool, Cavity)</w:t>
      </w:r>
      <w:r>
        <w:t xml:space="preserve">. Rationale: avoids the double-write + drift problem between an aggregate column and the event stream; leaves all reset-logic to a future Gateway script rather than embedding it in every write path.</w:t>
      </w:r>
    </w:p>
    <w:bookmarkEnd w:id="89"/>
    <w:bookmarkStart w:id="90"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90"/>
    <w:bookmarkStart w:id="91"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CavityNumber</w:t>
            </w:r>
          </w:p>
        </w:tc>
        <w:tc>
          <w:tcPr/>
          <w:p>
            <w:pPr>
              <w:pStyle w:val="Compact"/>
            </w:pPr>
            <w:r>
              <w:t xml:space="preserve">INT</w:t>
            </w:r>
          </w:p>
        </w:tc>
        <w:tc>
          <w:tcPr/>
          <w:p>
            <w:pPr>
              <w:pStyle w:val="Compact"/>
            </w:pPr>
            <w:r>
              <w:t xml:space="preserve">NOT NULL</w:t>
            </w:r>
          </w:p>
        </w:tc>
        <w:tc>
          <w:tcPr/>
          <w:p>
            <w:pPr>
              <w:pStyle w:val="Compact"/>
            </w:pPr>
            <w:r>
              <w:t xml:space="preserve">1, 2, 3, … up to the die’s cavity count</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UQ_ToolCavity_ActiveToolCavityNumber</w:t>
      </w:r>
      <w:r>
        <w:t xml:space="preserve"> </w:t>
      </w:r>
      <w:r>
        <w:t xml:space="preserve">— filtered UNIQUE</w:t>
      </w:r>
      <w:r>
        <w:t xml:space="preserve"> </w:t>
      </w:r>
      <w:r>
        <w:rPr>
          <w:rStyle w:val="VerbatimChar"/>
        </w:rPr>
        <w:t xml:space="preserve">(ToolId, CavityNumber)</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91"/>
    <w:bookmarkStart w:id="92"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UQ_ToolAssignment_ActiveToolMount</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92"/>
    <w:bookmarkStart w:id="93"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93"/>
    <w:bookmarkStart w:id="94"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94"/>
    <w:bookmarkStart w:id="95"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95"/>
    <w:bookmarkStart w:id="96"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96"/>
    <w:bookmarkStart w:id="97" w:name="cross-references"/>
    <w:p>
      <w:pPr>
        <w:pStyle w:val="Heading3"/>
      </w:pPr>
      <w:r>
        <w:t xml:space="preserve">Cross-references</w:t>
      </w:r>
    </w:p>
    <w:p>
      <w:pPr>
        <w:pStyle w:val="Compact"/>
        <w:numPr>
          <w:ilvl w:val="0"/>
          <w:numId w:val="1005"/>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Populated only for</w:t>
      </w:r>
      <w:r>
        <w:t xml:space="preserve"> </w:t>
      </w:r>
      <w:r>
        <w:rPr>
          <w:rStyle w:val="VerbatimChar"/>
        </w:rPr>
        <w:t xml:space="preserve">WorkOrderType = Maintenance</w:t>
      </w:r>
      <w:r>
        <w:t xml:space="preserve"> </w:t>
      </w:r>
      <w:r>
        <w:t xml:space="preserve">(enforced at proc layer; Recipe WOs legitimately have NULL</w:t>
      </w:r>
      <w:r>
        <w:t xml:space="preserve"> </w:t>
      </w:r>
      <w:r>
        <w:rPr>
          <w:rStyle w:val="VerbatimChar"/>
        </w:rPr>
        <w:t xml:space="preserve">ToolId</w:t>
      </w:r>
      <w:r>
        <w:t xml:space="preserve">).</w:t>
      </w:r>
    </w:p>
    <w:p>
      <w:pPr>
        <w:pStyle w:val="Compact"/>
        <w:numPr>
          <w:ilvl w:val="0"/>
          <w:numId w:val="1005"/>
        </w:numPr>
      </w:pPr>
      <w:r>
        <w:rPr>
          <w:b/>
          <w:bCs/>
        </w:rPr>
        <w:t xml:space="preserve">Workorder.ProductionEvent.DieIdentifier</w:t>
      </w:r>
      <w:r>
        <w:t xml:space="preserve"> </w:t>
      </w:r>
      <w:r>
        <w:t xml:space="preserve">(§4) — historical NVARCHAR snapshot of the die at event time. Not an FK. A parallel</w:t>
      </w:r>
      <w:r>
        <w:t xml:space="preserve"> </w:t>
      </w:r>
      <w:r>
        <w:rPr>
          <w:rStyle w:val="VerbatimChar"/>
        </w:rPr>
        <w:t xml:space="preserve">ToolId BIGINT FK</w:t>
      </w:r>
      <w:r>
        <w:t xml:space="preserve"> </w:t>
      </w:r>
      <w:r>
        <w:t xml:space="preserve">may be added in a later phase for analytics joins; the NVARCHAR stays as the as-captured value (survives tool rename/replacement).</w:t>
      </w:r>
    </w:p>
    <w:p>
      <w:pPr>
        <w:pStyle w:val="Compact"/>
        <w:numPr>
          <w:ilvl w:val="0"/>
          <w:numId w:val="1005"/>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05"/>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 A second row for</w:t>
      </w:r>
      <w:r>
        <w:t xml:space="preserve"> </w:t>
      </w:r>
      <w:r>
        <w:rPr>
          <w:rStyle w:val="VerbatimChar"/>
        </w:rPr>
        <w:t xml:space="preserve">ItemTransform</w:t>
      </w:r>
      <w:r>
        <w:t xml:space="preserve"> </w:t>
      </w:r>
      <w:r>
        <w:t xml:space="preserve">was removed after OI-11 resolved via 1-line BOM (no new table).</w:t>
      </w:r>
    </w:p>
    <w:p>
      <w:r>
        <w:pict>
          <v:rect style="width:0;height:1.5pt" o:hralign="center" o:hrstd="t" o:hr="t"/>
        </w:pict>
      </w:r>
    </w:p>
    <w:bookmarkEnd w:id="97"/>
    <w:bookmarkEnd w:id="98"/>
    <w:bookmarkStart w:id="106"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99"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99"/>
    <w:bookmarkStart w:id="100"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0"/>
    <w:bookmarkStart w:id="101"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1"/>
    <w:bookmarkStart w:id="102"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2"/>
    <w:bookmarkStart w:id="103"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03"/>
    <w:bookmarkStart w:id="104"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04"/>
    <w:bookmarkStart w:id="105"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2026-04-22T19:20:44Z</dcterms:created>
  <dcterms:modified xsi:type="dcterms:W3CDTF">2026-04-22T19:20:44Z</dcterms:modified>
</cp:coreProperties>
</file>

<file path=docProps/custom.xml><?xml version="1.0" encoding="utf-8"?>
<Properties xmlns="http://schemas.openxmlformats.org/officeDocument/2006/custom-properties" xmlns:vt="http://schemas.openxmlformats.org/officeDocument/2006/docPropsVTypes"/>
</file>