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2"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0.10 — Working Draft</w:t>
      </w:r>
      <w:r>
        <w:t xml:space="preserve"> </w:t>
      </w:r>
      <w:r>
        <w:rPr>
          <w:b/>
          <w:bCs/>
        </w:rPr>
        <w:t xml:space="preserve">Date:</w:t>
      </w:r>
      <w:r>
        <w:t xml:space="preserve"> </w:t>
      </w:r>
      <w:r>
        <w:t xml:space="preserve">2026-04-22</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derived from the terminal’s</w:t>
      </w:r>
      <w:r>
        <w:t xml:space="preserve"> </w:t>
      </w:r>
      <w:r>
        <w:rPr>
          <w:rStyle w:val="VerbatimChar"/>
        </w:rPr>
        <w:t xml:space="preserve">LocationAttribute</w:t>
      </w:r>
      <w:r>
        <w:t xml:space="preserve"> </w:t>
      </w:r>
      <w:r>
        <w:t xml:space="preserve">(</w:t>
      </w:r>
      <w:r>
        <w:rPr>
          <w:rStyle w:val="VerbatimChar"/>
        </w:rPr>
        <w:t xml:space="preserve">DedicatedMachineLocationId</w:t>
      </w:r>
      <w:r>
        <w:t xml:space="preserve">) without requiring a scan on every session; the terminal still writes both FKs on events.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4f8b7b4cf9dc36ad23da7d2094fe20658e0010a"/>
    <w:p>
      <w:pPr>
        <w:pStyle w:val="Heading4"/>
      </w:pPr>
      <w:r>
        <w:t xml:space="preserve">FDS-02-010 — Terminal Mode LocationAttribute</w:t>
      </w:r>
    </w:p>
    <w:p>
      <w:pPr>
        <w:pStyle w:val="FirstParagraph"/>
      </w:pPr>
      <w:r>
        <w:t xml:space="preserve">Each</w:t>
      </w:r>
      <w:r>
        <w:t xml:space="preserve"> </w:t>
      </w:r>
      <w:r>
        <w:rPr>
          <w:rStyle w:val="VerbatimChar"/>
        </w:rPr>
        <w:t xml:space="preserve">Terminal</w:t>
      </w:r>
      <w:r>
        <w:t xml:space="preserve">-definition Location SHALL carry a</w:t>
      </w:r>
      <w:r>
        <w:t xml:space="preserve"> </w:t>
      </w:r>
      <w:r>
        <w:rPr>
          <w:rStyle w:val="VerbatimChar"/>
        </w:rPr>
        <w:t xml:space="preserve">LocationAttribute</w:t>
      </w:r>
      <w:r>
        <w:t xml:space="preserve"> </w:t>
      </w:r>
      <w:r>
        <w:t xml:space="preserve">named</w:t>
      </w:r>
      <w:r>
        <w:t xml:space="preserve"> </w:t>
      </w:r>
      <w:r>
        <w:rPr>
          <w:rStyle w:val="VerbatimChar"/>
        </w:rPr>
        <w:t xml:space="preserve">TerminalMode</w:t>
      </w:r>
      <w:r>
        <w:t xml:space="preserve"> </w:t>
      </w:r>
      <w:r>
        <w:t xml:space="preserve">with allowed values</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The Configuration Tool SHALL expose this attribute on the Terminal edit screen. Behaviour:</w:t>
      </w:r>
    </w:p>
    <w:p>
      <w:pPr>
        <w:pStyle w:val="Compact"/>
        <w:numPr>
          <w:ilvl w:val="0"/>
          <w:numId w:val="1004"/>
        </w:numPr>
      </w:pPr>
      <w:r>
        <w:rPr>
          <w:b/>
          <w:bCs/>
        </w:rPr>
        <w:t xml:space="preserve">Dedicated (≈80% of terminals):</w:t>
      </w:r>
      <w:r>
        <w:t xml:space="preserve"> </w:t>
      </w:r>
      <w:r>
        <w:t xml:space="preserve">The terminal is permanently bound to a single machine context (e.g.,</w:t>
      </w:r>
      <w:r>
        <w:t xml:space="preserve"> </w:t>
      </w:r>
      <w:r>
        <w:rPr>
          <w:rStyle w:val="VerbatimChar"/>
        </w:rPr>
        <w:t xml:space="preserve">DC-07</w:t>
      </w:r>
      <w:r>
        <w:t xml:space="preserve"> </w:t>
      </w:r>
      <w:r>
        <w:t xml:space="preserve">terminal at Die Cast Machine 7). A</w:t>
      </w:r>
      <w:r>
        <w:t xml:space="preserve"> </w:t>
      </w:r>
      <w:r>
        <w:rPr>
          <w:rStyle w:val="VerbatimChar"/>
        </w:rPr>
        <w:t xml:space="preserve">DedicatedMachineLocationId</w:t>
      </w:r>
      <w:r>
        <w:t xml:space="preserve"> </w:t>
      </w:r>
      <w:r>
        <w:t xml:space="preserve">attribute SHALL reference the machine</w:t>
      </w:r>
      <w:r>
        <w:t xml:space="preserve"> </w:t>
      </w:r>
      <w:r>
        <w:rPr>
          <w:rStyle w:val="VerbatimChar"/>
        </w:rPr>
        <w:t xml:space="preserve">Location</w:t>
      </w:r>
      <w:r>
        <w:t xml:space="preserve">. The operator’s initials presence (§4) persists across the shift with 30-min idle re-confirmation (FDS-04-006); machine context is never re-prompted.</w:t>
      </w:r>
    </w:p>
    <w:p>
      <w:pPr>
        <w:pStyle w:val="Compact"/>
        <w:numPr>
          <w:ilvl w:val="0"/>
          <w:numId w:val="1004"/>
        </w:numPr>
      </w:pPr>
      <w:r>
        <w:rPr>
          <w:b/>
          <w:bCs/>
        </w:rPr>
        <w:t xml:space="preserve">Shared (≈20% of terminals):</w:t>
      </w:r>
      <w:r>
        <w:t xml:space="preserve"> </w:t>
      </w:r>
      <w:r>
        <w:t xml:space="preserve">The terminal is unbound to a specific machine. The operator’s initials presence AND machine context SHALL be prompted on first action and on machine change. Use case: trim shop with multiple stations fed through one terminal.</w:t>
      </w:r>
    </w:p>
    <w:p>
      <w:pPr>
        <w:pStyle w:val="FirstParagraph"/>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de18523983306ddccbde651169f16089a6f36d4"/>
    <w:p>
      <w:pPr>
        <w:pStyle w:val="Heading4"/>
      </w:pPr>
      <w:r>
        <w:t xml:space="preserve">FDS-03-017a — Data Collection Capture at Event Time</w:t>
      </w:r>
    </w:p>
    <w:p>
      <w:pPr>
        <w:pStyle w:val="FirstParagraph"/>
      </w:pPr>
      <w:r>
        <w:t xml:space="preserve">When a LOT passes through an operation, the system SHALL persist every field configured on the operation template as part of the production event:</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Phase 8</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OperationTemplateId</w:t>
      </w:r>
      <w:r>
        <w:t xml:space="preserve"> </w:t>
      </w:r>
      <w:r>
        <w:t xml:space="preserve">and the hot typed columns for fields that have been promoted (GoodCount, NoGoodCount, DieIdentifier, CavityNumber, WeightValue, WeightUomId).</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in</w:t>
      </w:r>
      <w:r>
        <w:t xml:space="preserve"> </w:t>
      </w:r>
      <w:r>
        <w:rPr>
          <w:rStyle w:val="VerbatimChar"/>
        </w:rPr>
        <w:t xml:space="preserve">ProductionEventValue</w:t>
      </w:r>
      <w:r>
        <w:t xml:space="preserve"> </w:t>
      </w:r>
      <w:r>
        <w:t xml:space="preserve">(hot columns are the sole home for promoted fields).</w:t>
      </w:r>
    </w:p>
    <w:p>
      <w:pPr>
        <w:pStyle w:val="Compact"/>
        <w:numPr>
          <w:ilvl w:val="0"/>
          <w:numId w:val="1005"/>
        </w:numPr>
      </w:pPr>
      <w:r>
        <w:rPr>
          <w:rStyle w:val="VerbatimChar"/>
        </w:rPr>
        <w:t xml:space="preserve">DieIdentifier</w:t>
      </w:r>
      <w:r>
        <w:t xml:space="preserve"> </w:t>
      </w:r>
      <w:r>
        <w:t xml:space="preserve">SHALL be captured from the machine’s current</w:t>
      </w:r>
      <w:r>
        <w:t xml:space="preserve"> </w:t>
      </w:r>
      <w:r>
        <w:rPr>
          <w:rStyle w:val="VerbatimChar"/>
        </w:rPr>
        <w:t xml:space="preserve">LocationAttribute</w:t>
      </w:r>
      <w:r>
        <w:t xml:space="preserve"> </w:t>
      </w:r>
      <w:r>
        <w:t xml:space="preserve">value at event time — it is the historical snapshot of the die mounted on the machine when the event occurred, not a reference to any die table (OI-10 pending).</w:t>
      </w:r>
    </w:p>
    <w:bookmarkEnd w:id="75"/>
    <w:bookmarkEnd w:id="76"/>
    <w:bookmarkStart w:id="80" w:name="part-to-location-eligibility"/>
    <w:p>
      <w:pPr>
        <w:pStyle w:val="Heading3"/>
      </w:pPr>
      <w:r>
        <w:t xml:space="preserve">3.5 Part-to-Location Eligibility</w:t>
      </w:r>
    </w:p>
    <w:bookmarkStart w:id="77"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7"/>
    <w:bookmarkStart w:id="78"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8"/>
    <w:bookmarkStart w:id="79"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rPr>
          <w:b/>
          <w:bCs/>
        </w:rPr>
        <w:t xml:space="preserve">OI-18 (new v0.10):</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OI-12 lineside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Cell consumes this Item (input);</w:t>
            </w:r>
            <w:r>
              <w:t xml:space="preserve"> </w:t>
            </w:r>
            <w:r>
              <w:rPr>
                <w:rStyle w:val="VerbatimChar"/>
              </w:rPr>
              <w:t xml:space="preserve">0</w:t>
            </w:r>
            <w:r>
              <w:t xml:space="preserve"> </w:t>
            </w:r>
            <w:r>
              <w:t xml:space="preserve">= Cell produces this Item (output) or is eligible without being a consumption point</w:t>
            </w:r>
          </w:p>
        </w:tc>
      </w:tr>
    </w:tbl>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fds-03-019-per-container-piece-cap-mvp"/>
    <w:p>
      <w:pPr>
        <w:pStyle w:val="Heading4"/>
      </w:pPr>
      <w:r>
        <w:t xml:space="preserve">FDS-03-019 — Per-Container Piece Cap —</w:t>
      </w:r>
      <w:r>
        <w:t xml:space="preserve"> </w:t>
      </w:r>
      <w:r>
        <w:rPr>
          <w:rStyle w:val="VerbatimChar"/>
        </w:rPr>
        <w:t xml:space="preserve">MVP</w:t>
      </w:r>
    </w:p>
    <w:p>
      <w:pPr>
        <w:pStyle w:val="FirstParagraph"/>
      </w:pPr>
      <w:r>
        <w:rPr>
          <w:b/>
          <w:bCs/>
        </w:rPr>
        <w:t xml:space="preserve">OI-12 (new v0.10):</w:t>
      </w:r>
      <w:r>
        <w:t xml:space="preserve"> </w:t>
      </w:r>
      <w:r>
        <w:rPr>
          <w:rStyle w:val="VerbatimChar"/>
        </w:rPr>
        <w:t xml:space="preserve">Parts.ContainerConfig.MaxParts INT NULL</w:t>
      </w:r>
      <w:r>
        <w:t xml:space="preserve"> </w:t>
      </w:r>
      <w:r>
        <w:t xml:space="preserve">SHALL hard-cap the total number of pieces a single container can hold, independent of the</w:t>
      </w:r>
      <w:r>
        <w:t xml:space="preserve"> </w:t>
      </w:r>
      <w:r>
        <w:rPr>
          <w:rStyle w:val="VerbatimChar"/>
        </w:rPr>
        <w:t xml:space="preserve">TraysPerContainer × PartsPerTray</w:t>
      </w:r>
      <w:r>
        <w:t xml:space="preserve"> </w:t>
      </w:r>
      <w:r>
        <w:t xml:space="preserve">product. Scan-in mutations SHALL reject when adding pieces would push the container total beyond</w:t>
      </w:r>
      <w:r>
        <w:t xml:space="preserve"> </w:t>
      </w:r>
      <w:r>
        <w:rPr>
          <w:rStyle w:val="VerbatimChar"/>
        </w:rPr>
        <w:t xml:space="preserve">MaxParts</w:t>
      </w:r>
      <w:r>
        <w:t xml:space="preserve">. Rationale: MPP reports operators over-scanning material into containers to minimise re-scans; a configurable per-container cap blocks the workaround.</w:t>
      </w:r>
      <w:r>
        <w:t xml:space="preserve"> </w:t>
      </w:r>
      <w:r>
        <w:rPr>
          <w:rStyle w:val="VerbatimChar"/>
        </w:rPr>
        <w:t xml:space="preserve">MaxParts</w:t>
      </w:r>
      <w:r>
        <w:t xml:space="preserve"> </w:t>
      </w:r>
      <w:r>
        <w:t xml:space="preserve">is NULL-capable for Items that don’t require a hard cap (they still observe tray/container math).</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7"/>
        </w:numPr>
      </w:pPr>
      <w:r>
        <w:t xml:space="preserve">another operator enters different initials, or</w:t>
      </w:r>
    </w:p>
    <w:p>
      <w:pPr>
        <w:pStyle w:val="Compact"/>
        <w:numPr>
          <w:ilvl w:val="0"/>
          <w:numId w:val="1007"/>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78cc5d68796befaa9caa431196ca68b9621ed00"/>
    <w:p>
      <w:pPr>
        <w:pStyle w:val="Heading4"/>
      </w:pPr>
      <w:r>
        <w:t xml:space="preserve">FDS-04-003 — Terminal Mode: Dedicated vs Shared</w:t>
      </w:r>
    </w:p>
    <w:p>
      <w:pPr>
        <w:pStyle w:val="FirstParagraph"/>
      </w:pPr>
      <w:r>
        <w:t xml:space="preserve">Terminals SHALL be classified via a</w:t>
      </w:r>
      <w:r>
        <w:t xml:space="preserve"> </w:t>
      </w:r>
      <w:r>
        <w:rPr>
          <w:rStyle w:val="VerbatimChar"/>
        </w:rPr>
        <w:t xml:space="preserve">LocationAttribute</w:t>
      </w:r>
      <w:r>
        <w:t xml:space="preserve"> </w:t>
      </w:r>
      <w:r>
        <w:t xml:space="preserve">on the Terminal location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default</w:t>
      </w:r>
      <w:r>
        <w:t xml:space="preserve"> </w:t>
      </w:r>
      <w:r>
        <w:rPr>
          <w:rStyle w:val="VerbatimChar"/>
        </w:rPr>
        <w:t xml:space="preserve">Dedicated</w:t>
      </w:r>
      <w:r>
        <w:t xml:space="preserve">).</w:t>
      </w:r>
    </w:p>
    <w:p>
      <w:pPr>
        <w:pStyle w:val="Compact"/>
        <w:numPr>
          <w:ilvl w:val="0"/>
          <w:numId w:val="1008"/>
        </w:numPr>
      </w:pPr>
      <w:r>
        <w:rPr>
          <w:b/>
          <w:bCs/>
        </w:rPr>
        <w:t xml:space="preserve">Dedicated terminals</w:t>
      </w:r>
      <w:r>
        <w:t xml:space="preserve"> </w:t>
      </w:r>
      <w:r>
        <w:t xml:space="preserve">(approx. 80% of the plant — one-to-one with a Cell). The presence context persists across idle gaps, subject only to the 30-minute re-confirmation prompt. Initials do not clear unless explicitly changed.</w:t>
      </w:r>
    </w:p>
    <w:p>
      <w:pPr>
        <w:pStyle w:val="Compact"/>
        <w:numPr>
          <w:ilvl w:val="0"/>
          <w:numId w:val="1008"/>
        </w:numPr>
      </w:pPr>
      <w:r>
        <w:rPr>
          <w:b/>
          <w:bCs/>
        </w:rPr>
        <w:t xml:space="preserve">Shared terminals</w:t>
      </w:r>
      <w:r>
        <w:t xml:space="preserve"> </w:t>
      </w:r>
      <w:r>
        <w:t xml:space="preserve">(trim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09"/>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09"/>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0"/>
        </w:numPr>
      </w:pPr>
      <w:r>
        <w:t xml:space="preserve">Place a LOT on hold</w:t>
      </w:r>
    </w:p>
    <w:p>
      <w:pPr>
        <w:pStyle w:val="Compact"/>
        <w:numPr>
          <w:ilvl w:val="0"/>
          <w:numId w:val="1010"/>
        </w:numPr>
      </w:pPr>
      <w:r>
        <w:t xml:space="preserve">Release a LOT from hold</w:t>
      </w:r>
    </w:p>
    <w:p>
      <w:pPr>
        <w:pStyle w:val="Compact"/>
        <w:numPr>
          <w:ilvl w:val="0"/>
          <w:numId w:val="1010"/>
        </w:numPr>
      </w:pPr>
      <w:r>
        <w:t xml:space="preserve">Override a vision or interlock failure</w:t>
      </w:r>
    </w:p>
    <w:p>
      <w:pPr>
        <w:pStyle w:val="Compact"/>
        <w:numPr>
          <w:ilvl w:val="0"/>
          <w:numId w:val="1010"/>
        </w:numPr>
      </w:pPr>
      <w:r>
        <w:t xml:space="preserve">Scrap a LOT or container</w:t>
      </w:r>
    </w:p>
    <w:p>
      <w:pPr>
        <w:pStyle w:val="Compact"/>
        <w:numPr>
          <w:ilvl w:val="0"/>
          <w:numId w:val="1010"/>
        </w:numPr>
      </w:pPr>
      <w:r>
        <w:t xml:space="preserve">Void or reprint a shipping label</w:t>
      </w:r>
    </w:p>
    <w:p>
      <w:pPr>
        <w:pStyle w:val="Compact"/>
        <w:numPr>
          <w:ilvl w:val="0"/>
          <w:numId w:val="1010"/>
        </w:numPr>
      </w:pPr>
      <w:r>
        <w:t xml:space="preserve">Merge or split LOTs outside of the normal sort workflow</w:t>
      </w:r>
    </w:p>
    <w:p>
      <w:pPr>
        <w:pStyle w:val="Compact"/>
        <w:numPr>
          <w:ilvl w:val="0"/>
          <w:numId w:val="1010"/>
        </w:numPr>
      </w:pPr>
      <w:r>
        <w:t xml:space="preserve">Issue or close a maintenance work order against a tool</w:t>
      </w:r>
    </w:p>
    <w:p>
      <w:pPr>
        <w:pStyle w:val="Compact"/>
        <w:numPr>
          <w:ilvl w:val="0"/>
          <w:numId w:val="1010"/>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0"/>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1"/>
        </w:numPr>
      </w:pPr>
      <w:r>
        <w:t xml:space="preserve">Shop-floor terminal screens SHALL be accessible without interactive authentication; operator presence is sufficient.</w:t>
      </w:r>
    </w:p>
    <w:p>
      <w:pPr>
        <w:pStyle w:val="Compact"/>
        <w:numPr>
          <w:ilvl w:val="0"/>
          <w:numId w:val="1011"/>
        </w:numPr>
      </w:pPr>
      <w:r>
        <w:t xml:space="preserve">Shop-floor screens SHALL NOT expose Configuration Tool or master-data functions.</w:t>
      </w:r>
    </w:p>
    <w:p>
      <w:pPr>
        <w:pStyle w:val="Compact"/>
        <w:numPr>
          <w:ilvl w:val="0"/>
          <w:numId w:val="1011"/>
        </w:numPr>
      </w:pPr>
      <w:r>
        <w:t xml:space="preserve">Configuration Tool, Supervisor dashboards, and Engineering screens SHALL require AD-backed authentication on page entry.</w:t>
      </w:r>
    </w:p>
    <w:p>
      <w:pPr>
        <w:pStyle w:val="Compact"/>
        <w:numPr>
          <w:ilvl w:val="0"/>
          <w:numId w:val="1011"/>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4" w:name="lot-lifecycle-genealogy-mvp"/>
    <w:p>
      <w:pPr>
        <w:pStyle w:val="Heading2"/>
      </w:pPr>
      <w:r>
        <w:t xml:space="preserve">5. LOT Lifecycle &amp; Genealogy —</w:t>
      </w:r>
      <w:r>
        <w:t xml:space="preserve"> </w:t>
      </w:r>
      <w:r>
        <w:rPr>
          <w:rStyle w:val="VerbatimChar"/>
        </w:rPr>
        <w:t xml:space="preserve">MVP</w:t>
      </w:r>
    </w:p>
    <w:bookmarkStart w:id="106"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2"/>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5"/>
    <w:bookmarkEnd w:id="106"/>
    <w:bookmarkStart w:id="110" w:name="lot-creation-workflows"/>
    <w:p>
      <w:pPr>
        <w:pStyle w:val="Heading3"/>
      </w:pPr>
      <w:r>
        <w:t xml:space="preserve">5.2 LOT Creation Workflows</w:t>
      </w:r>
    </w:p>
    <w:bookmarkStart w:id="107"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7"/>
    <w:bookmarkStart w:id="108"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08"/>
    <w:bookmarkStart w:id="109"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09"/>
    <w:bookmarkEnd w:id="110"/>
    <w:bookmarkStart w:id="114" w:name="lot-movement"/>
    <w:p>
      <w:pPr>
        <w:pStyle w:val="Heading3"/>
      </w:pPr>
      <w:r>
        <w:t xml:space="preserve">5.3 LOT Movement</w:t>
      </w:r>
    </w:p>
    <w:bookmarkStart w:id="111"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1"/>
    <w:bookmarkStart w:id="112"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3"/>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3"/>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2"/>
    <w:bookmarkStart w:id="113"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3"/>
    <w:bookmarkEnd w:id="114"/>
    <w:bookmarkStart w:id="121" w:name="sub-lot-splitting"/>
    <w:p>
      <w:pPr>
        <w:pStyle w:val="Heading3"/>
      </w:pPr>
      <w:r>
        <w:t xml:space="preserve">5.4 Sub-LOT Splitting</w:t>
      </w:r>
    </w:p>
    <w:p>
      <w:pPr>
        <w:pStyle w:val="BlockText"/>
      </w:pPr>
      <w:r>
        <w:t xml:space="preserve">🔶</w:t>
      </w:r>
      <w:r>
        <w:t xml:space="preserve"> </w:t>
      </w:r>
      <w:r>
        <w:rPr>
          <w:b/>
          <w:bCs/>
        </w:rPr>
        <w:t xml:space="preserve">REVISED — OI-09 addenda (2026-04-20):</w:t>
      </w:r>
      <w:r>
        <w:t xml:space="preserve"> </w:t>
      </w:r>
      <w:r>
        <w:t xml:space="preserve">Sublots are broader than just the Machining auto-split. They arise in three places: (1)</w:t>
      </w:r>
      <w:r>
        <w:t xml:space="preserve"> </w:t>
      </w:r>
      <w:r>
        <w:rPr>
          <w:b/>
          <w:bCs/>
        </w:rPr>
        <w:t xml:space="preserve">per-cavity sublots at Die Cast</w:t>
      </w:r>
      <w:r>
        <w:t xml:space="preserve"> </w:t>
      </w:r>
      <w:r>
        <w:t xml:space="preserve">— each cavity of a multi-cavity die produces a distinct sublot of the parent LOT running under one part number; (2)</w:t>
      </w:r>
      <w:r>
        <w:t xml:space="preserve"> </w:t>
      </w:r>
      <w:r>
        <w:rPr>
          <w:b/>
          <w:bCs/>
        </w:rPr>
        <w:t xml:space="preserve">basket-level sublots</w:t>
      </w:r>
      <w:r>
        <w:t xml:space="preserve"> </w:t>
      </w:r>
      <w:r>
        <w:t xml:space="preserve">— small baskets are broken out of a parent LOT as they’re filled, each carrying its own label with a parent reference; (3)</w:t>
      </w:r>
      <w:r>
        <w:t xml:space="preserve"> </w:t>
      </w:r>
      <w:r>
        <w:rPr>
          <w:b/>
          <w:bCs/>
        </w:rPr>
        <w:t xml:space="preserve">machining auto-split</w:t>
      </w:r>
      <w:r>
        <w:t xml:space="preserve"> </w:t>
      </w:r>
      <w:r>
        <w:t xml:space="preserve">— the existing UJ-03 workflow. All three use the same data-model pattern: child</w:t>
      </w:r>
      <w:r>
        <w:t xml:space="preserve"> </w:t>
      </w:r>
      <w:r>
        <w:rPr>
          <w:rStyle w:val="VerbatimChar"/>
        </w:rPr>
        <w:t xml:space="preserve">Lot</w:t>
      </w:r>
      <w:r>
        <w:t xml:space="preserve"> </w:t>
      </w:r>
      <w:r>
        <w:t xml:space="preserve">rows carry</w:t>
      </w:r>
      <w:r>
        <w:t xml:space="preserve"> </w:t>
      </w:r>
      <w:r>
        <w:rPr>
          <w:rStyle w:val="VerbatimChar"/>
        </w:rPr>
        <w:t xml:space="preserve">ParentLotId</w:t>
      </w:r>
      <w:r>
        <w:t xml:space="preserve"> </w:t>
      </w:r>
      <w:r>
        <w:t xml:space="preserve">FK,</w:t>
      </w:r>
      <w:r>
        <w:t xml:space="preserve"> </w:t>
      </w:r>
      <w:r>
        <w:rPr>
          <w:rStyle w:val="VerbatimChar"/>
        </w:rPr>
        <w:t xml:space="preserve">LotGenealogy</w:t>
      </w:r>
      <w:r>
        <w:t xml:space="preserve"> </w:t>
      </w:r>
      <w:r>
        <w:t xml:space="preserve">captures the split relationship, and labels reference the parent.</w:t>
      </w:r>
    </w:p>
    <w:bookmarkStart w:id="115" w:name="fds-05-022-sublot-pattern"/>
    <w:p>
      <w:pPr>
        <w:pStyle w:val="Heading4"/>
      </w:pPr>
      <w:r>
        <w:t xml:space="preserve">FDS-05-022 — Sublot Pattern</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bookmarkEnd w:id="115"/>
    <w:bookmarkStart w:id="116" w:name="Xf0405c997d21a9f41ccced07520faa2dac64fd6"/>
    <w:p>
      <w:pPr>
        <w:pStyle w:val="Heading4"/>
      </w:pPr>
      <w:r>
        <w:t xml:space="preserve">FDS-05-023 — Per-Cavity Sublots at Die Cast</w:t>
      </w:r>
    </w:p>
    <w:p>
      <w:pPr>
        <w:pStyle w:val="FirstParagraph"/>
      </w:pPr>
      <w:r>
        <w:t xml:space="preserve">On a multi-cavity die, each cavity’s output MAY be tracked as a distinct sublot of a single parent LOT (the parent representing the die’s production run for a given shift or time window). When the operator opts into per-cavity sublots (configured per Part × Cell — see</w:t>
      </w:r>
      <w:r>
        <w:t xml:space="preserve"> </w:t>
      </w:r>
      <w:r>
        <w:rPr>
          <w:rStyle w:val="VerbatimChar"/>
        </w:rPr>
        <w:t xml:space="preserve">Parts.ItemLocation</w:t>
      </w:r>
      <w:r>
        <w:t xml:space="preserve"> </w:t>
      </w:r>
      <w:r>
        <w:t xml:space="preserve">attributes), the MES SHALL:</w:t>
      </w:r>
    </w:p>
    <w:p>
      <w:pPr>
        <w:pStyle w:val="Compact"/>
        <w:numPr>
          <w:ilvl w:val="0"/>
          <w:numId w:val="1014"/>
        </w:numPr>
      </w:pPr>
      <w:r>
        <w:t xml:space="preserve">On parent LOT creation, create one child sublot per active cavity, pre-associated with</w:t>
      </w:r>
      <w:r>
        <w:t xml:space="preserve"> </w:t>
      </w:r>
      <w:r>
        <w:rPr>
          <w:rStyle w:val="VerbatimChar"/>
        </w:rPr>
        <w:t xml:space="preserve">CavityNumber</w:t>
      </w:r>
      <w:r>
        <w:t xml:space="preserve">.</w:t>
      </w:r>
    </w:p>
    <w:p>
      <w:pPr>
        <w:pStyle w:val="Compact"/>
        <w:numPr>
          <w:ilvl w:val="0"/>
          <w:numId w:val="1014"/>
        </w:numPr>
      </w:pPr>
      <w:r>
        <w:t xml:space="preserve">Apply each die cycle’s piece output to the sublot matching the cavity that produced it (inferred from the machine tag namespace or explicit operator entry).</w:t>
      </w:r>
    </w:p>
    <w:p>
      <w:pPr>
        <w:pStyle w:val="Compact"/>
        <w:numPr>
          <w:ilvl w:val="0"/>
          <w:numId w:val="1014"/>
        </w:numPr>
      </w:pPr>
      <w:r>
        <w:t xml:space="preserve">Print a sublot LTT label for each cavity at container-close time.</w:t>
      </w:r>
    </w:p>
    <w:p>
      <w:pPr>
        <w:pStyle w:val="FirstParagraph"/>
      </w:pPr>
      <w:r>
        <w:t xml:space="preserve">This does NOT contradict FDS-03-017</w:t>
      </w:r>
      <w:r>
        <w:t xml:space="preserve"> </w:t>
      </w:r>
      <w:r>
        <w:t xml:space="preserve">“one part at a time”</w:t>
      </w:r>
      <w:r>
        <w:t xml:space="preserve"> </w:t>
      </w:r>
      <w:r>
        <w:t xml:space="preserve">— all cavities produce the same part number. Cavities producing from a</w:t>
      </w:r>
      <w:r>
        <w:t xml:space="preserve"> </w:t>
      </w:r>
      <w:r>
        <w:rPr>
          <w:rStyle w:val="VerbatimChar"/>
        </w:rPr>
        <w:t xml:space="preserve">ToolCavity</w:t>
      </w:r>
      <w:r>
        <w:t xml:space="preserve"> </w:t>
      </w:r>
      <w:r>
        <w:t xml:space="preserve">row in</w:t>
      </w:r>
      <w:r>
        <w:t xml:space="preserve"> </w:t>
      </w:r>
      <w:r>
        <w:rPr>
          <w:rStyle w:val="VerbatimChar"/>
        </w:rPr>
        <w:t xml:space="preserve">StatusCode = Closed</w:t>
      </w:r>
      <w:r>
        <w:t xml:space="preserve"> </w:t>
      </w:r>
      <w:r>
        <w:t xml:space="preserve">or</w:t>
      </w:r>
      <w:r>
        <w:t xml:space="preserve"> </w:t>
      </w:r>
      <w:r>
        <w:rPr>
          <w:rStyle w:val="VerbatimChar"/>
        </w:rPr>
        <w:t xml:space="preserve">Scrapped</w:t>
      </w:r>
      <w:r>
        <w:t xml:space="preserve"> </w:t>
      </w:r>
      <w:r>
        <w:t xml:space="preserve">SHALL NOT produce a sublot; the die runs on remaining cavities. (FRS 2.1.4, 3.9.12; OI-09 addenda; couples to Phase B Tools schema.)</w:t>
      </w:r>
    </w:p>
    <w:bookmarkEnd w:id="116"/>
    <w:bookmarkStart w:id="117"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17"/>
    <w:bookmarkStart w:id="118"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18"/>
    <w:bookmarkStart w:id="119"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19"/>
    <w:bookmarkStart w:id="120"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0"/>
    <w:bookmarkEnd w:id="121"/>
    <w:bookmarkStart w:id="128"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2"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2"/>
    <w:bookmarkStart w:id="123"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3"/>
    <w:bookmarkStart w:id="124"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4"/>
    <w:bookmarkStart w:id="125"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5"/>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5"/>
        </w:numPr>
      </w:pPr>
      <w:r>
        <w:t xml:space="preserve">If all source LOTs share the same die, the compatibility check is bypassed; proceed to FDS-05-028 (Quality Status Gating).</w:t>
      </w:r>
    </w:p>
    <w:p>
      <w:pPr>
        <w:pStyle w:val="Compact"/>
        <w:numPr>
          <w:ilvl w:val="0"/>
          <w:numId w:val="1015"/>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5"/>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5"/>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5"/>
    <w:bookmarkStart w:id="126"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26"/>
    <w:bookmarkStart w:id="127"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sublots of a multi-cavity parent LOT arrive at a machining cell, the cell SHALL process them first-in-first-out (FIFO) keyed by sublot</w:t>
      </w:r>
      <w:r>
        <w:t xml:space="preserve"> </w:t>
      </w:r>
      <w:r>
        <w:rPr>
          <w:rStyle w:val="VerbatimChar"/>
        </w:rPr>
        <w:t xml:space="preserve">CreatedAt</w:t>
      </w:r>
      <w:r>
        <w:t xml:space="preserve">, grouped by</w:t>
      </w:r>
      <w:r>
        <w:t xml:space="preserve"> </w:t>
      </w:r>
      <w:r>
        <w:rPr>
          <w:rStyle w:val="VerbatimChar"/>
        </w:rPr>
        <w:t xml:space="preserve">CavityNumber</w:t>
      </w:r>
      <w:r>
        <w:t xml:space="preserve">. Each sublot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27"/>
    <w:bookmarkEnd w:id="128"/>
    <w:bookmarkStart w:id="132" w:name="lot-status-transitions"/>
    <w:p>
      <w:pPr>
        <w:pStyle w:val="Heading3"/>
      </w:pPr>
      <w:r>
        <w:t xml:space="preserve">5.6 LOT Status Transitions</w:t>
      </w:r>
    </w:p>
    <w:bookmarkStart w:id="129"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29"/>
    <w:bookmarkStart w:id="130"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0"/>
    <w:bookmarkStart w:id="131"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1"/>
    <w:bookmarkEnd w:id="132"/>
    <w:bookmarkStart w:id="136" w:name="genealogy"/>
    <w:p>
      <w:pPr>
        <w:pStyle w:val="Heading3"/>
      </w:pPr>
      <w:r>
        <w:t xml:space="preserve">5.7 Genealogy</w:t>
      </w:r>
    </w:p>
    <w:bookmarkStart w:id="133"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3"/>
    <w:bookmarkStart w:id="134"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4"/>
    <w:bookmarkStart w:id="135"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35"/>
    <w:bookmarkEnd w:id="136"/>
    <w:bookmarkStart w:id="139" w:name="lot-label-management"/>
    <w:p>
      <w:pPr>
        <w:pStyle w:val="Heading3"/>
      </w:pPr>
      <w:r>
        <w:t xml:space="preserve">5.8 LOT Label Management</w:t>
      </w:r>
    </w:p>
    <w:bookmarkStart w:id="137"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37"/>
    <w:bookmarkStart w:id="138"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38"/>
    <w:bookmarkEnd w:id="139"/>
    <w:bookmarkStart w:id="141" w:name="lot-attribute-auditing"/>
    <w:p>
      <w:pPr>
        <w:pStyle w:val="Heading3"/>
      </w:pPr>
      <w:r>
        <w:t xml:space="preserve">5.9 LOT Attribute Auditing</w:t>
      </w:r>
    </w:p>
    <w:bookmarkStart w:id="140"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0"/>
    <w:bookmarkEnd w:id="141"/>
    <w:bookmarkStart w:id="143"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2"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6"/>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6"/>
        </w:numPr>
      </w:pPr>
      <w:r>
        <w:t xml:space="preserve">For each such item, check whether its BOM’s single line references the scanned LOT’s Item. The matching finished item is the destination part.</w:t>
      </w:r>
    </w:p>
    <w:p>
      <w:pPr>
        <w:pStyle w:val="Compact"/>
        <w:numPr>
          <w:ilvl w:val="0"/>
          <w:numId w:val="1016"/>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6"/>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6"/>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2"/>
    <w:bookmarkEnd w:id="143"/>
    <w:bookmarkEnd w:id="144"/>
    <w:bookmarkStart w:id="185" w:name="production-execution-mvp-expanded"/>
    <w:p>
      <w:pPr>
        <w:pStyle w:val="Heading2"/>
      </w:pPr>
      <w:r>
        <w:t xml:space="preserve">6. Production Execution —</w:t>
      </w:r>
      <w:r>
        <w:t xml:space="preserve"> </w:t>
      </w:r>
      <w:r>
        <w:rPr>
          <w:rStyle w:val="VerbatimChar"/>
        </w:rPr>
        <w:t xml:space="preserve">MVP-EXPANDED</w:t>
      </w:r>
    </w:p>
    <w:bookmarkStart w:id="145"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45"/>
    <w:bookmarkStart w:id="149" w:name="die-cast-workflow"/>
    <w:p>
      <w:pPr>
        <w:pStyle w:val="Heading3"/>
      </w:pPr>
      <w:r>
        <w:t xml:space="preserve">6.2 Die Cast Workflow</w:t>
      </w:r>
    </w:p>
    <w:bookmarkStart w:id="146"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46"/>
    <w:bookmarkStart w:id="147"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47"/>
    <w:bookmarkStart w:id="148" w:name="fds-06-003-die-cast-production-event"/>
    <w:p>
      <w:pPr>
        <w:pStyle w:val="Heading4"/>
      </w:pPr>
      <w:r>
        <w:t xml:space="preserve">FDS-06-003 — Die Cast Production Event</w:t>
      </w:r>
    </w:p>
    <w:p>
      <w:pPr>
        <w:pStyle w:val="FirstParagraph"/>
      </w:pPr>
      <w:r>
        <w:t xml:space="preserve">On submission,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header carrying</w:t>
      </w:r>
      <w:r>
        <w:t xml:space="preserve"> </w:t>
      </w:r>
      <w:r>
        <w:rPr>
          <w:rStyle w:val="VerbatimChar"/>
        </w:rPr>
        <w:t xml:space="preserve">OperationTemplateId</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ItemId</w:t>
      </w:r>
      <w:r>
        <w:t xml:space="preserve">,</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 </w:t>
      </w:r>
      <w:r>
        <w:t xml:space="preserve">(from the machine’s</w:t>
      </w:r>
      <w:r>
        <w:t xml:space="preserve"> </w:t>
      </w:r>
      <w:r>
        <w:rPr>
          <w:rStyle w:val="VerbatimChar"/>
        </w:rPr>
        <w:t xml:space="preserve">LocationAttribute</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OperatorId</w:t>
      </w:r>
      <w:r>
        <w:t xml:space="preserve">,</w:t>
      </w:r>
      <w:r>
        <w:t xml:space="preserve"> </w:t>
      </w:r>
      <w:r>
        <w:rPr>
          <w:rStyle w:val="VerbatimChar"/>
        </w:rPr>
        <w:t xml:space="preserve">TerminalLocationId</w:t>
      </w:r>
      <w:r>
        <w:t xml:space="preserve">, and</w:t>
      </w:r>
      <w:r>
        <w:t xml:space="preserve"> </w:t>
      </w:r>
      <w:r>
        <w:rPr>
          <w:rStyle w:val="VerbatimChar"/>
        </w:rPr>
        <w:t xml:space="preserve">RecordedAt</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good count.</w:t>
      </w:r>
      <w:r>
        <w:t xml:space="preserve"> </w:t>
      </w:r>
      <w:r>
        <w:t xml:space="preserve">4. Log to</w:t>
      </w:r>
      <w:r>
        <w:t xml:space="preserve"> </w:t>
      </w:r>
      <w:r>
        <w:rPr>
          <w:rStyle w:val="VerbatimChar"/>
        </w:rPr>
        <w:t xml:space="preserve">Audit.OperationLog</w:t>
      </w:r>
      <w:r>
        <w:t xml:space="preserve">.</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48"/>
    <w:bookmarkEnd w:id="149"/>
    <w:bookmarkStart w:id="153" w:name="trim-shop-workflow"/>
    <w:p>
      <w:pPr>
        <w:pStyle w:val="Heading3"/>
      </w:pPr>
      <w:r>
        <w:t xml:space="preserve">6.3 Trim Shop Workflow</w:t>
      </w:r>
    </w:p>
    <w:bookmarkStart w:id="150"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0"/>
    <w:bookmarkStart w:id="151"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1"/>
    <w:bookmarkStart w:id="152"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2"/>
    <w:bookmarkEnd w:id="153"/>
    <w:bookmarkStart w:id="157" w:name="machining-workflow"/>
    <w:p>
      <w:pPr>
        <w:pStyle w:val="Heading3"/>
      </w:pPr>
      <w:r>
        <w:t xml:space="preserve">6.4 Machining Workflow</w:t>
      </w:r>
    </w:p>
    <w:bookmarkStart w:id="154"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4"/>
    <w:bookmarkStart w:id="155"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55"/>
    <w:bookmarkStart w:id="156"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56"/>
    <w:bookmarkEnd w:id="157"/>
    <w:bookmarkStart w:id="161" w:name="assembly-workflow-serialized-lines"/>
    <w:p>
      <w:pPr>
        <w:pStyle w:val="Heading3"/>
      </w:pPr>
      <w:r>
        <w:t xml:space="preserve">6.5 Assembly Workflow — Serialized Lines</w:t>
      </w:r>
    </w:p>
    <w:bookmarkStart w:id="158"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58"/>
    <w:bookmarkStart w:id="159"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59"/>
    <w:bookmarkStart w:id="160"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0"/>
    <w:bookmarkEnd w:id="161"/>
    <w:bookmarkStart w:id="164" w:name="assembly-workflow-non-serialized-lines"/>
    <w:p>
      <w:pPr>
        <w:pStyle w:val="Heading3"/>
      </w:pPr>
      <w:r>
        <w:t xml:space="preserve">6.6 Assembly Workflow — Non-Serialized Lines</w:t>
      </w:r>
    </w:p>
    <w:bookmarkStart w:id="162"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2"/>
    <w:bookmarkStart w:id="163"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3"/>
    <w:bookmarkEnd w:id="164"/>
    <w:bookmarkStart w:id="167" w:name="production-events"/>
    <w:p>
      <w:pPr>
        <w:pStyle w:val="Heading3"/>
      </w:pPr>
      <w:r>
        <w:t xml:space="preserve">6.7 Production Events</w:t>
      </w:r>
    </w:p>
    <w:bookmarkStart w:id="165"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65"/>
    <w:bookmarkStart w:id="166"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66"/>
    <w:bookmarkEnd w:id="167"/>
    <w:bookmarkStart w:id="172" w:name="reject-events-and-scrap-handling"/>
    <w:p>
      <w:pPr>
        <w:pStyle w:val="Heading3"/>
      </w:pPr>
      <w:r>
        <w:t xml:space="preserve">6.8 Reject Events and Scrap Handling</w:t>
      </w:r>
    </w:p>
    <w:bookmarkStart w:id="168"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68"/>
    <w:bookmarkStart w:id="169"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69"/>
    <w:bookmarkStart w:id="170"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7"/>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7"/>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8"/>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8"/>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0"/>
    <w:bookmarkStart w:id="171"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19"/>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19"/>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1"/>
    <w:bookmarkEnd w:id="172"/>
    <w:bookmarkStart w:id="175" w:name="consumption-events"/>
    <w:p>
      <w:pPr>
        <w:pStyle w:val="Heading3"/>
      </w:pPr>
      <w:r>
        <w:t xml:space="preserve">6.9 Consumption Events</w:t>
      </w:r>
    </w:p>
    <w:bookmarkStart w:id="173"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3"/>
    <w:bookmarkStart w:id="174"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4"/>
    <w:bookmarkEnd w:id="175"/>
    <w:bookmarkStart w:id="184" w:name="Xa16d6ec4751f5634d31a4731659e76d8ad50fe6"/>
    <w:p>
      <w:pPr>
        <w:pStyle w:val="Heading3"/>
      </w:pPr>
      <w:r>
        <w:t xml:space="preserve">6.10 Work Orders —</w:t>
      </w:r>
      <w:r>
        <w:t xml:space="preserve"> </w:t>
      </w:r>
      <w:r>
        <w:rPr>
          <w:rStyle w:val="VerbatimChar"/>
        </w:rPr>
        <w:t xml:space="preserve">MVP-LITE</w:t>
      </w:r>
      <w:r>
        <w:t xml:space="preserve"> </w:t>
      </w:r>
      <w:r>
        <w:t xml:space="preserve">(with Maintenance flow</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(2026-04-20):</w:t>
      </w:r>
      <w:r>
        <w:t xml:space="preserve"> </w:t>
      </w:r>
      <w:r>
        <w:t xml:space="preserve">Three work-order types exist:</w:t>
      </w:r>
      <w:r>
        <w:t xml:space="preserve"> </w:t>
      </w:r>
      <w:r>
        <w:rPr>
          <w:b/>
          <w:bCs/>
        </w:rPr>
        <w:t xml:space="preserve">Demand</w:t>
      </w:r>
      <w:r>
        <w:t xml:space="preserve"> </w:t>
      </w:r>
      <w:r>
        <w:t xml:space="preserve">(production, MVP-Lite — existing auto-generation behaviour),</w:t>
      </w:r>
      <w:r>
        <w:t xml:space="preserve"> </w:t>
      </w:r>
      <w:r>
        <w:rPr>
          <w:b/>
          <w:bCs/>
        </w:rPr>
        <w:t xml:space="preserve">Maintenance</w:t>
      </w:r>
      <w:r>
        <w:t xml:space="preserve"> </w:t>
      </w:r>
      <w:r>
        <w:t xml:space="preserve">(targets a</w:t>
      </w:r>
      <w:r>
        <w:t xml:space="preserve"> </w:t>
      </w:r>
      <w:r>
        <w:rPr>
          <w:rStyle w:val="VerbatimChar"/>
        </w:rPr>
        <w:t xml:space="preserve">Tools.Tool</w:t>
      </w:r>
      <w:r>
        <w:t xml:space="preserve">; flow is FUTURE, schema hook only in MVP),</w:t>
      </w:r>
      <w:r>
        <w:t xml:space="preserve"> </w:t>
      </w:r>
      <w:r>
        <w:rPr>
          <w:b/>
          <w:bCs/>
        </w:rPr>
        <w:t xml:space="preserve">Recipe</w:t>
      </w:r>
      <w:r>
        <w:t xml:space="preserve"> </w:t>
      </w:r>
      <w:r>
        <w:t xml:space="preserve">(configuration/recipe context; hidden from operator). Data model v1.7 added</w:t>
      </w:r>
      <w:r>
        <w:t xml:space="preserve"> </w:t>
      </w:r>
      <w:r>
        <w:rPr>
          <w:rStyle w:val="VerbatimChar"/>
        </w:rPr>
        <w:t xml:space="preserve">Workorder.WorkOrderType</w:t>
      </w:r>
      <w:r>
        <w:t xml:space="preserve"> </w:t>
      </w:r>
      <w:r>
        <w:t xml:space="preserve">code table and</w:t>
      </w:r>
      <w:r>
        <w:t xml:space="preserve"> </w:t>
      </w:r>
      <w:r>
        <w:rPr>
          <w:rStyle w:val="VerbatimChar"/>
        </w:rPr>
        <w:t xml:space="preserve">WorkOrderTypeId</w:t>
      </w:r>
      <w:r>
        <w:t xml:space="preserve"> </w:t>
      </w:r>
      <w:r>
        <w:t xml:space="preserve">+ nullable</w:t>
      </w:r>
      <w:r>
        <w:t xml:space="preserve"> </w:t>
      </w:r>
      <w:r>
        <w:rPr>
          <w:rStyle w:val="VerbatimChar"/>
        </w:rPr>
        <w:t xml:space="preserve">ToolId</w:t>
      </w:r>
      <w:r>
        <w:t xml:space="preserve"> </w:t>
      </w:r>
      <w:r>
        <w:t xml:space="preserve">columns on</w:t>
      </w:r>
      <w:r>
        <w:t xml:space="preserve"> </w:t>
      </w:r>
      <w:r>
        <w:rPr>
          <w:rStyle w:val="VerbatimChar"/>
        </w:rPr>
        <w:t xml:space="preserve">Workorder.WorkOrder</w:t>
      </w:r>
      <w:r>
        <w:t xml:space="preserve">. Ben (MPP maintenance-engine SME) owes the Maintenance lifecycle, scheduling, and integration scope before the Maintenance flow can be delivered.</w:t>
      </w:r>
    </w:p>
    <w:bookmarkStart w:id="176" w:name="Xd66e3d99b8361e245e8d26b4cae7edbe1843982"/>
    <w:p>
      <w:pPr>
        <w:pStyle w:val="Heading4"/>
      </w:pPr>
      <w:r>
        <w:t xml:space="preserve">FDS-06-022 — Work Order Auto-Generation (Demand Type)</w:t>
      </w:r>
    </w:p>
    <w:p>
      <w:pPr>
        <w:pStyle w:val="FirstParagraph"/>
      </w:pPr>
      <w:r>
        <w:t xml:space="preserve">The system SHALL auto-generate</w:t>
      </w:r>
      <w:r>
        <w:t xml:space="preserve"> </w:t>
      </w:r>
      <w:r>
        <w:rPr>
          <w:b/>
          <w:bCs/>
        </w:rPr>
        <w:t xml:space="preserve">Demand-type</w:t>
      </w:r>
      <w:r>
        <w:t xml:space="preserve"> </w:t>
      </w:r>
      <w:r>
        <w:t xml:space="preserve">internal work orders when production activity begins on a LOT. Operators SHALL NOT see, create, or interact with Demand work orders directly — they remain invisible bookkeeping. Auto-generation semantics are unchanged from the pre-v0.9 MVP-Lite design. Demand WOs SHALL be created with</w:t>
      </w:r>
      <w:r>
        <w:t xml:space="preserve"> </w:t>
      </w:r>
      <w:r>
        <w:rPr>
          <w:rStyle w:val="VerbatimChar"/>
        </w:rPr>
        <w:t xml:space="preserve">WorkOrderType.Code = Demand</w:t>
      </w:r>
      <w:r>
        <w:t xml:space="preserve"> </w:t>
      </w:r>
      <w:r>
        <w:t xml:space="preserve">and</w:t>
      </w:r>
      <w:r>
        <w:t xml:space="preserve"> </w:t>
      </w:r>
      <w:r>
        <w:rPr>
          <w:rStyle w:val="VerbatimChar"/>
        </w:rPr>
        <w:t xml:space="preserve">ToolId = NULL</w:t>
      </w:r>
      <w:r>
        <w:t xml:space="preserve">. (FRS 3.1.5)</w:t>
      </w:r>
    </w:p>
    <w:bookmarkEnd w:id="176"/>
    <w:bookmarkStart w:id="177"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0"/>
        </w:numPr>
      </w:pPr>
      <w:r>
        <w:rPr>
          <w:rStyle w:val="VerbatimChar"/>
        </w:rPr>
        <w:t xml:space="preserve">WorkOrderType</w:t>
      </w:r>
      <w:r>
        <w:t xml:space="preserve"> </w:t>
      </w:r>
      <w:r>
        <w:t xml:space="preserve">discriminator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 FK to</w:t>
      </w:r>
      <w:r>
        <w:t xml:space="preserve"> </w:t>
      </w:r>
      <w:r>
        <w:rPr>
          <w:rStyle w:val="VerbatimChar"/>
        </w:rPr>
        <w:t xml:space="preserve">Workorder.WorkOrderType</w:t>
      </w:r>
    </w:p>
    <w:p>
      <w:pPr>
        <w:pStyle w:val="Compact"/>
        <w:numPr>
          <w:ilvl w:val="0"/>
          <w:numId w:val="1020"/>
        </w:numPr>
      </w:pPr>
      <w:r>
        <w:rPr>
          <w:rStyle w:val="VerbatimChar"/>
        </w:rPr>
        <w:t xml:space="preserve">ItemId</w:t>
      </w:r>
      <w:r>
        <w:t xml:space="preserve"> </w:t>
      </w:r>
      <w:r>
        <w:t xml:space="preserve">— FK to the part being produced (NOT NULL for Demand; MAY be NULL for Maintenance if the WO targets a tool rather than a part; NOT NULL for Recipe)</w:t>
      </w:r>
    </w:p>
    <w:p>
      <w:pPr>
        <w:pStyle w:val="Compact"/>
        <w:numPr>
          <w:ilvl w:val="0"/>
          <w:numId w:val="1020"/>
        </w:numPr>
      </w:pPr>
      <w:r>
        <w:rPr>
          <w:rStyle w:val="VerbatimChar"/>
        </w:rPr>
        <w:t xml:space="preserve">RouteTemplateId</w:t>
      </w:r>
      <w:r>
        <w:t xml:space="preserve"> </w:t>
      </w:r>
      <w:r>
        <w:t xml:space="preserve">— FK to the route template version active at creation</w:t>
      </w:r>
    </w:p>
    <w:p>
      <w:pPr>
        <w:pStyle w:val="Compact"/>
        <w:numPr>
          <w:ilvl w:val="0"/>
          <w:numId w:val="1020"/>
        </w:numPr>
      </w:pPr>
      <w:r>
        <w:rPr>
          <w:rStyle w:val="VerbatimChar"/>
        </w:rPr>
        <w:t xml:space="preserve">ToolId</w:t>
      </w:r>
      <w:r>
        <w:t xml:space="preserve"> </w:t>
      </w:r>
      <w:r>
        <w:t xml:space="preserve">— FK to</w:t>
      </w:r>
      <w:r>
        <w:t xml:space="preserve"> </w:t>
      </w:r>
      <w:r>
        <w:rPr>
          <w:rStyle w:val="VerbatimChar"/>
        </w:rPr>
        <w:t xml:space="preserve">Tools.Tool</w:t>
      </w:r>
      <w:r>
        <w:t xml:space="preserve">, nullable. Populated only for</w:t>
      </w:r>
      <w:r>
        <w:t xml:space="preserve"> </w:t>
      </w:r>
      <w:r>
        <w:rPr>
          <w:rStyle w:val="VerbatimChar"/>
        </w:rPr>
        <w:t xml:space="preserve">WorkOrderType = Maintenance</w:t>
      </w:r>
      <w:r>
        <w:t xml:space="preserve">; enforced at the stored-procedure layer because Recipe WOs legitimately leave it NULL.</w:t>
      </w:r>
    </w:p>
    <w:p>
      <w:pPr>
        <w:pStyle w:val="Compact"/>
        <w:numPr>
          <w:ilvl w:val="0"/>
          <w:numId w:val="1020"/>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77"/>
    <w:bookmarkStart w:id="178"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Maintenance and Recipe WOs that have no ProductionEvents), the evidence layer operates standalone.</w:t>
      </w:r>
    </w:p>
    <w:bookmarkEnd w:id="178"/>
    <w:bookmarkStart w:id="179"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 three read-only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Demand</w:t>
            </w:r>
          </w:p>
        </w:tc>
        <w:tc>
          <w:tcPr/>
          <w:p>
            <w:pPr>
              <w:pStyle w:val="Compact"/>
            </w:pPr>
            <w:r>
              <w:t xml:space="preserve">Demand Work Order</w:t>
            </w:r>
          </w:p>
        </w:tc>
        <w:tc>
          <w:tcPr/>
          <w:p>
            <w:pPr>
              <w:pStyle w:val="Compact"/>
            </w:pPr>
            <w:r>
              <w:rPr>
                <w:rStyle w:val="VerbatimChar"/>
              </w:rPr>
              <w:t xml:space="preserve">MVP-LITE</w:t>
            </w:r>
            <w:r>
              <w:t xml:space="preserve"> </w:t>
            </w:r>
            <w:r>
              <w:t xml:space="preserve">— auto-generated, invisible to operators (FDS-06-022).</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rPr>
                <w:rStyle w:val="VerbatimChar"/>
              </w:rPr>
              <w:t xml:space="preserve">FUTURE</w:t>
            </w:r>
            <w:r>
              <w:t xml:space="preserve"> </w:t>
            </w:r>
            <w:r>
              <w:t xml:space="preserve">flow — schema hook only in MVP. Targets a</w:t>
            </w:r>
            <w:r>
              <w:t xml:space="preserve"> </w:t>
            </w:r>
            <w:r>
              <w:rPr>
                <w:rStyle w:val="VerbatimChar"/>
              </w:rPr>
              <w:t xml:space="preserve">Tools.Tool</w:t>
            </w:r>
            <w:r>
              <w:t xml:space="preserve">.</w:t>
            </w:r>
          </w:p>
        </w:tc>
      </w:tr>
      <w:tr>
        <w:tc>
          <w:tcPr/>
          <w:p>
            <w:pPr>
              <w:pStyle w:val="Compact"/>
            </w:pPr>
            <w:r>
              <w:t xml:space="preserve">Recipe</w:t>
            </w:r>
          </w:p>
        </w:tc>
        <w:tc>
          <w:tcPr/>
          <w:p>
            <w:pPr>
              <w:pStyle w:val="Compact"/>
            </w:pPr>
            <w:r>
              <w:t xml:space="preserve">Recipe Work Order</w:t>
            </w:r>
          </w:p>
        </w:tc>
        <w:tc>
          <w:tcPr/>
          <w:p>
            <w:pPr>
              <w:pStyle w:val="Compact"/>
            </w:pPr>
            <w:r>
              <w:rPr>
                <w:rStyle w:val="VerbatimChar"/>
              </w:rPr>
              <w:t xml:space="preserve">MVP-LITE</w:t>
            </w:r>
            <w:r>
              <w:t xml:space="preserve"> </w:t>
            </w:r>
            <w:r>
              <w:t xml:space="preserve">— hidden from operator; used for configuration/recipe context.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Demand</w:t>
      </w:r>
      <w:r>
        <w:t xml:space="preserve">. Create-proc defaults SHALL set</w:t>
      </w:r>
      <w:r>
        <w:t xml:space="preserve"> </w:t>
      </w:r>
      <w:r>
        <w:rPr>
          <w:rStyle w:val="VerbatimChar"/>
        </w:rPr>
        <w:t xml:space="preserve">WorkOrderTypeId = Demand</w:t>
      </w:r>
      <w:r>
        <w:t xml:space="preserve"> </w:t>
      </w:r>
      <w:r>
        <w:t xml:space="preserve">so Phase 1–8 callers keep working unchanged.</w:t>
      </w:r>
    </w:p>
    <w:bookmarkEnd w:id="179"/>
    <w:bookmarkStart w:id="180" w:name="X0eb9d3c7887a1772a4deb1097d62a07de65074a"/>
    <w:p>
      <w:pPr>
        <w:pStyle w:val="Heading4"/>
      </w:pPr>
      <w:r>
        <w:t xml:space="preserve">FDS-06-026 — Maintenance Work Orders —</w:t>
      </w:r>
      <w:r>
        <w:t xml:space="preserve"> </w:t>
      </w:r>
      <w:r>
        <w:rPr>
          <w:rStyle w:val="VerbatimChar"/>
        </w:rPr>
        <w:t xml:space="preserve">FUTURE</w:t>
      </w:r>
    </w:p>
    <w:p>
      <w:pPr>
        <w:pStyle w:val="FirstParagraph"/>
      </w:pPr>
      <w:r>
        <w:t xml:space="preserve">Maintenance work orders target a</w:t>
      </w:r>
      <w:r>
        <w:t xml:space="preserve"> </w:t>
      </w:r>
      <w:r>
        <w:rPr>
          <w:rStyle w:val="VerbatimChar"/>
        </w:rPr>
        <w:t xml:space="preserve">Tools.Tool</w:t>
      </w:r>
      <w:r>
        <w:t xml:space="preserve"> </w:t>
      </w:r>
      <w:r>
        <w:t xml:space="preserve">and coordinate with the MPP maintenance team’s existing engine (details owed by Ben). The schema hook is</w:t>
      </w:r>
      <w:r>
        <w:t xml:space="preserve"> </w:t>
      </w:r>
      <w:r>
        <w:rPr>
          <w:b/>
          <w:bCs/>
        </w:rPr>
        <w:t xml:space="preserve">MVP</w:t>
      </w:r>
      <w:r>
        <w:t xml:space="preserve">: the</w:t>
      </w:r>
      <w:r>
        <w:t xml:space="preserve"> </w:t>
      </w:r>
      <w:r>
        <w:rPr>
          <w:rStyle w:val="VerbatimChar"/>
        </w:rPr>
        <w:t xml:space="preserve">WorkOrderType = Maintenance</w:t>
      </w:r>
      <w:r>
        <w:t xml:space="preserve"> </w:t>
      </w:r>
      <w:r>
        <w:t xml:space="preserve">seed row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The</w:t>
      </w:r>
      <w:r>
        <w:t xml:space="preserve"> </w:t>
      </w:r>
      <w:r>
        <w:rPr>
          <w:b/>
          <w:bCs/>
        </w:rPr>
        <w:t xml:space="preserve">flow</w:t>
      </w:r>
      <w:r>
        <w:t xml:space="preserve"> </w:t>
      </w:r>
      <w:r>
        <w:t xml:space="preserve">is</w:t>
      </w:r>
      <w:r>
        <w:t xml:space="preserve"> </w:t>
      </w:r>
      <w:r>
        <w:rPr>
          <w:rStyle w:val="VerbatimChar"/>
        </w:rPr>
        <w:t xml:space="preserve">FUTURE</w:t>
      </w:r>
      <w:r>
        <w:t xml:space="preserve">: no Perspective screens, no state machine, no scheduling, no integration with the maintenance team’s tooling in MVP. When activated, Maintenance WOs SHALL be creatable only via the Configuration Tool (admin) with full FDS-04-007 elevation. Maintenance operators SHALL use a separate Perspective view (out of scope for MVP) that does not mix with production screens.</w:t>
      </w:r>
    </w:p>
    <w:bookmarkEnd w:id="180"/>
    <w:bookmarkStart w:id="181" w:name="fds-06-027-recipe-work-orders"/>
    <w:p>
      <w:pPr>
        <w:pStyle w:val="Heading4"/>
      </w:pPr>
      <w:r>
        <w:t xml:space="preserve">FDS-06-027 — Recipe Work Orders</w:t>
      </w:r>
    </w:p>
    <w:p>
      <w:pPr>
        <w:pStyle w:val="FirstParagraph"/>
      </w:pPr>
      <w:r>
        <w:t xml:space="preserve">Recipe work orders provide configuration / recipe context for Engineering-managed part changes. They SHALL be created by the Configuration Tool and SHALL NOT appear on any operator-facing screen.</w:t>
      </w:r>
      <w:r>
        <w:t xml:space="preserve"> </w:t>
      </w:r>
      <w:r>
        <w:rPr>
          <w:rStyle w:val="VerbatimChar"/>
        </w:rPr>
        <w:t xml:space="preserve">ToolId</w:t>
      </w:r>
      <w:r>
        <w:t xml:space="preserve"> </w:t>
      </w:r>
      <w:r>
        <w:t xml:space="preserve">is always NULL for Recipe WOs. Recipe WOs carry</w:t>
      </w:r>
      <w:r>
        <w:t xml:space="preserve"> </w:t>
      </w:r>
      <w:r>
        <w:rPr>
          <w:rStyle w:val="VerbatimChar"/>
        </w:rPr>
        <w:t xml:space="preserve">ItemId</w:t>
      </w:r>
      <w:r>
        <w:t xml:space="preserve"> </w:t>
      </w:r>
      <w:r>
        <w:t xml:space="preserve">to identify the part whose recipe is being configured, and MAY carry a</w:t>
      </w:r>
      <w:r>
        <w:t xml:space="preserve"> </w:t>
      </w:r>
      <w:r>
        <w:rPr>
          <w:rStyle w:val="VerbatimChar"/>
        </w:rPr>
        <w:t xml:space="preserve">RouteTemplateId</w:t>
      </w:r>
      <w:r>
        <w:t xml:space="preserve"> </w:t>
      </w:r>
      <w:r>
        <w:t xml:space="preserve">when the recipe change affects a specific route version. No separate UI in MVP — surfaced only in Configuration Tool audit views.</w:t>
      </w:r>
    </w:p>
    <w:p>
      <w:pPr>
        <w:pStyle w:val="BlockText"/>
      </w:pPr>
      <w:r>
        <w:t xml:space="preserve">ℹ️</w:t>
      </w:r>
      <w:r>
        <w:t xml:space="preserve"> </w:t>
      </w:r>
      <w:r>
        <w:rPr>
          <w:b/>
          <w:bCs/>
        </w:rPr>
        <w:t xml:space="preserve">Maintenance WO flow status:</w:t>
      </w:r>
      <w:r>
        <w:t xml:space="preserve"> </w:t>
      </w:r>
      <w:r>
        <w:t xml:space="preserve">The MVP schema hook is delivered via Phase G SQL migration</w:t>
      </w:r>
      <w:r>
        <w:t xml:space="preserve"> </w:t>
      </w:r>
      <w:r>
        <w:rPr>
          <w:rStyle w:val="VerbatimChar"/>
        </w:rPr>
        <w:t xml:space="preserve">0010_phase9_tools_and_workorder.sql</w:t>
      </w:r>
      <w:r>
        <w:t xml:space="preserve">. Full Maintenance flow is</w:t>
      </w:r>
      <w:r>
        <w:t xml:space="preserve"> </w:t>
      </w:r>
      <w:r>
        <w:rPr>
          <w:rStyle w:val="VerbatimChar"/>
        </w:rPr>
        <w:t xml:space="preserve">FUTURE</w:t>
      </w:r>
      <w:r>
        <w:t xml:space="preserve"> </w:t>
      </w:r>
      <w:r>
        <w:t xml:space="preserve">— Ben owes a separate scope document covering lifecycle (request → scheduled → in progress → closed), maintenance-team integration, and whether the MPP maintenance engine generates WOs directly or consumes them from the MES.</w:t>
      </w:r>
    </w:p>
    <w:bookmarkEnd w:id="181"/>
    <w:bookmarkStart w:id="182"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Demand Work Orders SHALL support two automatic-finish modes, configurable per WO:</w:t>
      </w:r>
    </w:p>
    <w:p>
      <w:pPr>
        <w:pStyle w:val="Compact"/>
        <w:numPr>
          <w:ilvl w:val="0"/>
          <w:numId w:val="1021"/>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1"/>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2"/>
    <w:bookmarkStart w:id="183"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r>
        <w:pict>
          <v:rect style="width:0;height:1.5pt" o:hralign="center" o:hrstd="t" o:hr="t"/>
        </w:pict>
      </w:r>
    </w:p>
    <w:bookmarkEnd w:id="183"/>
    <w:bookmarkEnd w:id="184"/>
    <w:bookmarkEnd w:id="185"/>
    <w:bookmarkStart w:id="212" w:name="container-management-shipping-mvp"/>
    <w:p>
      <w:pPr>
        <w:pStyle w:val="Heading2"/>
      </w:pPr>
      <w:r>
        <w:t xml:space="preserve">7. Container Management &amp; Shipping —</w:t>
      </w:r>
      <w:r>
        <w:t xml:space="preserve"> </w:t>
      </w:r>
      <w:r>
        <w:rPr>
          <w:rStyle w:val="VerbatimChar"/>
        </w:rPr>
        <w:t xml:space="preserve">MVP</w:t>
      </w:r>
    </w:p>
    <w:bookmarkStart w:id="186"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86"/>
    <w:bookmarkStart w:id="192" w:name="container-lifecycle"/>
    <w:p>
      <w:pPr>
        <w:pStyle w:val="Heading3"/>
      </w:pPr>
      <w:r>
        <w:t xml:space="preserve">7.2 Container Lifecycle</w:t>
      </w:r>
    </w:p>
    <w:bookmarkStart w:id="187"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87"/>
    <w:bookmarkStart w:id="188"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88"/>
    <w:bookmarkStart w:id="189"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89"/>
    <w:bookmarkStart w:id="190"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0"/>
    <w:bookmarkStart w:id="191"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1"/>
    <w:bookmarkEnd w:id="192"/>
    <w:bookmarkStart w:id="197" w:name="shipping-labels"/>
    <w:p>
      <w:pPr>
        <w:pStyle w:val="Heading3"/>
      </w:pPr>
      <w:r>
        <w:t xml:space="preserve">7.3 Shipping Labels</w:t>
      </w:r>
    </w:p>
    <w:bookmarkStart w:id="193"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3"/>
    <w:bookmarkStart w:id="194"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4"/>
    <w:bookmarkStart w:id="195"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95"/>
    <w:bookmarkStart w:id="196"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96"/>
    <w:bookmarkEnd w:id="197"/>
    <w:bookmarkStart w:id="201" w:name="aim-integration"/>
    <w:p>
      <w:pPr>
        <w:pStyle w:val="Heading3"/>
      </w:pPr>
      <w:r>
        <w:t xml:space="preserve">7.4 AIM Integration</w:t>
      </w:r>
    </w:p>
    <w:bookmarkStart w:id="198"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198"/>
    <w:bookmarkStart w:id="199"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199"/>
    <w:bookmarkStart w:id="200"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0"/>
    <w:bookmarkEnd w:id="201"/>
    <w:bookmarkStart w:id="204" w:name="shipping-dock-workflow"/>
    <w:p>
      <w:pPr>
        <w:pStyle w:val="Heading3"/>
      </w:pPr>
      <w:r>
        <w:t xml:space="preserve">7.5 Shipping Dock Workflow</w:t>
      </w:r>
    </w:p>
    <w:bookmarkStart w:id="202"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2"/>
    <w:bookmarkStart w:id="203"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3"/>
    <w:bookmarkEnd w:id="204"/>
    <w:bookmarkStart w:id="207" w:name="container-holds"/>
    <w:p>
      <w:pPr>
        <w:pStyle w:val="Heading3"/>
      </w:pPr>
      <w:r>
        <w:t xml:space="preserve">7.6 Container Holds</w:t>
      </w:r>
    </w:p>
    <w:bookmarkStart w:id="205"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05"/>
    <w:bookmarkStart w:id="206"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06"/>
    <w:bookmarkEnd w:id="207"/>
    <w:bookmarkStart w:id="211" w:name="sort-cage-mvp-expanded"/>
    <w:p>
      <w:pPr>
        <w:pStyle w:val="Heading3"/>
      </w:pPr>
      <w:r>
        <w:t xml:space="preserve">7.7 Sort Cage —</w:t>
      </w:r>
      <w:r>
        <w:t xml:space="preserve"> </w:t>
      </w:r>
      <w:r>
        <w:rPr>
          <w:rStyle w:val="VerbatimChar"/>
        </w:rPr>
        <w:t xml:space="preserve">MVP-EXPANDED</w:t>
      </w:r>
    </w:p>
    <w:bookmarkStart w:id="208"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08"/>
    <w:bookmarkStart w:id="209"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09"/>
    <w:bookmarkStart w:id="210"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2"/>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2"/>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2"/>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0"/>
    <w:bookmarkEnd w:id="211"/>
    <w:bookmarkEnd w:id="212"/>
    <w:bookmarkStart w:id="238" w:name="quality-hold-management-mixed-scope"/>
    <w:p>
      <w:pPr>
        <w:pStyle w:val="Heading2"/>
      </w:pPr>
      <w:r>
        <w:t xml:space="preserve">8. Quality &amp; Hold Management — MIXED SCOPE</w:t>
      </w:r>
    </w:p>
    <w:bookmarkStart w:id="213"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3"/>
    <w:bookmarkStart w:id="222" w:name="hold-management-mvp-expanded"/>
    <w:p>
      <w:pPr>
        <w:pStyle w:val="Heading3"/>
      </w:pPr>
      <w:r>
        <w:t xml:space="preserve">8.2 Hold Management —</w:t>
      </w:r>
      <w:r>
        <w:t xml:space="preserve"> </w:t>
      </w:r>
      <w:r>
        <w:rPr>
          <w:rStyle w:val="VerbatimChar"/>
        </w:rPr>
        <w:t xml:space="preserve">MVP-EXPANDED</w:t>
      </w:r>
    </w:p>
    <w:bookmarkStart w:id="214"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4"/>
    <w:bookmarkStart w:id="215"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15"/>
    <w:bookmarkStart w:id="216"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16"/>
    <w:bookmarkStart w:id="217"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17"/>
    <w:bookmarkStart w:id="218"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18"/>
    <w:bookmarkStart w:id="219"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19"/>
    <w:bookmarkStart w:id="220"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0"/>
    <w:bookmarkStart w:id="221"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3"/>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3"/>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3"/>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3"/>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3"/>
        </w:numPr>
      </w:pPr>
      <w:r>
        <w:rPr>
          <w:b/>
          <w:bCs/>
        </w:rPr>
        <w:t xml:space="preserve">Bulk Hold / Bulk Release</w:t>
      </w:r>
      <w:r>
        <w:t xml:space="preserve"> </w:t>
      </w:r>
      <w:r>
        <w:t xml:space="preserve">— follows FDS-08-006 search + multi-select semantics.</w:t>
      </w:r>
    </w:p>
    <w:p>
      <w:pPr>
        <w:pStyle w:val="Compact"/>
        <w:numPr>
          <w:ilvl w:val="0"/>
          <w:numId w:val="1023"/>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1"/>
    <w:bookmarkEnd w:id="222"/>
    <w:bookmarkStart w:id="229" w:name="inspections-mvp"/>
    <w:p>
      <w:pPr>
        <w:pStyle w:val="Heading3"/>
      </w:pPr>
      <w:r>
        <w:t xml:space="preserve">8.3 Inspections —</w:t>
      </w:r>
      <w:r>
        <w:t xml:space="preserve"> </w:t>
      </w:r>
      <w:r>
        <w:rPr>
          <w:rStyle w:val="VerbatimChar"/>
        </w:rPr>
        <w:t xml:space="preserve">MVP</w:t>
      </w:r>
    </w:p>
    <w:bookmarkStart w:id="223"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3"/>
    <w:bookmarkStart w:id="224"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4"/>
    <w:bookmarkStart w:id="225"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25"/>
    <w:bookmarkStart w:id="226"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26"/>
    <w:bookmarkStart w:id="227"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27"/>
    <w:bookmarkStart w:id="228"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28"/>
    <w:bookmarkEnd w:id="229"/>
    <w:bookmarkStart w:id="232" w:name="sampling-workflows-conditional"/>
    <w:p>
      <w:pPr>
        <w:pStyle w:val="Heading3"/>
      </w:pPr>
      <w:r>
        <w:t xml:space="preserve">8.4 Sampling Workflows —</w:t>
      </w:r>
      <w:r>
        <w:t xml:space="preserve"> </w:t>
      </w:r>
      <w:r>
        <w:rPr>
          <w:rStyle w:val="VerbatimChar"/>
        </w:rPr>
        <w:t xml:space="preserve">CONDITIONAL</w:t>
      </w:r>
    </w:p>
    <w:bookmarkStart w:id="230"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0"/>
    <w:bookmarkStart w:id="231"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1"/>
    <w:bookmarkEnd w:id="232"/>
    <w:bookmarkStart w:id="235" w:name="defect-codes-mvp"/>
    <w:p>
      <w:pPr>
        <w:pStyle w:val="Heading3"/>
      </w:pPr>
      <w:r>
        <w:t xml:space="preserve">8.5 Defect Codes —</w:t>
      </w:r>
      <w:r>
        <w:t xml:space="preserve"> </w:t>
      </w:r>
      <w:r>
        <w:rPr>
          <w:rStyle w:val="VerbatimChar"/>
        </w:rPr>
        <w:t xml:space="preserve">MVP</w:t>
      </w:r>
    </w:p>
    <w:bookmarkStart w:id="233"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3"/>
    <w:bookmarkStart w:id="234"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4"/>
    <w:bookmarkEnd w:id="235"/>
    <w:bookmarkStart w:id="237" w:name="non-conformance-management-future"/>
    <w:p>
      <w:pPr>
        <w:pStyle w:val="Heading3"/>
      </w:pPr>
      <w:r>
        <w:t xml:space="preserve">8.6 Non-Conformance Management —</w:t>
      </w:r>
      <w:r>
        <w:t xml:space="preserve"> </w:t>
      </w:r>
      <w:r>
        <w:rPr>
          <w:rStyle w:val="VerbatimChar"/>
        </w:rPr>
        <w:t xml:space="preserve">FUTURE</w:t>
      </w:r>
    </w:p>
    <w:bookmarkStart w:id="236"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36"/>
    <w:bookmarkEnd w:id="237"/>
    <w:bookmarkEnd w:id="238"/>
    <w:bookmarkStart w:id="258" w:name="downtime-tracking-mixed-scope"/>
    <w:p>
      <w:pPr>
        <w:pStyle w:val="Heading2"/>
      </w:pPr>
      <w:r>
        <w:t xml:space="preserve">9. Downtime Tracking — MIXED SCOPE</w:t>
      </w:r>
    </w:p>
    <w:bookmarkStart w:id="239"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39"/>
    <w:bookmarkStart w:id="245" w:name="downtime-events-mvp"/>
    <w:p>
      <w:pPr>
        <w:pStyle w:val="Heading3"/>
      </w:pPr>
      <w:r>
        <w:t xml:space="preserve">9.2 Downtime Events —</w:t>
      </w:r>
      <w:r>
        <w:t xml:space="preserve"> </w:t>
      </w:r>
      <w:r>
        <w:rPr>
          <w:rStyle w:val="VerbatimChar"/>
        </w:rPr>
        <w:t xml:space="preserve">MVP</w:t>
      </w:r>
    </w:p>
    <w:bookmarkStart w:id="240"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0"/>
    <w:bookmarkStart w:id="241"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1"/>
    <w:bookmarkStart w:id="242"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2"/>
    <w:bookmarkStart w:id="243"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3"/>
    <w:bookmarkStart w:id="244"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4"/>
    <w:bookmarkEnd w:id="245"/>
    <w:bookmarkStart w:id="248" w:name="downtime-reason-codes-mvp"/>
    <w:p>
      <w:pPr>
        <w:pStyle w:val="Heading3"/>
      </w:pPr>
      <w:r>
        <w:t xml:space="preserve">9.3 Downtime Reason Codes —</w:t>
      </w:r>
      <w:r>
        <w:t xml:space="preserve"> </w:t>
      </w:r>
      <w:r>
        <w:rPr>
          <w:rStyle w:val="VerbatimChar"/>
        </w:rPr>
        <w:t xml:space="preserve">MVP</w:t>
      </w:r>
    </w:p>
    <w:bookmarkStart w:id="246"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46"/>
    <w:bookmarkStart w:id="247"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47"/>
    <w:bookmarkEnd w:id="248"/>
    <w:bookmarkStart w:id="255"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49"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49"/>
    <w:bookmarkStart w:id="250"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4"/>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4"/>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4"/>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0"/>
    <w:bookmarkStart w:id="251"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1"/>
    <w:bookmarkStart w:id="252"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2"/>
    <w:bookmarkStart w:id="253"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3"/>
    <w:bookmarkStart w:id="254"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4"/>
    <w:bookmarkEnd w:id="255"/>
    <w:bookmarkStart w:id="257" w:name="oee-future"/>
    <w:p>
      <w:pPr>
        <w:pStyle w:val="Heading3"/>
      </w:pPr>
      <w:r>
        <w:t xml:space="preserve">9.5 OEE —</w:t>
      </w:r>
      <w:r>
        <w:t xml:space="preserve"> </w:t>
      </w:r>
      <w:r>
        <w:rPr>
          <w:rStyle w:val="VerbatimChar"/>
        </w:rPr>
        <w:t xml:space="preserve">FUTURE</w:t>
      </w:r>
    </w:p>
    <w:bookmarkStart w:id="256"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56"/>
    <w:bookmarkEnd w:id="257"/>
    <w:bookmarkEnd w:id="258"/>
    <w:bookmarkStart w:id="276" w:name="plcopc-integration-mvp"/>
    <w:p>
      <w:pPr>
        <w:pStyle w:val="Heading2"/>
      </w:pPr>
      <w:r>
        <w:t xml:space="preserve">10. PLC/OPC Integration —</w:t>
      </w:r>
      <w:r>
        <w:t xml:space="preserve"> </w:t>
      </w:r>
      <w:r>
        <w:rPr>
          <w:rStyle w:val="VerbatimChar"/>
        </w:rPr>
        <w:t xml:space="preserve">MVP</w:t>
      </w:r>
    </w:p>
    <w:bookmarkStart w:id="259"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59"/>
    <w:bookmarkStart w:id="263" w:name="mip-handshake-protocol-serialized-lines"/>
    <w:p>
      <w:pPr>
        <w:pStyle w:val="Heading3"/>
      </w:pPr>
      <w:r>
        <w:t xml:space="preserve">10.2 MIP Handshake Protocol — Serialized Lines</w:t>
      </w:r>
    </w:p>
    <w:bookmarkStart w:id="260"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0"/>
    <w:bookmarkStart w:id="261"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1"/>
    <w:bookmarkStart w:id="262"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2"/>
    <w:bookmarkEnd w:id="263"/>
    <w:bookmarkStart w:id="270"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4"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4"/>
    <w:bookmarkStart w:id="265"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5"/>
        </w:numPr>
      </w:pPr>
      <w:r>
        <w:t xml:space="preserve">Route to escalation per FDS-10-009 / FDS-10-010 based on failure count and failure type.</w:t>
      </w:r>
    </w:p>
    <w:p>
      <w:pPr>
        <w:pStyle w:val="Compact"/>
        <w:numPr>
          <w:ilvl w:val="0"/>
          <w:numId w:val="102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65"/>
    <w:bookmarkStart w:id="266"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6"/>
        </w:numPr>
      </w:pPr>
      <w:r>
        <w:t xml:space="preserve">Require supervisor AD elevation (FDS-04-007) before production can resume on that cell.</w:t>
      </w:r>
    </w:p>
    <w:p>
      <w:pPr>
        <w:pStyle w:val="Compact"/>
        <w:numPr>
          <w:ilvl w:val="0"/>
          <w:numId w:val="102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66"/>
    <w:bookmarkStart w:id="267"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67"/>
    <w:bookmarkStart w:id="268"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68"/>
    <w:bookmarkStart w:id="269"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2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2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2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2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2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69"/>
    <w:bookmarkEnd w:id="270"/>
    <w:bookmarkStart w:id="272" w:name="scale-integration"/>
    <w:p>
      <w:pPr>
        <w:pStyle w:val="Heading3"/>
      </w:pPr>
      <w:r>
        <w:t xml:space="preserve">10.4 Scale Integration</w:t>
      </w:r>
    </w:p>
    <w:bookmarkStart w:id="271"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1"/>
    <w:bookmarkEnd w:id="272"/>
    <w:bookmarkStart w:id="275" w:name="barcode-integration"/>
    <w:p>
      <w:pPr>
        <w:pStyle w:val="Heading3"/>
      </w:pPr>
      <w:r>
        <w:t xml:space="preserve">10.5 Barcode Integration</w:t>
      </w:r>
    </w:p>
    <w:bookmarkStart w:id="273"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3"/>
    <w:bookmarkStart w:id="274"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4"/>
    <w:bookmarkEnd w:id="275"/>
    <w:bookmarkEnd w:id="276"/>
    <w:bookmarkStart w:id="292" w:name="audit-logging-mvp"/>
    <w:p>
      <w:pPr>
        <w:pStyle w:val="Heading2"/>
      </w:pPr>
      <w:r>
        <w:t xml:space="preserve">11. Audit &amp; Logging —</w:t>
      </w:r>
      <w:r>
        <w:t xml:space="preserve"> </w:t>
      </w:r>
      <w:r>
        <w:rPr>
          <w:rStyle w:val="VerbatimChar"/>
        </w:rPr>
        <w:t xml:space="preserve">MVP</w:t>
      </w:r>
    </w:p>
    <w:bookmarkStart w:id="277"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77"/>
    <w:bookmarkStart w:id="283" w:name="log-types"/>
    <w:p>
      <w:pPr>
        <w:pStyle w:val="Heading3"/>
      </w:pPr>
      <w:r>
        <w:t xml:space="preserve">11.2 Log Types</w:t>
      </w:r>
    </w:p>
    <w:bookmarkStart w:id="278"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78"/>
    <w:bookmarkStart w:id="279"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79"/>
    <w:bookmarkStart w:id="280"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0"/>
    <w:bookmarkStart w:id="281"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1"/>
    <w:bookmarkStart w:id="282"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2"/>
    <w:bookmarkEnd w:id="283"/>
    <w:bookmarkStart w:id="288" w:name="normalized-vocabularies"/>
    <w:p>
      <w:pPr>
        <w:pStyle w:val="Heading3"/>
      </w:pPr>
      <w:r>
        <w:t xml:space="preserve">11.3 Normalized Vocabularies</w:t>
      </w:r>
    </w:p>
    <w:bookmarkStart w:id="284"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4"/>
    <w:bookmarkStart w:id="285"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85"/>
    <w:bookmarkStart w:id="286"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86"/>
    <w:bookmarkStart w:id="287"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2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2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2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2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87"/>
    <w:bookmarkEnd w:id="288"/>
    <w:bookmarkStart w:id="291" w:name="data-retention"/>
    <w:p>
      <w:pPr>
        <w:pStyle w:val="Heading3"/>
      </w:pPr>
      <w:r>
        <w:t xml:space="preserve">11.4 Data Retention</w:t>
      </w:r>
    </w:p>
    <w:bookmarkStart w:id="289"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89"/>
    <w:bookmarkStart w:id="290"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0"/>
    <w:bookmarkEnd w:id="291"/>
    <w:bookmarkEnd w:id="292"/>
    <w:bookmarkStart w:id="312" w:name="reporting-mvp"/>
    <w:p>
      <w:pPr>
        <w:pStyle w:val="Heading2"/>
      </w:pPr>
      <w:r>
        <w:t xml:space="preserve">12. Reporting —</w:t>
      </w:r>
      <w:r>
        <w:t xml:space="preserve"> </w:t>
      </w:r>
      <w:r>
        <w:rPr>
          <w:rStyle w:val="VerbatimChar"/>
        </w:rPr>
        <w:t xml:space="preserve">MVP</w:t>
      </w:r>
    </w:p>
    <w:bookmarkStart w:id="293"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3"/>
    <w:bookmarkStart w:id="298" w:name="traceability-reports"/>
    <w:p>
      <w:pPr>
        <w:pStyle w:val="Heading3"/>
      </w:pPr>
      <w:r>
        <w:t xml:space="preserve">12.2 Traceability Reports</w:t>
      </w:r>
    </w:p>
    <w:bookmarkStart w:id="294"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4"/>
    <w:bookmarkStart w:id="295"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95"/>
    <w:bookmarkStart w:id="296"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96"/>
    <w:bookmarkStart w:id="297"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97"/>
    <w:bookmarkEnd w:id="298"/>
    <w:bookmarkStart w:id="303" w:name="X20e5703298e30073c8ffa1040c87c727e57d853"/>
    <w:p>
      <w:pPr>
        <w:pStyle w:val="Heading3"/>
      </w:pPr>
      <w:r>
        <w:t xml:space="preserve">12.3 Production Reports (Replacing Productivity DB)</w:t>
      </w:r>
    </w:p>
    <w:bookmarkStart w:id="299"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299"/>
    <w:bookmarkStart w:id="300"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0"/>
    <w:bookmarkStart w:id="301"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1"/>
    <w:bookmarkStart w:id="302"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2"/>
    <w:bookmarkEnd w:id="303"/>
    <w:bookmarkStart w:id="307" w:name="operational-reports"/>
    <w:p>
      <w:pPr>
        <w:pStyle w:val="Heading3"/>
      </w:pPr>
      <w:r>
        <w:t xml:space="preserve">12.4 Operational Reports</w:t>
      </w:r>
    </w:p>
    <w:bookmarkStart w:id="304"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4"/>
    <w:bookmarkStart w:id="305"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05"/>
    <w:bookmarkStart w:id="306"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06"/>
    <w:bookmarkEnd w:id="307"/>
    <w:bookmarkStart w:id="311"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08"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08"/>
    <w:bookmarkStart w:id="309"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0"/>
        </w:numPr>
      </w:pPr>
      <w:r>
        <w:t xml:space="preserve">LOT</w:t>
      </w:r>
      <w:r>
        <w:t xml:space="preserve"> </w:t>
      </w:r>
      <w:r>
        <w:rPr>
          <w:rStyle w:val="VerbatimChar"/>
        </w:rPr>
        <w:t xml:space="preserve">LotName</w:t>
      </w:r>
      <w:r>
        <w:t xml:space="preserve"> </w:t>
      </w:r>
      <w:r>
        <w:t xml:space="preserve">(LTT barcode)</w:t>
      </w:r>
    </w:p>
    <w:p>
      <w:pPr>
        <w:pStyle w:val="Compact"/>
        <w:numPr>
          <w:ilvl w:val="0"/>
          <w:numId w:val="1030"/>
        </w:numPr>
      </w:pPr>
      <w:r>
        <w:t xml:space="preserve">Sub-LOT</w:t>
      </w:r>
      <w:r>
        <w:t xml:space="preserve"> </w:t>
      </w:r>
      <w:r>
        <w:rPr>
          <w:rStyle w:val="VerbatimChar"/>
        </w:rPr>
        <w:t xml:space="preserve">LotName</w:t>
      </w:r>
    </w:p>
    <w:p>
      <w:pPr>
        <w:pStyle w:val="Compact"/>
        <w:numPr>
          <w:ilvl w:val="0"/>
          <w:numId w:val="1030"/>
        </w:numPr>
      </w:pPr>
      <w:r>
        <w:t xml:space="preserve">Serialized part serial number (</w:t>
      </w:r>
      <w:r>
        <w:rPr>
          <w:rStyle w:val="VerbatimChar"/>
        </w:rPr>
        <w:t xml:space="preserve">SerializedPart.SerialNumber</w:t>
      </w:r>
      <w:r>
        <w:t xml:space="preserve">)</w:t>
      </w:r>
    </w:p>
    <w:p>
      <w:pPr>
        <w:pStyle w:val="Compact"/>
        <w:numPr>
          <w:ilvl w:val="0"/>
          <w:numId w:val="1030"/>
        </w:numPr>
      </w:pPr>
      <w:r>
        <w:t xml:space="preserve">Container</w:t>
      </w:r>
      <w:r>
        <w:t xml:space="preserve"> </w:t>
      </w:r>
      <w:r>
        <w:rPr>
          <w:rStyle w:val="VerbatimChar"/>
        </w:rPr>
        <w:t xml:space="preserve">ContainerName</w:t>
      </w:r>
    </w:p>
    <w:p>
      <w:pPr>
        <w:pStyle w:val="Compact"/>
        <w:numPr>
          <w:ilvl w:val="0"/>
          <w:numId w:val="1030"/>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09"/>
    <w:bookmarkStart w:id="310"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1"/>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1"/>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1"/>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1"/>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1"/>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1"/>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0"/>
    <w:bookmarkEnd w:id="311"/>
    <w:bookmarkEnd w:id="312"/>
    <w:bookmarkStart w:id="323" w:name="external-system-interfaces-mixed-scope"/>
    <w:p>
      <w:pPr>
        <w:pStyle w:val="Heading2"/>
      </w:pPr>
      <w:r>
        <w:t xml:space="preserve">13. External System Interfaces — MIXED SCOPE</w:t>
      </w:r>
    </w:p>
    <w:bookmarkStart w:id="316" w:name="aim-honda-edi-mvp"/>
    <w:p>
      <w:pPr>
        <w:pStyle w:val="Heading3"/>
      </w:pPr>
      <w:r>
        <w:t xml:space="preserve">13.1 AIM (Honda EDI) —</w:t>
      </w:r>
      <w:r>
        <w:t xml:space="preserve"> </w:t>
      </w:r>
      <w:r>
        <w:rPr>
          <w:rStyle w:val="VerbatimChar"/>
        </w:rPr>
        <w:t xml:space="preserve">MVP</w:t>
      </w:r>
    </w:p>
    <w:bookmarkStart w:id="313"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3"/>
    <w:bookmarkStart w:id="314"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4"/>
    <w:bookmarkStart w:id="315"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15"/>
    <w:bookmarkEnd w:id="316"/>
    <w:bookmarkStart w:id="318" w:name="macola-erp-future"/>
    <w:p>
      <w:pPr>
        <w:pStyle w:val="Heading3"/>
      </w:pPr>
      <w:r>
        <w:t xml:space="preserve">13.2 Macola ERP —</w:t>
      </w:r>
      <w:r>
        <w:t xml:space="preserve"> </w:t>
      </w:r>
      <w:r>
        <w:rPr>
          <w:rStyle w:val="VerbatimChar"/>
        </w:rPr>
        <w:t xml:space="preserve">FUTURE</w:t>
      </w:r>
    </w:p>
    <w:bookmarkStart w:id="317"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17"/>
    <w:bookmarkEnd w:id="318"/>
    <w:bookmarkStart w:id="320" w:name="intelex-quality-management-future"/>
    <w:p>
      <w:pPr>
        <w:pStyle w:val="Heading3"/>
      </w:pPr>
      <w:r>
        <w:t xml:space="preserve">13.3 Intelex (Quality Management) —</w:t>
      </w:r>
      <w:r>
        <w:t xml:space="preserve"> </w:t>
      </w:r>
      <w:r>
        <w:rPr>
          <w:rStyle w:val="VerbatimChar"/>
        </w:rPr>
        <w:t xml:space="preserve">FUTURE</w:t>
      </w:r>
    </w:p>
    <w:bookmarkStart w:id="319"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19"/>
    <w:bookmarkEnd w:id="320"/>
    <w:bookmarkStart w:id="322" w:name="scada-process-dashboards-future"/>
    <w:p>
      <w:pPr>
        <w:pStyle w:val="Heading3"/>
      </w:pPr>
      <w:r>
        <w:t xml:space="preserve">13.4 SCADA / Process Dashboards —</w:t>
      </w:r>
      <w:r>
        <w:t xml:space="preserve"> </w:t>
      </w:r>
      <w:r>
        <w:rPr>
          <w:rStyle w:val="VerbatimChar"/>
        </w:rPr>
        <w:t xml:space="preserve">FUTURE</w:t>
      </w:r>
    </w:p>
    <w:bookmarkStart w:id="321"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1"/>
    <w:bookmarkEnd w:id="322"/>
    <w:bookmarkEnd w:id="323"/>
    <w:bookmarkStart w:id="330" w:name="data-migration-conditional"/>
    <w:p>
      <w:pPr>
        <w:pStyle w:val="Heading2"/>
      </w:pPr>
      <w:r>
        <w:t xml:space="preserve">14. Data Migration —</w:t>
      </w:r>
      <w:r>
        <w:t xml:space="preserve"> </w:t>
      </w:r>
      <w:r>
        <w:rPr>
          <w:rStyle w:val="VerbatimChar"/>
        </w:rPr>
        <w:t xml:space="preserve">CONDITIONAL</w:t>
      </w:r>
    </w:p>
    <w:bookmarkStart w:id="329"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4"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4"/>
    <w:bookmarkStart w:id="325"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25"/>
    <w:bookmarkStart w:id="326"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26"/>
    <w:bookmarkStart w:id="327"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27"/>
    <w:bookmarkStart w:id="328"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2"/>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2"/>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2"/>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2"/>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28"/>
    <w:bookmarkEnd w:id="329"/>
    <w:bookmarkEnd w:id="330"/>
    <w:bookmarkStart w:id="341" w:name="deployment-commissioning-mvp"/>
    <w:p>
      <w:pPr>
        <w:pStyle w:val="Heading2"/>
      </w:pPr>
      <w:r>
        <w:t xml:space="preserve">15. Deployment &amp; Commissioning —</w:t>
      </w:r>
      <w:r>
        <w:t xml:space="preserve"> </w:t>
      </w:r>
      <w:r>
        <w:rPr>
          <w:rStyle w:val="VerbatimChar"/>
        </w:rPr>
        <w:t xml:space="preserve">MVP</w:t>
      </w:r>
    </w:p>
    <w:bookmarkStart w:id="337" w:name="deployment-approach"/>
    <w:p>
      <w:pPr>
        <w:pStyle w:val="Heading3"/>
      </w:pPr>
      <w:r>
        <w:t xml:space="preserve">15.1 Deployment Approach</w:t>
      </w:r>
    </w:p>
    <w:bookmarkStart w:id="331"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1"/>
    <w:bookmarkStart w:id="332"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2"/>
    <w:bookmarkStart w:id="333"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3"/>
    <w:bookmarkStart w:id="334"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4"/>
    <w:bookmarkStart w:id="335"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35"/>
    <w:bookmarkStart w:id="336"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36"/>
    <w:bookmarkEnd w:id="337"/>
    <w:bookmarkStart w:id="340" w:name="change-management"/>
    <w:p>
      <w:pPr>
        <w:pStyle w:val="Heading3"/>
      </w:pPr>
      <w:r>
        <w:t xml:space="preserve">15.2 Change Management</w:t>
      </w:r>
    </w:p>
    <w:bookmarkStart w:id="338"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38"/>
    <w:bookmarkStart w:id="339"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39"/>
    <w:bookmarkEnd w:id="340"/>
    <w:bookmarkEnd w:id="341"/>
    <w:bookmarkStart w:id="350" w:name="appendices"/>
    <w:p>
      <w:pPr>
        <w:pStyle w:val="Heading2"/>
      </w:pPr>
      <w:r>
        <w:t xml:space="preserve">Appendices</w:t>
      </w:r>
    </w:p>
    <w:bookmarkStart w:id="342"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42"/>
    <w:bookmarkStart w:id="343"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43"/>
    <w:bookmarkStart w:id="344"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44"/>
    <w:bookmarkStart w:id="345"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45"/>
    <w:bookmarkStart w:id="346"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46"/>
    <w:bookmarkStart w:id="347"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47"/>
    <w:bookmarkStart w:id="348"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48"/>
    <w:bookmarkStart w:id="349"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49"/>
    <w:bookmarkEnd w:id="350"/>
    <w:bookmarkStart w:id="351"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Revised 2026-04-20 (addenda):</w:t>
            </w:r>
            <w:r>
              <w:t xml:space="preserve"> </w:t>
            </w:r>
            <w:r>
              <w:t xml:space="preserve">dedicated ≈80% / shared ≈20% via</w:t>
            </w:r>
            <w:r>
              <w:t xml:space="preserve"> </w:t>
            </w:r>
            <w:r>
              <w:rPr>
                <w:rStyle w:val="VerbatimChar"/>
              </w:rPr>
              <w:t xml:space="preserve">TerminalMode</w:t>
            </w:r>
            <w:r>
              <w:t xml:space="preserve"> </w:t>
            </w:r>
            <w:r>
              <w:t xml:space="preserve">attribute,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Revised — Addenda</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51"/>
    <w:bookmarkEnd w:id="3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2026-04-22T19:20:44Z</dcterms:created>
  <dcterms:modified xsi:type="dcterms:W3CDTF">2026-04-22T19:20:44Z</dcterms:modified>
</cp:coreProperties>
</file>

<file path=docProps/custom.xml><?xml version="1.0" encoding="utf-8"?>
<Properties xmlns="http://schemas.openxmlformats.org/officeDocument/2006/custom-properties" xmlns:vt="http://schemas.openxmlformats.org/officeDocument/2006/docPropsVTypes"/>
</file>