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mpp-mes-open-issues-register"/>
    <w:p>
      <w:pPr>
        <w:pStyle w:val="Heading1"/>
      </w:pPr>
      <w:r>
        <w:t xml:space="preserve">MPP MES — Open Issues Register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FDS-MPP-MES-OIR-001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2.6 — Working Draft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2026-04-22</w:t>
      </w:r>
      <w:r>
        <w:t xml:space="preserve"> </w:t>
      </w:r>
      <w:r>
        <w:rPr>
          <w:b/>
          <w:bCs/>
        </w:rPr>
        <w:t xml:space="preserve">Prepared By:</w:t>
      </w:r>
      <w:r>
        <w:t xml:space="preserve"> </w:t>
      </w:r>
      <w:r>
        <w:t xml:space="preserve">Blue Ridge Automation</w:t>
      </w:r>
      <w:r>
        <w:t xml:space="preserve"> </w:t>
      </w:r>
      <w:r>
        <w:rPr>
          <w:b/>
          <w:bCs/>
        </w:rPr>
        <w:t xml:space="preserve">Prepared For:</w:t>
      </w:r>
      <w:r>
        <w:t xml:space="preserve"> </w:t>
      </w:r>
      <w:r>
        <w:t xml:space="preserve">Madison Precision Products, Inc. (Madison, IN)</w:t>
      </w:r>
    </w:p>
    <w:p>
      <w:pPr>
        <w:pStyle w:val="BodyText"/>
      </w:pPr>
      <w:r>
        <w:t xml:space="preserve">This register consolidates all open items and design decisions that gate Perspective screen design and implementation. Part A holds the FDS-numbered open items (OI-01 through OI-30). Part B holds the 19 User Journey assumptions/decisions (UJ-01 through UJ-19). Cross-references between the two parts are noted per-item.</w:t>
      </w:r>
    </w:p>
    <w:p>
      <w:r>
        <w:pict>
          <v:rect style="width:0;height:1.5pt" o:hralign="center" o:hrstd="t" o:hr="t"/>
        </w:pict>
      </w:r>
    </w:p>
    <w:bookmarkStart w:id="9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Version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Date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Author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Change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2026-04-06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t xml:space="preserve">Initial register consolidating FDS open items and User Journey assumptions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2.2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2026-04-08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FRS reference crosswalk added per-item; priorities normalized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t xml:space="preserve">2026-04-09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t xml:space="preserve">First round of MPP review decisions applied — OI-01, UJ-06, UJ-15 closed; 10 items moved to In Review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2.4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2026-04-21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Phase A of the 2026-04-20 OI review refactor.</w:t>
            </w:r>
            <w:r>
              <w:t xml:space="preserve"> </w:t>
            </w:r>
            <w:r>
              <w:t xml:space="preserve">Closed OI-03 (shift runtime derived from events) and OI-06 (initials-based operator identity — see Phase C / FDS v0.8). Revised OI-04 (line-stop, not LOT-hold; 10-fail escalation; CRT 200% inspect), OI-05 (die-rank compatibility merge rules), OI-07 (three WO types, Maintenance targets Tools), OI-08 addenda (terminal locked to machine context; part↔machine validity map; mobile consideration), OI-09 addenda (sublot pattern with parent FK), OI-10 (superseded by Phase B Tool Management design). Added four new items: OI-11 (part rename at Casting → Trim), OI-12 (lineside inventory caps), OI-13 (BOM source = Flexware app @ IP .919), OI-14 (admin remove-item). Structural change: each OI and UJ now has its own subsection instead of living inside a giant grid table — easier to read, diff, and update. Source meeting notes at</w:t>
            </w:r>
            <w:r>
              <w:t xml:space="preserve"> </w:t>
            </w:r>
            <w:r>
              <w:rPr>
                <w:rStyle w:val="VerbatimChar"/>
              </w:rPr>
              <w:t xml:space="preserve">Meeting_Notes/2026-04-20_OI_Review.md</w:t>
            </w:r>
            <w:r>
              <w:t xml:space="preserve">. Running plan in</w:t>
            </w:r>
            <w:r>
              <w:t xml:space="preserve"> </w:t>
            </w:r>
            <w:r>
              <w:rPr>
                <w:rStyle w:val="VerbatimChar"/>
              </w:rPr>
              <w:t xml:space="preserve">memory/project_mpp_oi_refactor.md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2026-04-22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Legacy MES screenshot review gap analysis.</w:t>
            </w:r>
            <w:r>
              <w:t xml:space="preserve"> </w:t>
            </w:r>
            <w:r>
              <w:t xml:space="preserve">36 screenshots of the Flexware Madison MES reviewed against the current FDS / Data Model. 16 new Part A items added (OI-15 through OI-30): 9 concrete design additions (Track screen, auto-finish-on-target WO, tray-divisibility rule, ItemLocation consumption metadata, Country of Origin, scrap source enum, partial start/complete, Hold Management screen, Lot computed fields) and 7 discovery items to confirm with MPP (Automation tile scope, Notifications, per-workstation scripting, Supply Part flag, cast-override cell flag, Workstation Category grouping, Reports tile contents). Source summary at</w:t>
            </w:r>
            <w:r>
              <w:t xml:space="preserve"> </w:t>
            </w:r>
            <w:r>
              <w:rPr>
                <w:rStyle w:val="VerbatimChar"/>
              </w:rPr>
              <w:t xml:space="preserve">Meeting_Notes/2026-04-20_OI_Review_Status_Summary.md</w:t>
            </w:r>
            <w:r>
              <w:t xml:space="preserve"> </w:t>
            </w:r>
            <w:r>
              <w:t xml:space="preserve">§</w:t>
            </w:r>
            <w:r>
              <w:t xml:space="preserve">“Additional discovered gaps”</w:t>
            </w:r>
            <w:r>
              <w:t xml:space="preserve">. Legacy screenshots at</w:t>
            </w:r>
            <w:r>
              <w:t xml:space="preserve"> </w:t>
            </w:r>
            <w:r>
              <w:rPr>
                <w:rStyle w:val="VerbatimChar"/>
              </w:rPr>
              <w:t xml:space="preserve">reference/MPP_Current_MES_screenshots.docx</w:t>
            </w:r>
            <w:r>
              <w:t xml:space="preserve">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2.6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2026-04-22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OI-11 resolved — Casting → Trim rename modelled via 1-line BOM, not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Parts.ItemTransform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Review of the v2.5 design surfaced that the proposed</w:t>
            </w:r>
            <w:r>
              <w:t xml:space="preserve"> </w:t>
            </w:r>
            <w:r>
              <w:rPr>
                <w:rStyle w:val="VerbatimChar"/>
              </w:rPr>
              <w:t xml:space="preserve">Parts.ItemTransform</w:t>
            </w:r>
            <w:r>
              <w:t xml:space="preserve"> </w:t>
            </w:r>
            <w:r>
              <w:t xml:space="preserve">table duplicated every column of</w:t>
            </w:r>
            <w:r>
              <w:t xml:space="preserve"> </w:t>
            </w:r>
            <w:r>
              <w:rPr>
                <w:rStyle w:val="VerbatimChar"/>
              </w:rPr>
              <w:t xml:space="preserve">Workorder.ConsumptionEvent</w:t>
            </w:r>
            <w:r>
              <w:t xml:space="preserve">. The rename is a degenerate 1-line BOM consumption: trim part has cast part as its sole component at QtyPer=1; existing ConsumptionEvent + LotGenealogy machinery handles the flow and the Honda backward trace. OI-11 moves ⬜ Open → ✅ Resolved. Downstream corrections: Data Model v1.8-rev (ItemTransform table section replaced with a ✅ Resolved callout;</w:t>
            </w:r>
            <w:r>
              <w:t xml:space="preserve"> </w:t>
            </w:r>
            <w:r>
              <w:rPr>
                <w:rStyle w:val="VerbatimChar"/>
              </w:rPr>
              <w:t xml:space="preserve">Audit.LogEntityType</w:t>
            </w:r>
            <w:r>
              <w:t xml:space="preserve"> </w:t>
            </w:r>
            <w:r>
              <w:t xml:space="preserve">seed shrinks from 10 to 9 rows; table count</w:t>
            </w:r>
            <w:r>
              <w:t xml:space="preserve"> </w:t>
            </w:r>
            <w:r>
              <w:t xml:space="preserve">“~73”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“~72”</w:t>
            </w:r>
            <w:r>
              <w:t xml:space="preserve">), FDS v0.10-rev (§5.10 retained, rewritten around FDS-05-033 BOM-driven scan-in; FDS-05-034/-035 retired), User Journeys v0.7-rev (Trim Shop narrative simplified to normal consumption), Phase G migration</w:t>
            </w:r>
            <w:r>
              <w:t xml:space="preserve"> </w:t>
            </w:r>
            <w:r>
              <w:rPr>
                <w:rStyle w:val="VerbatimChar"/>
              </w:rPr>
              <w:t xml:space="preserve">0010_phase9_tools_and_workorder.sql</w:t>
            </w:r>
            <w:r>
              <w:t xml:space="preserve"> </w:t>
            </w:r>
            <w:r>
              <w:t xml:space="preserve">(ItemTransform LogEntityType row dropped; ScrapSource shifted from Id=40 to Id=39; re-run green, 779/779 tests still pass).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Part A counts (30 items):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Priority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✅ Resolved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🔶 In Review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⬜ Open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Superseded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1 (OI-01)</w:t>
            </w:r>
          </w:p>
        </w:tc>
        <w:tc>
          <w:tcPr/>
          <w:p>
            <w:pPr>
              <w:pStyle w:val="Compact"/>
            </w:pPr>
            <w:r>
              <w:t xml:space="preserve">3 (OI-02, OI-05, OI-07)</w:t>
            </w:r>
          </w:p>
        </w:tc>
        <w:tc>
          <w:tcPr/>
          <w:p>
            <w:pPr>
              <w:pStyle w:val="Compact"/>
            </w:pPr>
            <w:r>
              <w:t xml:space="preserve">2 (OI-13, OI-15)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MEDIUM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4 (OI-03, OI-06, OI-09, OI-11)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3 (OI-04, OI-08, OI-12)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8 (OI-16, OI-17, OI-18, OI-21, OI-22, OI-24, OI-28, OI-30)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8 (OI-14, OI-19, OI-20, OI-23, OI-25, OI-26, OI-27, OI-29)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1 (OI-10)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Part B counts (19 items):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Priority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✅ Resolved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🔶 In Review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⬜ Open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1 (UJ-01)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6 (UJ-04, UJ-07, UJ-08, UJ-11, UJ-13, UJ-18, UJ-19)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MEDIUM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 (UJ-12, UJ-15)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3 (UJ-02, UJ-03, UJ-14)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6 (UJ-05, UJ-09, UJ-10, UJ-16, UJ-17)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1 (UJ-06)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12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19</w:t>
            </w:r>
          </w:p>
        </w:tc>
      </w:tr>
    </w:tbl>
    <w:p>
      <w:pPr>
        <w:pStyle w:val="BodyText"/>
      </w:pPr>
      <w:r>
        <w:rPr>
          <w:b/>
          <w:bCs/>
        </w:rPr>
        <w:t xml:space="preserve">Grand total:</w:t>
      </w:r>
      <w:r>
        <w:t xml:space="preserve"> </w:t>
      </w:r>
      <w:r>
        <w:t xml:space="preserve">49 items (30 Part A + 19 Part B). 9 resolved, 9 in review, 30 open, 1 superseded.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42" w:name="part-a-fds-open-items"/>
    <w:p>
      <w:pPr>
        <w:pStyle w:val="Heading1"/>
      </w:pPr>
      <w:r>
        <w:t xml:space="preserve">Part A — FDS Open Items</w:t>
      </w:r>
    </w:p>
    <w:p>
      <w:pPr>
        <w:pStyle w:val="FirstParagraph"/>
      </w:pPr>
      <w:r>
        <w:t xml:space="preserve">These items are called out inline in the FDS with</w:t>
      </w:r>
      <w:r>
        <w:t xml:space="preserve"> </w:t>
      </w:r>
      <w:r>
        <w:rPr>
          <w:rStyle w:val="VerbatimChar"/>
        </w:rPr>
        <w:t xml:space="preserve">&gt; **RESOLVED**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&gt; **PENDING CUSTOMER VALIDATION**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&gt; **OPEN**</w:t>
      </w:r>
      <w:r>
        <w:t xml:space="preserve"> </w:t>
      </w:r>
      <w:r>
        <w:t xml:space="preserve">callouts. Each requires a decision before its FDS section can be finalised.</w:t>
      </w:r>
    </w:p>
    <w:p>
      <w:r>
        <w:pict>
          <v:rect style="width:0;height:1.5pt" o:hralign="center" o:hrstd="t" o:hr="t"/>
        </w:pict>
      </w:r>
    </w:p>
    <w:bookmarkStart w:id="12" w:name="Xea986c5e64ea7be6029bf97deda2285c190621f"/>
    <w:p>
      <w:pPr>
        <w:pStyle w:val="Heading3"/>
      </w:pPr>
      <w:r>
        <w:t xml:space="preserve">OI-01 — Event outbox dispatch pattern — ✅ Resolved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MPP IT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1.6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FDS-01-006; FRS 3.17.4; FRS 5.5.1; Spark Dep. B.12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SQL event outbox table vs. Ignition application-layer dispatch for external calls (AIM, printers, etc.).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SQL event outbox table in the Audit schema — persisted, survives restarts, queryable.</w:t>
      </w:r>
      <w:r>
        <w:t xml:space="preserve"> </w:t>
      </w:r>
      <w:r>
        <w:t xml:space="preserve">- (b) Ignition Gateway Scheduled Scripts / tag-based queuing — simpler, but queue state lives in memory / tags.</w:t>
      </w:r>
    </w:p>
    <w:p>
      <w:pPr>
        <w:pStyle w:val="BodyText"/>
      </w:pPr>
      <w:r>
        <w:rPr>
          <w:b/>
          <w:bCs/>
        </w:rPr>
        <w:t xml:space="preserve">Decision (2026-04-09):</w:t>
      </w:r>
      <w:r>
        <w:t xml:space="preserve"> </w:t>
      </w:r>
      <w:r>
        <w:t xml:space="preserve">Ignition application layer. Direct calls with an</w:t>
      </w:r>
      <w:r>
        <w:t xml:space="preserve"> </w:t>
      </w:r>
      <w:r>
        <w:rPr>
          <w:rStyle w:val="VerbatimChar"/>
        </w:rPr>
        <w:t xml:space="preserve">Audit.InterfaceLog</w:t>
      </w:r>
      <w:r>
        <w:t xml:space="preserve"> </w:t>
      </w:r>
      <w:r>
        <w:t xml:space="preserve">write on every request and response — no outbox table. Removes a whole pattern from the FDS and keeps the dispatch flow in one place.</w:t>
      </w:r>
    </w:p>
    <w:p>
      <w:r>
        <w:pict>
          <v:rect style="width:0;height:1.5pt" o:hralign="center" o:hrstd="t" o:hr="t"/>
        </w:pict>
      </w:r>
    </w:p>
    <w:bookmarkEnd w:id="12"/>
    <w:bookmarkStart w:id="13" w:name="X9485bd7a504369c4ca63893b920a0c748ef2685"/>
    <w:p>
      <w:pPr>
        <w:pStyle w:val="Heading3"/>
      </w:pPr>
      <w:r>
        <w:t xml:space="preserve">OI-02 — Weight-based container closure — 🔶 In Review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MPP Engineering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6.6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FDS-06-014, FDS-03-017; FRS 3.6.6, 3.9.7; Appendix C (OPC Tags:</w:t>
      </w:r>
      <w:r>
        <w:t xml:space="preserve"> </w:t>
      </w:r>
      <w:r>
        <w:rPr>
          <w:rStyle w:val="VerbatimChar"/>
        </w:rPr>
        <w:t xml:space="preserve">TargetWeightValue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TargetWeightMetFlag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On non-serialized / inspection lines, does</w:t>
      </w:r>
      <w:r>
        <w:t xml:space="preserve"> </w:t>
      </w:r>
      <w:r>
        <w:rPr>
          <w:rStyle w:val="VerbatimChar"/>
        </w:rPr>
        <w:t xml:space="preserve">Parts.ContainerConfig</w:t>
      </w:r>
      <w:r>
        <w:t xml:space="preserve"> </w:t>
      </w:r>
      <w:r>
        <w:t xml:space="preserve">need a</w:t>
      </w:r>
      <w:r>
        <w:t xml:space="preserve"> </w:t>
      </w:r>
      <w:r>
        <w:rPr>
          <w:rStyle w:val="VerbatimChar"/>
        </w:rPr>
        <w:t xml:space="preserve">ClosureMethod</w:t>
      </w:r>
      <w:r>
        <w:t xml:space="preserve"> </w:t>
      </w:r>
      <w:r>
        <w:t xml:space="preserve">(</w:t>
      </w:r>
      <w:r>
        <w:rPr>
          <w:rStyle w:val="VerbatimChar"/>
        </w:rPr>
        <w:t xml:space="preserve">BY_COUNT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BY_WEIGHT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TargetWeight</w:t>
      </w:r>
      <w:r>
        <w:t xml:space="preserve"> </w:t>
      </w:r>
      <w:r>
        <w:t xml:space="preserve">field?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Add</w:t>
      </w:r>
      <w:r>
        <w:t xml:space="preserve"> </w:t>
      </w:r>
      <w:r>
        <w:rPr>
          <w:rStyle w:val="VerbatimChar"/>
        </w:rPr>
        <w:t xml:space="preserve">ClosureMethod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TargetWeight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ContainerConfig</w:t>
      </w:r>
      <w:r>
        <w:t xml:space="preserve">.</w:t>
      </w:r>
      <w:r>
        <w:t xml:space="preserve"> </w:t>
      </w:r>
      <w:r>
        <w:t xml:space="preserve">- (b) Weight closure handled entirely in the PLC — MES responds to a</w:t>
      </w:r>
      <w:r>
        <w:t xml:space="preserve"> </w:t>
      </w:r>
      <w:r>
        <w:t xml:space="preserve">“container full”</w:t>
      </w:r>
      <w:r>
        <w:t xml:space="preserve"> </w:t>
      </w:r>
      <w:r>
        <w:t xml:space="preserve">signal only.</w:t>
      </w:r>
    </w:p>
    <w:p>
      <w:pPr>
        <w:pStyle w:val="BodyText"/>
      </w:pPr>
      <w:r>
        <w:rPr>
          <w:b/>
          <w:bCs/>
        </w:rPr>
        <w:t xml:space="preserve">Proposed decision (pending customer validation):</w:t>
      </w:r>
      <w:r>
        <w:t xml:space="preserve"> </w:t>
      </w:r>
      <w:r>
        <w:t xml:space="preserve">Non-serialized lines should receive feedback from a scale. The two columns (</w:t>
      </w:r>
      <w:r>
        <w:rPr>
          <w:rStyle w:val="VerbatimChar"/>
        </w:rPr>
        <w:t xml:space="preserve">ClosureMethod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TargetWeight</w:t>
      </w:r>
      <w:r>
        <w:t xml:space="preserve">) were added as nullable to</w:t>
      </w:r>
      <w:r>
        <w:t xml:space="preserve"> </w:t>
      </w:r>
      <w:r>
        <w:rPr>
          <w:rStyle w:val="VerbatimChar"/>
        </w:rPr>
        <w:t xml:space="preserve">ContainerConfig</w:t>
      </w:r>
      <w:r>
        <w:t xml:space="preserve"> </w:t>
      </w:r>
      <w:r>
        <w:t xml:space="preserve">in Phase 4 pending confirmation.</w:t>
      </w:r>
    </w:p>
    <w:p>
      <w:r>
        <w:pict>
          <v:rect style="width:0;height:1.5pt" o:hralign="center" o:hrstd="t" o:hr="t"/>
        </w:pict>
      </w:r>
    </w:p>
    <w:bookmarkEnd w:id="13"/>
    <w:bookmarkStart w:id="14" w:name="X8904e9e163edd0ab633b342ec507c097e0ad682"/>
    <w:p>
      <w:pPr>
        <w:pStyle w:val="Heading3"/>
      </w:pPr>
      <w:r>
        <w:t xml:space="preserve">OI-03 — Shift runtime adjustments — ✅ Resolved (2026-04-20)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Production Control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9.4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FDS-09-009; FRS 3.15.2; DCFM Paper Sheets (lunch/break/OT adjustments)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paper forms add minutes for running through lunch (+30), breaks (+10), or 10-hour overtime (+110). How are those adjustments captured in the MES?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Adjust</w:t>
      </w:r>
      <w:r>
        <w:t xml:space="preserve"> </w:t>
      </w:r>
      <w:r>
        <w:rPr>
          <w:rStyle w:val="VerbatimChar"/>
        </w:rPr>
        <w:t xml:space="preserve">Oee.Shift.ActualEnd</w:t>
      </w:r>
      <w:r>
        <w:t xml:space="preserve"> </w:t>
      </w:r>
      <w:r>
        <w:t xml:space="preserve">to reflect the true end time.</w:t>
      </w:r>
      <w:r>
        <w:t xml:space="preserve"> </w:t>
      </w:r>
      <w:r>
        <w:t xml:space="preserve">- (b) Add an adjustment field to the shift record.</w:t>
      </w:r>
      <w:r>
        <w:t xml:space="preserve"> </w:t>
      </w:r>
      <w:r>
        <w:t xml:space="preserve">- (c) Derive runtime purely from downtime events (available time = shift duration − total downtime).</w:t>
      </w:r>
    </w:p>
    <w:p>
      <w:pPr>
        <w:pStyle w:val="BodyText"/>
      </w:pPr>
      <w:r>
        <w:rPr>
          <w:b/>
          <w:bCs/>
        </w:rPr>
        <w:t xml:space="preserve">Decision (2026-04-20):</w:t>
      </w:r>
      <w:r>
        <w:t xml:space="preserve"> </w:t>
      </w:r>
      <w:r>
        <w:t xml:space="preserve">Option (c). MES captures</w:t>
      </w:r>
      <w:r>
        <w:t xml:space="preserve"> </w:t>
      </w:r>
      <w:r>
        <w:rPr>
          <w:b/>
          <w:bCs/>
        </w:rPr>
        <w:t xml:space="preserve">event + duration</w:t>
      </w:r>
      <w:r>
        <w:t xml:space="preserve">, never minute adjustments. Shift schedule imports from MPP’s 5–6-spreadsheet rollup (customer to share the template). Shifts are Monday–Friday at fixed times; early starts automatically increase availability because events drive runtime. Operators register breaks at end of shift as a single uptime-vs-downtime categorisation — no live per-break entry. Implementation lands in Phase D (FDS §9.4 rewrite).</w:t>
      </w:r>
    </w:p>
    <w:p>
      <w:r>
        <w:pict>
          <v:rect style="width:0;height:1.5pt" o:hralign="center" o:hrstd="t" o:hr="t"/>
        </w:pict>
      </w:r>
    </w:p>
    <w:bookmarkEnd w:id="14"/>
    <w:bookmarkStart w:id="15" w:name="X5f8ed9f63d5a4cd5994417e89f3b1dce899c71f"/>
    <w:p>
      <w:pPr>
        <w:pStyle w:val="Heading3"/>
      </w:pPr>
      <w:r>
        <w:t xml:space="preserve">OI-04 — Vision system conflict resolution — 🔶 In Review (revised)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Engineering / Quality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10.3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FDS-10-003, FDS-10-005; FRS 3.16.1, 3.16.9; Appendix C (OPC Tags:</w:t>
      </w:r>
      <w:r>
        <w:t xml:space="preserve"> </w:t>
      </w:r>
      <w:r>
        <w:rPr>
          <w:rStyle w:val="VerbatimChar"/>
        </w:rPr>
        <w:t xml:space="preserve">VisionPartNumber</w:t>
      </w:r>
      <w:r>
        <w:t xml:space="preserve">); FRS 2.1.8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Cognex says part X, operator said part Y. What happens?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Block production until resolved.</w:t>
      </w:r>
      <w:r>
        <w:t xml:space="preserve"> </w:t>
      </w:r>
      <w:r>
        <w:t xml:space="preserve">- (b) Allow override with supervisor PIN.</w:t>
      </w:r>
      <w:r>
        <w:t xml:space="preserve"> </w:t>
      </w:r>
      <w:r>
        <w:t xml:space="preserve">- (c) Log discrepancy and continue.</w:t>
      </w:r>
    </w:p>
    <w:p>
      <w:pPr>
        <w:pStyle w:val="BodyText"/>
      </w:pPr>
      <w:r>
        <w:rPr>
          <w:b/>
          <w:bCs/>
        </w:rPr>
        <w:t xml:space="preserve">Revised decision (2026-04-20):</w:t>
      </w:r>
      <w:r>
        <w:t xml:space="preserve"> </w:t>
      </w:r>
      <w:r>
        <w:t xml:space="preserve">MPP pushed back on the earlier</w:t>
      </w:r>
      <w:r>
        <w:t xml:space="preserve"> </w:t>
      </w:r>
      <w:r>
        <w:t xml:space="preserve">“auto-hold LOT + supervisor override”</w:t>
      </w:r>
      <w:r>
        <w:t xml:space="preserve"> </w:t>
      </w:r>
      <w:r>
        <w:t xml:space="preserve">recommendation. New direction: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Stop the operation/line</w:t>
      </w:r>
      <w:r>
        <w:t xml:space="preserve"> </w:t>
      </w:r>
      <w:r>
        <w:t xml:space="preserve">until the issue is rectified — do NOT place the LOT on hold.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10-consecutive-fail escalation</w:t>
      </w:r>
      <w:r>
        <w:t xml:space="preserve"> </w:t>
      </w:r>
      <w:r>
        <w:t xml:space="preserve">— after 10 back-to-back failures the system escalates to a leader.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Branch by failure type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wrong part</w:t>
      </w:r>
      <w:r>
        <w:t xml:space="preserve"> </w:t>
      </w:r>
      <w:r>
        <w:t xml:space="preserve">triggers leader flag;</w:t>
      </w:r>
      <w:r>
        <w:t xml:space="preserve"> </w:t>
      </w:r>
      <w:r>
        <w:rPr>
          <w:i/>
          <w:iCs/>
        </w:rPr>
        <w:t xml:space="preserve">wrong orientation</w:t>
      </w:r>
      <w:r>
        <w:t xml:space="preserve"> </w:t>
      </w:r>
      <w:r>
        <w:t xml:space="preserve">requires no escalation.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Hold release</w:t>
      </w:r>
      <w:r>
        <w:t xml:space="preserve"> </w:t>
      </w:r>
      <w:r>
        <w:t xml:space="preserve">— Quality releases a hold; a Controlled Run Tag (CRT) requires a subsequent 200%-inspect; if the CRT run wasn’t inspected when executed, material must re-run through the process.</w:t>
      </w:r>
    </w:p>
    <w:p>
      <w:pPr>
        <w:pStyle w:val="BodyText"/>
      </w:pPr>
      <w:r>
        <w:t xml:space="preserve">Supervisor elevation uses the per-action AD prompt from FDS-04-007 (no PIN). Requires FDS §10.3 rewrite and a new escalation-state model. Work lands in Phase D.</w:t>
      </w:r>
    </w:p>
    <w:p>
      <w:r>
        <w:pict>
          <v:rect style="width:0;height:1.5pt" o:hralign="center" o:hrstd="t" o:hr="t"/>
        </w:pict>
      </w:r>
    </w:p>
    <w:bookmarkEnd w:id="15"/>
    <w:bookmarkStart w:id="16" w:name="X41d951f1d0bcc69c88be575d7361361f5de0c0a"/>
    <w:p>
      <w:pPr>
        <w:pStyle w:val="Heading3"/>
      </w:pPr>
      <w:r>
        <w:t xml:space="preserve">OI-05 — LOT merge business rules — 🔶 In Review (revised)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Production Control / Quality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5.5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FDS-05-012; FRS 3.9.13, 3.9.12, 3.13.1, 3.13.2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What rules govern LOT merges? Same part only? Same die/cavity? Additive piece counts? Reversible?</w:t>
      </w:r>
    </w:p>
    <w:p>
      <w:pPr>
        <w:pStyle w:val="BodyText"/>
      </w:pPr>
      <w:r>
        <w:rPr>
          <w:b/>
          <w:bCs/>
        </w:rPr>
        <w:t xml:space="preserve">Revised decision (2026-04-20):</w:t>
      </w:r>
      <w:r>
        <w:t xml:space="preserve"> </w:t>
      </w:r>
      <w:r>
        <w:t xml:space="preserve">MPP provided concrete rules:</w:t>
      </w:r>
      <w:r>
        <w:t xml:space="preserve"> </w:t>
      </w:r>
      <w:r>
        <w:t xml:space="preserve">- Merges only allowed</w:t>
      </w:r>
      <w:r>
        <w:t xml:space="preserve"> </w:t>
      </w:r>
      <w:r>
        <w:rPr>
          <w:b/>
          <w:bCs/>
        </w:rPr>
        <w:t xml:space="preserve">after sort is complete</w:t>
      </w:r>
      <w:r>
        <w:t xml:space="preserve">.</w:t>
      </w:r>
      <w:r>
        <w:t xml:space="preserve"> </w:t>
      </w:r>
      <w:r>
        <w:t xml:space="preserve">- Same part number, but</w:t>
      </w:r>
      <w:r>
        <w:t xml:space="preserve"> </w:t>
      </w:r>
      <w:r>
        <w:rPr>
          <w:b/>
          <w:bCs/>
        </w:rPr>
        <w:t xml:space="preserve">different dies are allowed only if die ranks are compatible</w:t>
      </w:r>
      <w:r>
        <w:t xml:space="preserve"> </w:t>
      </w:r>
      <w:r>
        <w:t xml:space="preserve">— e.g., rank A cannot be mixed; rank E can. Full compatibility matrix owed by MPP Quality.</w:t>
      </w:r>
      <w:r>
        <w:t xml:space="preserve"> </w:t>
      </w:r>
      <w:r>
        <w:t xml:space="preserve">- Machining is</w:t>
      </w:r>
      <w:r>
        <w:t xml:space="preserve"> </w:t>
      </w:r>
      <w:r>
        <w:rPr>
          <w:b/>
          <w:bCs/>
        </w:rPr>
        <w:t xml:space="preserve">FIFO by cavity</w:t>
      </w:r>
      <w:r>
        <w:t xml:space="preserve">.</w:t>
      </w:r>
      <w:r>
        <w:t xml:space="preserve"> </w:t>
      </w:r>
      <w:r>
        <w:t xml:space="preserve">- An</w:t>
      </w:r>
      <w:r>
        <w:t xml:space="preserve"> </w:t>
      </w:r>
      <w:r>
        <w:t xml:space="preserve">“IPP tag”</w:t>
      </w:r>
      <w:r>
        <w:t xml:space="preserve"> </w:t>
      </w:r>
      <w:r>
        <w:t xml:space="preserve">is attached when a die arrives; IPP is an identifier only (details modelled as flexible Tool attributes under OI-10 → Phase B).</w:t>
      </w:r>
    </w:p>
    <w:p>
      <w:pPr>
        <w:pStyle w:val="BodyText"/>
      </w:pPr>
      <w:r>
        <w:t xml:space="preserve">Implementation couples to the Phase B Tool Management design because die rank lives on the Tool / Cavity entity. Data model will grow a</w:t>
      </w:r>
      <w:r>
        <w:t xml:space="preserve"> </w:t>
      </w:r>
      <w:r>
        <w:rPr>
          <w:rStyle w:val="VerbatimChar"/>
        </w:rPr>
        <w:t xml:space="preserve">Tools.DieRankCompatibility</w:t>
      </w:r>
      <w:r>
        <w:t xml:space="preserve"> </w:t>
      </w:r>
      <w:r>
        <w:t xml:space="preserve">lookup seeded from the MPP matrix. FDS §5.5 rewrite in Phase D.</w:t>
      </w:r>
    </w:p>
    <w:p>
      <w:r>
        <w:pict>
          <v:rect style="width:0;height:1.5pt" o:hralign="center" o:hrstd="t" o:hr="t"/>
        </w:pict>
      </w:r>
    </w:p>
    <w:bookmarkEnd w:id="16"/>
    <w:bookmarkStart w:id="17" w:name="Xc4164a7d5b60391da4491aac1e81862c6cb7890"/>
    <w:p>
      <w:pPr>
        <w:pStyle w:val="Heading3"/>
      </w:pPr>
      <w:r>
        <w:t xml:space="preserve">OI-06 — Operator identity &amp; session model — ✅ Resolved (Phase C, 2026-04-21)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Operations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4 (entire)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FDS-04-001 through FDS-04-010; FRS 3.3.1, 3.3.4, 3.6.1; FRS 5.3; Spark Dep. B.8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Session lifecycle for operators, quality, and supervisors. Badge-per-shift, badge-per-action, timeouts, re-auth triggers.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Badge once per shift — re-auth only for elevated actions.</w:t>
      </w:r>
      <w:r>
        <w:t xml:space="preserve"> </w:t>
      </w:r>
      <w:r>
        <w:t xml:space="preserve">- (b) Badge per transaction.</w:t>
      </w:r>
      <w:r>
        <w:t xml:space="preserve"> </w:t>
      </w:r>
      <w:r>
        <w:t xml:space="preserve">- (c) Hybrid.</w:t>
      </w:r>
      <w:r>
        <w:t xml:space="preserve"> </w:t>
      </w:r>
      <w:r>
        <w:t xml:space="preserve">- (d)</w:t>
      </w:r>
      <w:r>
        <w:t xml:space="preserve"> </w:t>
      </w:r>
      <w:r>
        <w:rPr>
          <w:i/>
          <w:iCs/>
        </w:rPr>
        <w:t xml:space="preserve">(added after 2026-04-20 meeting)</w:t>
      </w:r>
      <w:r>
        <w:t xml:space="preserve"> </w:t>
      </w:r>
      <w:r>
        <w:t xml:space="preserve">Operators don’t authenticate at all; initials only.</w:t>
      </w:r>
    </w:p>
    <w:p>
      <w:pPr>
        <w:pStyle w:val="BodyText"/>
      </w:pPr>
      <w:r>
        <w:rPr>
          <w:b/>
          <w:bCs/>
        </w:rPr>
        <w:t xml:space="preserve">Decision (2026-04-20, implemented 2026-04-21):</w:t>
      </w:r>
      <w:r>
        <w:t xml:space="preserve"> </w:t>
      </w:r>
      <w:r>
        <w:t xml:space="preserve">Option (d). Operators are identified by</w:t>
      </w:r>
      <w:r>
        <w:t xml:space="preserve"> </w:t>
      </w:r>
      <w:r>
        <w:rPr>
          <w:b/>
          <w:bCs/>
        </w:rPr>
        <w:t xml:space="preserve">initials</w:t>
      </w:r>
      <w:r>
        <w:t xml:space="preserve"> </w:t>
      </w:r>
      <w:r>
        <w:t xml:space="preserve">entered at a shop-floor terminal (no clock number, no PIN), which establish an operator presence context that stamps</w:t>
      </w:r>
      <w:r>
        <w:t xml:space="preserve"> </w:t>
      </w:r>
      <w:r>
        <w:rPr>
          <w:rStyle w:val="VerbatimChar"/>
        </w:rPr>
        <w:t xml:space="preserve">AppUserId</w:t>
      </w:r>
      <w:r>
        <w:t xml:space="preserve"> </w:t>
      </w:r>
      <w:r>
        <w:t xml:space="preserve">on events. Interactive users (Quality, Supervisor, Engineering, Admin) continue via Active Directory. Elevated actions are per-action AD re-prompts — no session-sticky elevation, no 5-minute timeout. Dedicated vs Shared terminal modes via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. 30-minute idle re-confirmation overlay (</w:t>
      </w:r>
      <w:r>
        <w:t xml:space="preserve">“Operate as [XY]? Y / N — change”</w:t>
      </w:r>
      <w:r>
        <w:t xml:space="preserve">). Pre-populated defeasible Initials field on every mutation screen. Operator</w:t>
      </w:r>
      <w:r>
        <w:t xml:space="preserve"> </w:t>
      </w:r>
      <w:r>
        <w:rPr>
          <w:rStyle w:val="VerbatimChar"/>
        </w:rPr>
        <w:t xml:space="preserve">AppUser</w:t>
      </w:r>
      <w:r>
        <w:t xml:space="preserve"> </w:t>
      </w:r>
      <w:r>
        <w:t xml:space="preserve">rows are managed in the Configuration Tool (Admin screen). Tom (MPP security SME) still owes a final review of the elevated-action list (see FDS-04-007).</w:t>
      </w:r>
    </w:p>
    <w:p>
      <w:pPr>
        <w:pStyle w:val="BodyText"/>
      </w:pPr>
      <w:r>
        <w:t xml:space="preserve">Delivered via FDS v0.8, Data Model v1.6, User Journeys v0.6, Config Tool phased plan v1.7 (commit</w:t>
      </w:r>
      <w:r>
        <w:t xml:space="preserve"> </w:t>
      </w:r>
      <w:r>
        <w:rPr>
          <w:rStyle w:val="VerbatimChar"/>
        </w:rPr>
        <w:t xml:space="preserve">dbeac08</w:t>
      </w:r>
      <w:r>
        <w:t xml:space="preserve">). Schema cleanup (drop legacy</w:t>
      </w:r>
      <w:r>
        <w:t xml:space="preserve"> </w:t>
      </w:r>
      <w:r>
        <w:rPr>
          <w:rStyle w:val="VerbatimChar"/>
        </w:rPr>
        <w:t xml:space="preserve">ClockNumber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PinHash</w:t>
      </w:r>
      <w:r>
        <w:t xml:space="preserve"> </w:t>
      </w:r>
      <w:r>
        <w:t xml:space="preserve">columns) deferred to Phase G.</w:t>
      </w:r>
    </w:p>
    <w:p>
      <w:r>
        <w:pict>
          <v:rect style="width:0;height:1.5pt" o:hralign="center" o:hrstd="t" o:hr="t"/>
        </w:pict>
      </w:r>
    </w:p>
    <w:bookmarkEnd w:id="17"/>
    <w:bookmarkStart w:id="18" w:name="oi-07-work-order-scope-in-review-revised"/>
    <w:p>
      <w:pPr>
        <w:pStyle w:val="Heading3"/>
      </w:pPr>
      <w:r>
        <w:t xml:space="preserve">OI-07 — Work order scope — 🔶 In Review (revised)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/ Blue Ridge (Ben is SME)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6.10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FDS-06-022, FDS-06-023, FDS-06-024; FRS 3.1.5, 3.10.1, 3.10.2, 3.10.5; Spark Dep. B.5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Include Work Orders in MVP or defer entirely? Biggest CONDITIONAL decision.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Include — auto-generated, invisible to operators.</w:t>
      </w:r>
      <w:r>
        <w:t xml:space="preserve"> </w:t>
      </w:r>
      <w:r>
        <w:t xml:space="preserve">- (b) Defer — all WO tables exist but are not populated.</w:t>
      </w:r>
      <w:r>
        <w:t xml:space="preserve"> </w:t>
      </w:r>
      <w:r>
        <w:t xml:space="preserve">- (c) MVP-lite — create WOs but no operator-facing screens.</w:t>
      </w:r>
    </w:p>
    <w:p>
      <w:pPr>
        <w:pStyle w:val="BodyText"/>
      </w:pPr>
      <w:r>
        <w:rPr>
          <w:b/>
          <w:bCs/>
        </w:rPr>
        <w:t xml:space="preserve">Revised decision (2026-04-20):</w:t>
      </w:r>
      <w:r>
        <w:t xml:space="preserve"> </w:t>
      </w:r>
      <w:r>
        <w:t xml:space="preserve">MVP-lite</w:t>
      </w:r>
      <w:r>
        <w:t xml:space="preserve"> </w:t>
      </w:r>
      <w:r>
        <w:rPr>
          <w:b/>
          <w:bCs/>
        </w:rPr>
        <w:t xml:space="preserve">with three explicit work-order types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Demand WO</w:t>
      </w:r>
      <w:r>
        <w:t xml:space="preserve"> </w:t>
      </w:r>
      <w:r>
        <w:t xml:space="preserve">— production work, auto-generated on LOT start, invisible to operators (existing MVP-lite story).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Maintenance WO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targets a Tool</w:t>
      </w:r>
      <w:r>
        <w:t xml:space="preserve"> </w:t>
      </w:r>
      <w:r>
        <w:t xml:space="preserve">(couples to Phase B Tool Management). Has its own engine per MPP; needs clarification from Ben on lifecycle, scheduling, and integration with the maintenance team’s existing tooling.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Recipe WO</w:t>
      </w:r>
      <w:r>
        <w:t xml:space="preserve"> </w:t>
      </w:r>
      <w:r>
        <w:t xml:space="preserve">— hidden from the operator (recipe / configuration context).</w:t>
      </w:r>
    </w:p>
    <w:p>
      <w:pPr>
        <w:pStyle w:val="BodyText"/>
      </w:pPr>
      <w:r>
        <w:t xml:space="preserve">Data model adds</w:t>
      </w:r>
      <w:r>
        <w:t xml:space="preserve"> </w:t>
      </w:r>
      <w:r>
        <w:rPr>
          <w:rStyle w:val="VerbatimChar"/>
        </w:rPr>
        <w:t xml:space="preserve">Workorder.WorkOrderType</w:t>
      </w:r>
      <w:r>
        <w:t xml:space="preserve"> </w:t>
      </w:r>
      <w:r>
        <w:t xml:space="preserve">code table (Demand / Maintenance / Recipe) and a nullable</w:t>
      </w:r>
      <w:r>
        <w:t xml:space="preserve"> </w:t>
      </w:r>
      <w:r>
        <w:rPr>
          <w:rStyle w:val="VerbatimChar"/>
        </w:rPr>
        <w:t xml:space="preserve">ToolId</w:t>
      </w:r>
      <w:r>
        <w:t xml:space="preserve"> </w:t>
      </w:r>
      <w:r>
        <w:t xml:space="preserve">FK on</w:t>
      </w:r>
      <w:r>
        <w:t xml:space="preserve"> </w:t>
      </w:r>
      <w:r>
        <w:rPr>
          <w:rStyle w:val="VerbatimChar"/>
        </w:rPr>
        <w:t xml:space="preserve">Workorder.WorkOrder</w:t>
      </w:r>
      <w:r>
        <w:t xml:space="preserve"> </w:t>
      </w:r>
      <w:r>
        <w:t xml:space="preserve">to support Maintenance. Ben owes the maintenance-engine scope before Phase G (SQL) can proceed. FDS §6.10 rewrite in Phase D.</w:t>
      </w:r>
    </w:p>
    <w:p>
      <w:r>
        <w:pict>
          <v:rect style="width:0;height:1.5pt" o:hralign="center" o:hrstd="t" o:hr="t"/>
        </w:pict>
      </w:r>
    </w:p>
    <w:bookmarkEnd w:id="18"/>
    <w:bookmarkStart w:id="19" w:name="Xc4b17e5dbe26ba0c3f44c6298b91ac5f0b2f288"/>
    <w:p>
      <w:pPr>
        <w:pStyle w:val="Heading3"/>
      </w:pPr>
      <w:r>
        <w:t xml:space="preserve">OI-08 — Terminal architecture — 🔶 In Review (addenda after resolution)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IT / Operations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2.5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FDS-02-008, FDS-02-009; FRS 3.7.1, 3.7.2; Spark Dep. B.1; FRS Appendix B (~230 machines)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Count of terminals (~230 1:1 with machines, or fewer shared)? If shared, how does the operator pick the active machine?</w:t>
      </w:r>
    </w:p>
    <w:p>
      <w:pPr>
        <w:pStyle w:val="BodyText"/>
      </w:pPr>
      <w:r>
        <w:rPr>
          <w:b/>
          <w:bCs/>
        </w:rPr>
        <w:t xml:space="preserve">Earlier decision (2026-04-09, retained as baseline):</w:t>
      </w:r>
      <w:r>
        <w:t xml:space="preserve"> </w:t>
      </w:r>
      <w:r>
        <w:t xml:space="preserve">Fewer shared terminals, with a machine barcode / QR scan as the first step of any interaction.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LocationTypeDefinition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Cell</w:t>
      </w:r>
      <w:r>
        <w:t xml:space="preserve">; events carry both</w:t>
      </w:r>
      <w:r>
        <w:t xml:space="preserve"> </w:t>
      </w:r>
      <w:r>
        <w:rPr>
          <w:rStyle w:val="VerbatimChar"/>
        </w:rPr>
        <w:t xml:space="preserve">TerminalLocationId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LocationId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Addenda (2026-04-20):</w:t>
      </w:r>
      <w:r>
        <w:t xml:space="preserve"> </w:t>
      </w:r>
      <w:r>
        <w:t xml:space="preserve">MPP added more texture that needs to be folded into the design: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Terminal-to-cell mode.</w:t>
      </w:r>
      <w:r>
        <w:t xml:space="preserve"> </w:t>
      </w:r>
      <w:r>
        <w:t xml:space="preserve">About 80% of terminals are dedicated (1:1 with a Cell); the remaining 20% (e.g., trim shop with multiple stations on one terminal) are shared. Model this as a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on the Terminal (</w:t>
      </w:r>
      <w:r>
        <w:rPr>
          <w:rStyle w:val="VerbatimChar"/>
        </w:rPr>
        <w:t xml:space="preserve">TerminalMode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Dedicated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). Dedicated terminals persist the operator presence context through the shift; shared terminals prompt on first action and on machine change. Already captured in FDS §4 / Phase C.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Operator cannot navigate off-machine.</w:t>
      </w:r>
      <w:r>
        <w:t xml:space="preserve"> </w:t>
      </w:r>
      <w:r>
        <w:t xml:space="preserve">A terminal’s machine context is locked unless the operator explicitly re-scans (force-print workflow). Not a free-for-all dropdown.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Part ↔ machine validity map.</w:t>
      </w:r>
      <w:r>
        <w:t xml:space="preserve"> </w:t>
      </w:r>
      <w:r>
        <w:t xml:space="preserve">Need a configurable mapping of which parts can run on which machines (extension of Phase 5’s</w:t>
      </w:r>
      <w:r>
        <w:t xml:space="preserve"> </w:t>
      </w:r>
      <w:r>
        <w:rPr>
          <w:rStyle w:val="VerbatimChar"/>
        </w:rPr>
        <w:t xml:space="preserve">Parts.ItemLocation</w:t>
      </w:r>
      <w:r>
        <w:t xml:space="preserve"> </w:t>
      </w:r>
      <w:r>
        <w:t xml:space="preserve">eligibility junction — likely sufficient; confirm in Phase D).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Tablets planned for casting.</w:t>
      </w:r>
      <w:r>
        <w:t xml:space="preserve"> </w:t>
      </w:r>
      <w:r>
        <w:t xml:space="preserve">Mobile-friendly layout is a design input, not just a nice-to-have. Affects Perspective view sizing.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Honda RFID on labels (future).</w:t>
      </w:r>
      <w:r>
        <w:t xml:space="preserve"> </w:t>
      </w:r>
      <w:r>
        <w:t xml:space="preserve">Honda plans RFID; the MES should not block that path. Out-of-scope for MVP but worth a forward-compatibility note in FDS §2.5.</w:t>
      </w:r>
    </w:p>
    <w:p>
      <w:pPr>
        <w:pStyle w:val="BodyText"/>
      </w:pPr>
      <w:r>
        <w:t xml:space="preserve">Work lands in Phase D (FDS §2.5 addenda pass).</w:t>
      </w:r>
    </w:p>
    <w:p>
      <w:r>
        <w:pict>
          <v:rect style="width:0;height:1.5pt" o:hralign="center" o:hrstd="t" o:hr="t"/>
        </w:pict>
      </w:r>
    </w:p>
    <w:bookmarkEnd w:id="19"/>
    <w:bookmarkStart w:id="20" w:name="Xf3080da3cc2a0b52bfb4caf74a19a0db5419b2c"/>
    <w:p>
      <w:pPr>
        <w:pStyle w:val="Heading3"/>
      </w:pPr>
      <w:r>
        <w:t xml:space="preserve">OI-09 — Multi-part lines &amp; sublots — 🔶 In Review (addenda after resolution)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Engineering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3.6, 5.4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FDS-03-016, FDS-03-017; FRS 3.9.7, 3.16.1, 3.16.2; MS1FM-1028 (multi-part line example)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On lines that run multiple part numbers (MS1FM-1028 → 59B / 5PA / 6NA), how are containers handled? Mixed containers? Part-at-a-time?</w:t>
      </w:r>
    </w:p>
    <w:p>
      <w:pPr>
        <w:pStyle w:val="BodyText"/>
      </w:pPr>
      <w:r>
        <w:rPr>
          <w:b/>
          <w:bCs/>
        </w:rPr>
        <w:t xml:space="preserve">Earlier decision (2026-04-09, retained):</w:t>
      </w:r>
      <w:r>
        <w:t xml:space="preserve"> </w:t>
      </w:r>
      <w:r>
        <w:t xml:space="preserve">One part at a time. Operator selects the active LOT for consumption, which determines the part number. No mixed-part containers. Changeover is an operator action.</w:t>
      </w:r>
    </w:p>
    <w:p>
      <w:pPr>
        <w:pStyle w:val="BodyText"/>
      </w:pPr>
      <w:r>
        <w:rPr>
          <w:b/>
          <w:bCs/>
        </w:rPr>
        <w:t xml:space="preserve">Addenda (2026-04-20):</w:t>
      </w:r>
      <w:r>
        <w:t xml:space="preserve"> </w:t>
      </w:r>
      <w:r>
        <w:t xml:space="preserve">Meeting notes revealed a</w:t>
      </w:r>
      <w:r>
        <w:t xml:space="preserve"> </w:t>
      </w:r>
      <w:r>
        <w:rPr>
          <w:b/>
          <w:bCs/>
        </w:rPr>
        <w:t xml:space="preserve">sublot pattern</w:t>
      </w:r>
      <w:r>
        <w:t xml:space="preserve"> </w:t>
      </w:r>
      <w:r>
        <w:t xml:space="preserve">that needs explicit treatment:</w:t>
      </w:r>
      <w:r>
        <w:t xml:space="preserve"> </w:t>
      </w:r>
      <w:r>
        <w:t xml:space="preserve">- Each</w:t>
      </w:r>
      <w:r>
        <w:t xml:space="preserve"> </w:t>
      </w:r>
      <w:r>
        <w:rPr>
          <w:b/>
          <w:bCs/>
        </w:rPr>
        <w:t xml:space="preserve">cavity can produce a distinct lot simultaneously</w:t>
      </w:r>
      <w:r>
        <w:t xml:space="preserve"> </w:t>
      </w:r>
      <w:r>
        <w:t xml:space="preserve">(not contradictory to</w:t>
      </w:r>
      <w:r>
        <w:t xml:space="preserve"> </w:t>
      </w:r>
      <w:r>
        <w:t xml:space="preserve">“one part at a time”</w:t>
      </w:r>
      <w:r>
        <w:t xml:space="preserve"> </w:t>
      </w:r>
      <w:r>
        <w:t xml:space="preserve">because it’s the same part number from different cavities).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Small baskets are broken down from a parent lot into sublots.</w:t>
      </w:r>
      <w:r>
        <w:t xml:space="preserve"> </w:t>
      </w:r>
      <w:r>
        <w:t xml:space="preserve">Each sublot has its own label with a parent-lot reference and persists through the process.</w:t>
      </w:r>
    </w:p>
    <w:p>
      <w:pPr>
        <w:pStyle w:val="BodyText"/>
      </w:pPr>
      <w:r>
        <w:t xml:space="preserve">Schema impact: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 </w:t>
      </w:r>
      <w:r>
        <w:t xml:space="preserve">adjacency-list parent FK likely already supports this (parent</w:t>
      </w:r>
      <w:r>
        <w:t xml:space="preserve"> </w:t>
      </w:r>
      <w:r>
        <w:rPr>
          <w:rStyle w:val="VerbatimChar"/>
        </w:rPr>
        <w:t xml:space="preserve">Lot.Id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Lot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ParentLotId</w:t>
      </w:r>
      <w:r>
        <w:t xml:space="preserve">), but the</w:t>
      </w:r>
      <w:r>
        <w:t xml:space="preserve"> </w:t>
      </w:r>
      <w:r>
        <w:rPr>
          <w:b/>
          <w:bCs/>
        </w:rPr>
        <w:t xml:space="preserve">label pattern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sublot workflows</w:t>
      </w:r>
      <w:r>
        <w:t xml:space="preserve"> </w:t>
      </w:r>
      <w:r>
        <w:t xml:space="preserve">are new — label printing and sublot-aware scan-in flows need explicit journey coverage. Work lands in Phase D (FDS §5.4 sublot addenda) and Phase E (Plant Floor phased plan sublot steps).</w:t>
      </w:r>
    </w:p>
    <w:p>
      <w:r>
        <w:pict>
          <v:rect style="width:0;height:1.5pt" o:hralign="center" o:hrstd="t" o:hr="t"/>
        </w:pict>
      </w:r>
    </w:p>
    <w:bookmarkEnd w:id="20"/>
    <w:bookmarkStart w:id="21" w:name="X20e9418eaffac1ad8c61e15ecd5e389309dd572"/>
    <w:p>
      <w:pPr>
        <w:pStyle w:val="Heading3"/>
      </w:pPr>
      <w:r>
        <w:t xml:space="preserve">OI-10 — Tool Life tracking — Superseded (rolled into Phase B)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MPP Engineering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5.6 (new section in Phase B)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FRS 5.6.6, 3.14.8; Scope Matrix Row 26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Where does Tool Life data live? Extend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vs. a dedicated table?</w:t>
      </w:r>
    </w:p>
    <w:p>
      <w:pPr>
        <w:pStyle w:val="BodyText"/>
      </w:pPr>
      <w:r>
        <w:rPr>
          <w:b/>
          <w:bCs/>
        </w:rPr>
        <w:t xml:space="preserve">Original options:</w:t>
      </w:r>
      <w:r>
        <w:t xml:space="preserve"> </w:t>
      </w:r>
      <w:r>
        <w:t xml:space="preserve">- (a) Extend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with tool life attributes per machine.</w:t>
      </w:r>
      <w:r>
        <w:t xml:space="preserve"> </w:t>
      </w:r>
      <w:r>
        <w:t xml:space="preserve">- (b) Dedicated</w:t>
      </w:r>
      <w:r>
        <w:t xml:space="preserve"> </w:t>
      </w:r>
      <w:r>
        <w:rPr>
          <w:rStyle w:val="VerbatimChar"/>
        </w:rPr>
        <w:t xml:space="preserve">ToolLife</w:t>
      </w:r>
      <w:r>
        <w:t xml:space="preserve"> </w:t>
      </w:r>
      <w:r>
        <w:t xml:space="preserve">table with shot counters, thresholds, reset events.</w:t>
      </w:r>
      <w:r>
        <w:t xml:space="preserve"> </w:t>
      </w:r>
      <w:r>
        <w:t xml:space="preserve">- (c) Hybrid — attribute for targets, event table for resets.</w:t>
      </w:r>
    </w:p>
    <w:p>
      <w:pPr>
        <w:pStyle w:val="BodyText"/>
      </w:pPr>
      <w:r>
        <w:rPr>
          <w:b/>
          <w:bCs/>
        </w:rPr>
        <w:t xml:space="preserve">Resolution path (2026-04-20):</w:t>
      </w:r>
      <w:r>
        <w:t xml:space="preserve"> </w:t>
      </w:r>
      <w:r>
        <w:t xml:space="preserve">Rolled into the</w:t>
      </w:r>
      <w:r>
        <w:t xml:space="preserve"> </w:t>
      </w:r>
      <w:r>
        <w:rPr>
          <w:b/>
          <w:bCs/>
        </w:rPr>
        <w:t xml:space="preserve">Phase B Tool Management design spec</w:t>
      </w:r>
      <w:r>
        <w:t xml:space="preserve">. Tool is now a first-class subsystem:</w:t>
      </w:r>
      <w:r>
        <w:t xml:space="preserve"> </w:t>
      </w:r>
      <w:r>
        <w:rPr>
          <w:rStyle w:val="VerbatimChar"/>
        </w:rPr>
        <w:t xml:space="preserve">Tools.Tool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Tools.ToolCavity</w:t>
      </w:r>
      <w:r>
        <w:t xml:space="preserve">, die rank compatibility, check-in/out against Cells, shot counters (both materialized and event-append), maintenance WO linkage (OI-07). Six specific design questions are parked in</w:t>
      </w:r>
      <w:r>
        <w:t xml:space="preserve"> </w:t>
      </w:r>
      <w:r>
        <w:rPr>
          <w:rStyle w:val="VerbatimChar"/>
        </w:rPr>
        <w:t xml:space="preserve">memory/project_mpp_tool_mgmt_design.md</w:t>
      </w:r>
      <w:r>
        <w:t xml:space="preserve"> </w:t>
      </w:r>
      <w:r>
        <w:t xml:space="preserve">awaiting Jacques’s answers before the data-model work begins.</w:t>
      </w:r>
    </w:p>
    <w:p>
      <w:pPr>
        <w:pStyle w:val="BodyText"/>
      </w:pPr>
      <w:r>
        <w:t xml:space="preserve">This item remains in the register for traceability but is no longer a stand-alone decision — its closure is the Phase B design spec landing.</w:t>
      </w:r>
    </w:p>
    <w:p>
      <w:r>
        <w:pict>
          <v:rect style="width:0;height:1.5pt" o:hralign="center" o:hrstd="t" o:hr="t"/>
        </w:pict>
      </w:r>
    </w:p>
    <w:bookmarkEnd w:id="21"/>
    <w:bookmarkStart w:id="22" w:name="Xe5547d2a811291e5c0cc60cd02ef1e5a6d2eab6"/>
    <w:p>
      <w:pPr>
        <w:pStyle w:val="Heading3"/>
      </w:pPr>
      <w:r>
        <w:t xml:space="preserve">OI-11 — Part identity change at Casting → Trim Shop — ✅ Resolved (2026-04-22)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Engineering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5.10 (reframed around BOM-driven resolution)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Meeting notes 2026-04-20; derived from OI-05 / OI-10 context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Per MPP, a part</w:t>
      </w:r>
      <w:r>
        <w:t xml:space="preserve"> </w:t>
      </w:r>
      <w:r>
        <w:rPr>
          <w:b/>
          <w:bCs/>
        </w:rPr>
        <w:t xml:space="preserve">changes its identity</w:t>
      </w:r>
      <w:r>
        <w:t xml:space="preserve"> </w:t>
      </w:r>
      <w:r>
        <w:t xml:space="preserve">as it moves from Casting to the Trim Shop — the part number is different on the two sides of that boundary, even though genealogy must tie them together.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Dedicated</w:t>
      </w:r>
      <w:r>
        <w:t xml:space="preserve"> </w:t>
      </w:r>
      <w:r>
        <w:rPr>
          <w:rStyle w:val="VerbatimChar"/>
        </w:rPr>
        <w:t xml:space="preserve">Parts.ItemTransform</w:t>
      </w:r>
      <w:r>
        <w:t xml:space="preserve"> </w:t>
      </w:r>
      <w:r>
        <w:t xml:space="preserve">table (source Item + destination Item, with an</w:t>
      </w:r>
      <w:r>
        <w:t xml:space="preserve"> </w:t>
      </w:r>
      <w:r>
        <w:rPr>
          <w:rStyle w:val="VerbatimChar"/>
        </w:rPr>
        <w:t xml:space="preserve">EventAt</w:t>
      </w:r>
      <w:r>
        <w:t xml:space="preserve"> </w:t>
      </w:r>
      <w:r>
        <w:t xml:space="preserve">and genealogy FKs).</w:t>
      </w:r>
      <w:r>
        <w:t xml:space="preserve"> </w:t>
      </w:r>
      <w:r>
        <w:t xml:space="preserve">- (b) Treat Trim as a renaming operation — add an attribute to the existing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flow.</w:t>
      </w:r>
      <w:r>
        <w:t xml:space="preserve"> </w:t>
      </w:r>
      <w:r>
        <w:t xml:space="preserve">- (c) Require BOM-driven resolution — the Trim part is a</w:t>
      </w:r>
      <w:r>
        <w:t xml:space="preserve"> </w:t>
      </w:r>
      <w:r>
        <w:t xml:space="preserve">“produced from”</w:t>
      </w:r>
      <w:r>
        <w:t xml:space="preserve"> </w:t>
      </w:r>
      <w:r>
        <w:t xml:space="preserve">of the Casting part.</w:t>
      </w:r>
    </w:p>
    <w:p>
      <w:pPr>
        <w:pStyle w:val="BodyText"/>
      </w:pPr>
      <w:r>
        <w:rPr>
          <w:b/>
          <w:bCs/>
        </w:rPr>
        <w:t xml:space="preserve">Decision (2026-04-22):</w:t>
      </w:r>
      <w:r>
        <w:t xml:space="preserve"> </w:t>
      </w:r>
      <w:r>
        <w:t xml:space="preserve">Option (c). Option (a) was initially chosen and drafted into Data Model v1.8 / FDS v0.10 / User Journeys v0.7; on review the</w:t>
      </w:r>
      <w:r>
        <w:t xml:space="preserve"> </w:t>
      </w:r>
      <w:r>
        <w:rPr>
          <w:rStyle w:val="VerbatimChar"/>
        </w:rPr>
        <w:t xml:space="preserve">Parts.ItemTransform</w:t>
      </w:r>
      <w:r>
        <w:t xml:space="preserve"> </w:t>
      </w:r>
      <w:r>
        <w:t xml:space="preserve">table was fully redundant with</w:t>
      </w:r>
      <w:r>
        <w:t xml:space="preserve"> </w:t>
      </w:r>
      <w:r>
        <w:rPr>
          <w:rStyle w:val="VerbatimChar"/>
        </w:rPr>
        <w:t xml:space="preserve">Workorder.ConsumptionEvent</w:t>
      </w:r>
      <w:r>
        <w:t xml:space="preserve"> </w:t>
      </w:r>
      <w:r>
        <w:t xml:space="preserve">— every column duplicated. The Casting → Trim boundary is a</w:t>
      </w:r>
      <w:r>
        <w:t xml:space="preserve"> </w:t>
      </w:r>
      <w:r>
        <w:rPr>
          <w:b/>
          <w:bCs/>
        </w:rPr>
        <w:t xml:space="preserve">degenerate 1-line BOM consumption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Trim part’s</w:t>
      </w:r>
      <w:r>
        <w:t xml:space="preserve"> </w:t>
      </w:r>
      <w:r>
        <w:rPr>
          <w:rStyle w:val="VerbatimChar"/>
        </w:rPr>
        <w:t xml:space="preserve">Parts.Bom</w:t>
      </w:r>
      <w:r>
        <w:t xml:space="preserve"> </w:t>
      </w:r>
      <w:r>
        <w:t xml:space="preserve">has a single</w:t>
      </w:r>
      <w:r>
        <w:t xml:space="preserve"> </w:t>
      </w:r>
      <w:r>
        <w:rPr>
          <w:rStyle w:val="VerbatimChar"/>
        </w:rPr>
        <w:t xml:space="preserve">BomLine</w:t>
      </w:r>
      <w:r>
        <w:t xml:space="preserve"> </w:t>
      </w:r>
      <w:r>
        <w:t xml:space="preserve">referencing the cast part at</w:t>
      </w:r>
      <w:r>
        <w:t xml:space="preserve"> </w:t>
      </w:r>
      <w:r>
        <w:rPr>
          <w:rStyle w:val="VerbatimChar"/>
        </w:rPr>
        <w:t xml:space="preserve">QtyPer = 1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At the first Trim Shop Cell, the MES uses</w:t>
      </w:r>
      <w:r>
        <w:t xml:space="preserve"> </w:t>
      </w:r>
      <w:r>
        <w:rPr>
          <w:rStyle w:val="VerbatimChar"/>
        </w:rPr>
        <w:t xml:space="preserve">Parts.ItemLocation</w:t>
      </w:r>
      <w:r>
        <w:t xml:space="preserve"> </w:t>
      </w:r>
      <w:r>
        <w:t xml:space="preserve">+ BOM lookup to find the destination trim part; prompts the operator to confirm receive-as; on confirm writes a normal</w:t>
      </w:r>
      <w:r>
        <w:t xml:space="preserve"> </w:t>
      </w:r>
      <w:r>
        <w:rPr>
          <w:rStyle w:val="VerbatimChar"/>
        </w:rPr>
        <w:t xml:space="preserve">Workorder.ConsumptionEvent</w:t>
      </w:r>
      <w:r>
        <w:t xml:space="preserve"> </w:t>
      </w:r>
      <w:r>
        <w:t xml:space="preserve">(consumed cast / produced trim) +</w:t>
      </w:r>
      <w:r>
        <w:t xml:space="preserve"> </w:t>
      </w:r>
      <w:r>
        <w:rPr>
          <w:rStyle w:val="VerbatimChar"/>
        </w:rPr>
        <w:t xml:space="preserve">Lots.LotGenealogy</w:t>
      </w:r>
      <w:r>
        <w:t xml:space="preserve"> </w:t>
      </w:r>
      <w:r>
        <w:t xml:space="preserve">row.</w:t>
      </w:r>
    </w:p>
    <w:p>
      <w:pPr>
        <w:pStyle w:val="Compact"/>
        <w:numPr>
          <w:ilvl w:val="0"/>
          <w:numId w:val="1001"/>
        </w:numPr>
      </w:pPr>
      <w:r>
        <w:t xml:space="preserve">Honda backward trace: same walk as any assembly consumption — shipped trim LOT → LotGenealogy → cast LOT → die / cavity / operator / timestamp.</w:t>
      </w:r>
    </w:p>
    <w:p>
      <w:pPr>
        <w:pStyle w:val="Compact"/>
        <w:numPr>
          <w:ilvl w:val="0"/>
          <w:numId w:val="1001"/>
        </w:numPr>
      </w:pPr>
      <w:r>
        <w:t xml:space="preserve">Yield loss (if any) handled normally via</w:t>
      </w:r>
      <w:r>
        <w:t xml:space="preserve"> </w:t>
      </w:r>
      <w:r>
        <w:rPr>
          <w:rStyle w:val="VerbatimChar"/>
        </w:rPr>
        <w:t xml:space="preserve">Workorder.RejectEvent</w:t>
      </w:r>
      <w:r>
        <w:t xml:space="preserve"> </w:t>
      </w:r>
      <w:r>
        <w:t xml:space="preserve">on the source side.</w:t>
      </w:r>
    </w:p>
    <w:p>
      <w:pPr>
        <w:pStyle w:val="FirstParagraph"/>
      </w:pPr>
      <w:r>
        <w:rPr>
          <w:b/>
          <w:bCs/>
        </w:rPr>
        <w:t xml:space="preserve">No new schema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Parts.ItemTransform</w:t>
      </w:r>
      <w:r>
        <w:t xml:space="preserve"> </w:t>
      </w:r>
      <w:r>
        <w:t xml:space="preserve">was removed from the v1.8 draft before any SQL landed. Affected docs updated to v1.8-rev / v0.10-rev / v0.7-rev; Phase G migration dropped the ItemTransform</w:t>
      </w:r>
      <w:r>
        <w:t xml:space="preserve"> </w:t>
      </w:r>
      <w:r>
        <w:rPr>
          <w:rStyle w:val="VerbatimChar"/>
        </w:rPr>
        <w:t xml:space="preserve">Audit.LogEntityType</w:t>
      </w:r>
      <w:r>
        <w:t xml:space="preserve"> </w:t>
      </w:r>
      <w:r>
        <w:t xml:space="preserve">seed row (9 rows instead of 10; re-run green, 779/779 tests still pass).</w:t>
      </w:r>
    </w:p>
    <w:p>
      <w:r>
        <w:pict>
          <v:rect style="width:0;height:1.5pt" o:hralign="center" o:hrstd="t" o:hr="t"/>
        </w:pict>
      </w:r>
    </w:p>
    <w:bookmarkEnd w:id="22"/>
    <w:bookmarkStart w:id="23" w:name="oi-12-lineside-inventory-caps-open-new"/>
    <w:p>
      <w:pPr>
        <w:pStyle w:val="Heading3"/>
      </w:pPr>
      <w:r>
        <w:t xml:space="preserve">OI-12 — Lineside inventory caps — ⬜ Open (new)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Operations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TBD (§3 addenda in Phase E)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Meeting notes 2026-04-20; FRS 3.6.6 (container config)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Operators game the current system by scanning in a large quantity of parts-to-consume at once so they don’t have to re-scan as often. MPP wants a cap: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Max parts per basket</w:t>
      </w:r>
      <w:r>
        <w:t xml:space="preserve"> </w:t>
      </w:r>
      <w:r>
        <w:t xml:space="preserve">(ContainerConfig-level).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Max lineside inventory quantity</w:t>
      </w:r>
      <w:r>
        <w:t xml:space="preserve"> </w:t>
      </w:r>
      <w:r>
        <w:t xml:space="preserve">(per Cell / workstation).</w:t>
      </w:r>
    </w:p>
    <w:p>
      <w:pPr>
        <w:pStyle w:val="BodyText"/>
      </w:pPr>
      <w:r>
        <w:t xml:space="preserve">Exceeding either limit should reject the scan-in.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MaxParts INT NULL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Parts.ContainerConfig</w:t>
      </w:r>
      <w:r>
        <w:t xml:space="preserve">. Add a</w:t>
      </w:r>
      <w:r>
        <w:t xml:space="preserve"> </w:t>
      </w:r>
      <w:r>
        <w:rPr>
          <w:rStyle w:val="VerbatimChar"/>
        </w:rPr>
        <w:t xml:space="preserve">LinesideLimit</w:t>
      </w:r>
      <w:r>
        <w:t xml:space="preserve"> </w:t>
      </w:r>
      <w:r>
        <w:t xml:space="preserve">concept as a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on Cells. Validation fires in the scan-in mutation proc. Designed in Phase E, implemented in Phase G.</w:t>
      </w:r>
    </w:p>
    <w:p>
      <w:r>
        <w:pict>
          <v:rect style="width:0;height:1.5pt" o:hralign="center" o:hrstd="t" o:hr="t"/>
        </w:pict>
      </w:r>
    </w:p>
    <w:bookmarkEnd w:id="23"/>
    <w:bookmarkStart w:id="24" w:name="oi-13-bom-source-system-open-new-high"/>
    <w:p>
      <w:pPr>
        <w:pStyle w:val="Heading3"/>
      </w:pPr>
      <w:r>
        <w:t xml:space="preserve">OI-13 — BOM source system — ⬜ Open (new, HIGH)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IT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1.4 (Interfaces) / 3 (Master Data) — Phase E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Meeting notes 2026-04-20 (</w:t>
      </w:r>
      <w:r>
        <w:t xml:space="preserve">“BOMs are on the flexware app on 919”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BOMs are authoritative in the legacy</w:t>
      </w:r>
      <w:r>
        <w:t xml:space="preserve"> </w:t>
      </w:r>
      <w:r>
        <w:rPr>
          <w:b/>
          <w:bCs/>
        </w:rPr>
        <w:t xml:space="preserve">Flexware application at IP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.919</w:t>
      </w:r>
      <w:r>
        <w:t xml:space="preserve"> </w:t>
      </w:r>
      <w:r>
        <w:t xml:space="preserve">— the predecessor MES being replaced. The new MES’s</w:t>
      </w:r>
      <w:r>
        <w:t xml:space="preserve"> </w:t>
      </w:r>
      <w:r>
        <w:rPr>
          <w:rStyle w:val="VerbatimChar"/>
        </w:rPr>
        <w:t xml:space="preserve">Parts.Bom</w:t>
      </w:r>
      <w:r>
        <w:t xml:space="preserve"> </w:t>
      </w:r>
      <w:r>
        <w:t xml:space="preserve">seed data must come from there.</w:t>
      </w:r>
    </w:p>
    <w:p>
      <w:pPr>
        <w:pStyle w:val="BodyText"/>
      </w:pPr>
      <w:r>
        <w:rPr>
          <w:b/>
          <w:bCs/>
        </w:rPr>
        <w:t xml:space="preserve">Options:</w:t>
      </w:r>
      <w:r>
        <w:t xml:space="preserve"> </w:t>
      </w:r>
      <w:r>
        <w:t xml:space="preserve">- (a) One-shot export from the Flexware app into a CSV / Excel file, bulk-loaded into the new MES at cutover.</w:t>
      </w:r>
      <w:r>
        <w:t xml:space="preserve"> </w:t>
      </w:r>
      <w:r>
        <w:t xml:space="preserve">- (b) Periodic re-sync from the Flexware app until MPP cuts over fully.</w:t>
      </w:r>
      <w:r>
        <w:t xml:space="preserve"> </w:t>
      </w:r>
      <w:r>
        <w:t xml:space="preserve">- (c) Live integration (ODBC / API / file drop) — unlikely to be worth it if Flexware is being retired.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Option (a) — one-shot export at cutover. Document the export spec in FDS §1.4, add to the Reference Material list, and plan a bulk-load proc (similar to</w:t>
      </w:r>
      <w:r>
        <w:t xml:space="preserve"> </w:t>
      </w:r>
      <w:r>
        <w:rPr>
          <w:rStyle w:val="VerbatimChar"/>
        </w:rPr>
        <w:t xml:space="preserve">Oee.DowntimeReasonCode_BulkLoadFromSeed</w:t>
      </w:r>
      <w:r>
        <w:t xml:space="preserve">) once MPP delivers the export. Designed in Phase E; bulk-load proc in Phase G.</w:t>
      </w:r>
    </w:p>
    <w:p>
      <w:r>
        <w:pict>
          <v:rect style="width:0;height:1.5pt" o:hralign="center" o:hrstd="t" o:hr="t"/>
        </w:pict>
      </w:r>
    </w:p>
    <w:bookmarkEnd w:id="24"/>
    <w:bookmarkStart w:id="25" w:name="X7c398671ff3f1fb27e28c38d870e57539340f0b"/>
    <w:p>
      <w:pPr>
        <w:pStyle w:val="Heading3"/>
      </w:pPr>
      <w:r>
        <w:t xml:space="preserve">OI-14 — Admin remove-item capability — ⬜ Open (new, LOW)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4.3 (elevated actions) + Config Tool phased plan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Meeting notes 2026-04-20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Admin needs to be able to</w:t>
      </w:r>
      <w:r>
        <w:t xml:space="preserve"> </w:t>
      </w:r>
      <w:r>
        <w:rPr>
          <w:b/>
          <w:bCs/>
        </w:rPr>
        <w:t xml:space="preserve">remove items</w:t>
      </w:r>
      <w:r>
        <w:t xml:space="preserve"> </w:t>
      </w:r>
      <w:r>
        <w:t xml:space="preserve">(LOTs, Containers, inventory rows) directly — for cleanup, mis-entry correction, and general</w:t>
      </w:r>
      <w:r>
        <w:t xml:space="preserve"> </w:t>
      </w:r>
      <w:r>
        <w:t xml:space="preserve">“oops”</w:t>
      </w:r>
      <w:r>
        <w:t xml:space="preserve"> </w:t>
      </w:r>
      <w:r>
        <w:t xml:space="preserve">recovery that can’t flow through normal deprecate paths.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Admin-only Configuration Tool screen with full audit trail. Already listed in FDS-04-007 elevated-action list (Phase C). Detail design in Phase E; proc in Phase G.</w:t>
      </w:r>
    </w:p>
    <w:p>
      <w:r>
        <w:pict>
          <v:rect style="width:0;height:1.5pt" o:hralign="center" o:hrstd="t" o:hr="t"/>
        </w:pict>
      </w:r>
    </w:p>
    <w:bookmarkEnd w:id="25"/>
    <w:bookmarkStart w:id="26" w:name="oi-15-global-trace-track-screen-open-new"/>
    <w:p>
      <w:pPr>
        <w:pStyle w:val="Heading3"/>
      </w:pPr>
      <w:r>
        <w:t xml:space="preserve">OI-15 — Global Trace / Track screen — ⬜ Open (new)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MPP Operations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TBD (new section in Phase E — likely §5 addendum or new §15 operator tools)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</w:t>
      </w:r>
      <w:r>
        <w:rPr>
          <w:rStyle w:val="VerbatimChar"/>
        </w:rPr>
        <w:t xml:space="preserve">reference/MPP_Current_MES_screenshots.docx</w:t>
      </w:r>
      <w:r>
        <w:t xml:space="preserve"> </w:t>
      </w:r>
      <w:r>
        <w:t xml:space="preserve">image 1,</w:t>
      </w:r>
      <w:r>
        <w:t xml:space="preserve"> </w:t>
      </w:r>
      <w:r>
        <w:t xml:space="preserve">“Track”</w:t>
      </w:r>
      <w:r>
        <w:t xml:space="preserve"> </w:t>
      </w:r>
      <w:r>
        <w:t xml:space="preserve">top-level tile)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MES has a top-level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tile providing a non-workstation path to look up any LOT, serial number, or container and view its full genealogy. Our current FDS does not call out a global trace operator tool — trace today is implicit through the Lot Details screen but requires a workstation context.</w:t>
      </w:r>
    </w:p>
    <w:p>
      <w:pPr>
        <w:pStyle w:val="BodyText"/>
      </w:pPr>
      <w:r>
        <w:rPr>
          <w:b/>
          <w:bCs/>
        </w:rPr>
        <w:t xml:space="preserve">Options:</w:t>
      </w:r>
      <w:r>
        <w:t xml:space="preserve"> </w:t>
      </w:r>
      <w:r>
        <w:t xml:space="preserve">- (a) Dedicated Perspective screen reachable from the home tile bar: input = LOT / serial / container ID, output = genealogy tree + lot details.</w:t>
      </w:r>
      <w:r>
        <w:t xml:space="preserve"> </w:t>
      </w:r>
      <w:r>
        <w:t xml:space="preserve">- (b) Rely on the Configuration Tool’s Lot browser for supervisors / quality only.</w:t>
      </w:r>
      <w:r>
        <w:t xml:space="preserve"> </w:t>
      </w:r>
      <w:r>
        <w:t xml:space="preserve">- (c) Inline</w:t>
      </w:r>
      <w:r>
        <w:t xml:space="preserve"> </w:t>
      </w:r>
      <w:r>
        <w:t xml:space="preserve">“search”</w:t>
      </w:r>
      <w:r>
        <w:t xml:space="preserve"> </w:t>
      </w:r>
      <w:r>
        <w:t xml:space="preserve">box on the home page that drills into the Lot Details screen.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Option (a). Honda traceability is the core mission of the project; operators, supervisors, and quality all need a zero-context lookup path. Designed in Phase E.</w:t>
      </w:r>
    </w:p>
    <w:p>
      <w:r>
        <w:pict>
          <v:rect style="width:0;height:1.5pt" o:hralign="center" o:hrstd="t" o:hr="t"/>
        </w:pict>
      </w:r>
    </w:p>
    <w:bookmarkEnd w:id="26"/>
    <w:bookmarkStart w:id="27" w:name="X3ce0c4189187d1028788314d6025bde72949018"/>
    <w:p>
      <w:pPr>
        <w:pStyle w:val="Heading3"/>
      </w:pPr>
      <w:r>
        <w:t xml:space="preserve">OI-16 — Auto-finish-on-target WO semantics — ⬜ Open (new)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MPP Engineering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6.10 addendum + data-collection capture contract (FDS-03-017a)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7, Work Order</w:t>
      </w:r>
      <w:r>
        <w:t xml:space="preserve"> </w:t>
      </w:r>
      <w:r>
        <w:t xml:space="preserve">“Camera system automatic processing”</w:t>
      </w:r>
      <w:r>
        <w:t xml:space="preserve"> </w:t>
      </w:r>
      <w:r>
        <w:t xml:space="preserve">+</w:t>
      </w:r>
      <w:r>
        <w:t xml:space="preserve"> </w:t>
      </w:r>
      <w:r>
        <w:t xml:space="preserve">“Scale system automatic processing”</w:t>
      </w:r>
      <w:r>
        <w:t xml:space="preserve">); FRS 3.10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WO configuration exposes</w:t>
      </w:r>
      <w:r>
        <w:t xml:space="preserve"> </w:t>
      </w:r>
      <w:r>
        <w:rPr>
          <w:b/>
          <w:bCs/>
        </w:rPr>
        <w:t xml:space="preserve">Camera system automatic processing</w:t>
      </w:r>
      <w:r>
        <w:t xml:space="preserve"> </w:t>
      </w:r>
      <w:r>
        <w:t xml:space="preserve">(tray quantity + part recipe number) and</w:t>
      </w:r>
      <w:r>
        <w:t xml:space="preserve"> </w:t>
      </w:r>
      <w:r>
        <w:rPr>
          <w:b/>
          <w:bCs/>
        </w:rPr>
        <w:t xml:space="preserve">Scale system automatic processing</w:t>
      </w:r>
      <w:r>
        <w:t xml:space="preserve"> </w:t>
      </w:r>
      <w:r>
        <w:t xml:space="preserve">(target set quantity) with an explicit</w:t>
      </w:r>
      <w:r>
        <w:t xml:space="preserve"> </w:t>
      </w:r>
      <w:r>
        <w:t xml:space="preserve">“automatically finish when target is reached”</w:t>
      </w:r>
      <w:r>
        <w:t xml:space="preserve"> </w:t>
      </w:r>
      <w:r>
        <w:t xml:space="preserve">semantic. FDS-03-017a covers capturing counts and weights but does not specify the auto-close behaviour at the WO boundary.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Extend §6.10 and</w:t>
      </w:r>
      <w:r>
        <w:t xml:space="preserve"> </w:t>
      </w:r>
      <w:r>
        <w:rPr>
          <w:rStyle w:val="VerbatimChar"/>
        </w:rPr>
        <w:t xml:space="preserve">Workorder.ProductionEvent_Record</w:t>
      </w:r>
      <w:r>
        <w:t xml:space="preserve"> </w:t>
      </w:r>
      <w:r>
        <w:t xml:space="preserve">to fire a WO-close event when cumulative ProductionEvent count (camera) or cumulative weight (scale) reaches the WO target. Configurable per WO.</w:t>
      </w:r>
    </w:p>
    <w:p>
      <w:r>
        <w:pict>
          <v:rect style="width:0;height:1.5pt" o:hralign="center" o:hrstd="t" o:hr="t"/>
        </w:pict>
      </w:r>
    </w:p>
    <w:bookmarkEnd w:id="27"/>
    <w:bookmarkStart w:id="28" w:name="Xb1a8fc0e9edc02de9aac92d7ca7fd740153d91b"/>
    <w:p>
      <w:pPr>
        <w:pStyle w:val="Heading3"/>
      </w:pPr>
      <w:r>
        <w:t xml:space="preserve">OI-17 — Tray-divisibility validation on WO close — ⬜ Open (new)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6.10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30,</w:t>
      </w:r>
      <w:r>
        <w:t xml:space="preserve"> </w:t>
      </w:r>
      <w:r>
        <w:t xml:space="preserve">“Work order target quantity exceeded. Ensure target quantity is evenly divisible by the tray quantity.”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MES enforces a business rule at container close: target quantity must be evenly divisible by tray quantity, otherwise the container cannot be processed. Rule is not captured in the current FDS or data model.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Validate at WO Create / Edit (target</w:t>
      </w:r>
      <w:r>
        <w:t xml:space="preserve"> </w:t>
      </w:r>
      <w:r>
        <w:rPr>
          <w:rStyle w:val="VerbatimChar"/>
        </w:rPr>
        <w:t xml:space="preserve">MOD</w:t>
      </w:r>
      <w:r>
        <w:t xml:space="preserve"> </w:t>
      </w:r>
      <w:r>
        <w:t xml:space="preserve">tray = 0) and re-validate at Close. Enforced in</w:t>
      </w:r>
      <w:r>
        <w:t xml:space="preserve"> </w:t>
      </w:r>
      <w:r>
        <w:rPr>
          <w:rStyle w:val="VerbatimChar"/>
        </w:rPr>
        <w:t xml:space="preserve">Workorder.WorkOrder_*</w:t>
      </w:r>
      <w:r>
        <w:t xml:space="preserve"> </w:t>
      </w:r>
      <w:r>
        <w:t xml:space="preserve">mutation procs with a specific error code.</w:t>
      </w:r>
    </w:p>
    <w:p>
      <w:r>
        <w:pict>
          <v:rect style="width:0;height:1.5pt" o:hralign="center" o:hrstd="t" o:hr="t"/>
        </w:pict>
      </w:r>
    </w:p>
    <w:bookmarkEnd w:id="28"/>
    <w:bookmarkStart w:id="29" w:name="X69a30fbfd2e9eda3b6c39b56f4d617e66b66cf9"/>
    <w:p>
      <w:pPr>
        <w:pStyle w:val="Heading3"/>
      </w:pPr>
      <w:r>
        <w:t xml:space="preserve">OI-18 — Parts.ItemLocation consumption metadata — ⬜ Open (new)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MPP Engineering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3 (Master Data) + §5/6 consumption flows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12, Material</w:t>
      </w:r>
      <w:r>
        <w:t xml:space="preserve"> </w:t>
      </w:r>
      <w:r>
        <w:t xml:space="preserve">“Compatible work cells”</w:t>
      </w:r>
      <w:r>
        <w:t xml:space="preserve"> </w:t>
      </w:r>
      <w:r>
        <w:t xml:space="preserve">table with Min Quantity / Max Quantity / Default Quantity / Consumption Point columns)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Material → Compatible Work Cells mapping carries four extra attributes —</w:t>
      </w:r>
      <w:r>
        <w:t xml:space="preserve"> </w:t>
      </w:r>
      <w:r>
        <w:rPr>
          <w:b/>
          <w:bCs/>
        </w:rPr>
        <w:t xml:space="preserve">Min Quantity</w:t>
      </w:r>
      <w:r>
        <w:t xml:space="preserve">,</w:t>
      </w:r>
      <w:r>
        <w:t xml:space="preserve"> </w:t>
      </w:r>
      <w:r>
        <w:rPr>
          <w:b/>
          <w:bCs/>
        </w:rPr>
        <w:t xml:space="preserve">Max Quantity</w:t>
      </w:r>
      <w:r>
        <w:t xml:space="preserve">,</w:t>
      </w:r>
      <w:r>
        <w:t xml:space="preserve"> </w:t>
      </w:r>
      <w:r>
        <w:rPr>
          <w:b/>
          <w:bCs/>
        </w:rPr>
        <w:t xml:space="preserve">Default Quantity</w:t>
      </w:r>
      <w:r>
        <w:t xml:space="preserve">, and</w:t>
      </w:r>
      <w:r>
        <w:t xml:space="preserve"> </w:t>
      </w:r>
      <w:r>
        <w:rPr>
          <w:b/>
          <w:bCs/>
        </w:rPr>
        <w:t xml:space="preserve">Consumption Point (BIT)</w:t>
      </w:r>
      <w:r>
        <w:t xml:space="preserve">. These feed the runtime Allocations grid at the workstation. Our</w:t>
      </w:r>
      <w:r>
        <w:t xml:space="preserve"> </w:t>
      </w:r>
      <w:r>
        <w:rPr>
          <w:rStyle w:val="VerbatimChar"/>
        </w:rPr>
        <w:t xml:space="preserve">Parts.ItemLocation</w:t>
      </w:r>
      <w:r>
        <w:t xml:space="preserve"> </w:t>
      </w:r>
      <w:r>
        <w:t xml:space="preserve">is a plain boolean eligibility junction.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Extend</w:t>
      </w:r>
      <w:r>
        <w:t xml:space="preserve"> </w:t>
      </w:r>
      <w:r>
        <w:rPr>
          <w:rStyle w:val="VerbatimChar"/>
        </w:rPr>
        <w:t xml:space="preserve">Parts.ItemLocation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MinQuantity INT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MaxQuantity INT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DefaultQuantity INT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IsConsumptionPoint BIT NOT NULL DEFAULT 0</w:t>
      </w:r>
      <w:r>
        <w:t xml:space="preserve">. Designed in Phase E; SQL in Phase G.</w:t>
      </w:r>
    </w:p>
    <w:p>
      <w:r>
        <w:pict>
          <v:rect style="width:0;height:1.5pt" o:hralign="center" o:hrstd="t" o:hr="t"/>
        </w:pict>
      </w:r>
    </w:p>
    <w:bookmarkEnd w:id="29"/>
    <w:bookmarkStart w:id="30" w:name="Xe273468a93ee5bf11a5e6d1a5e8e3abefe9e2ca"/>
    <w:p>
      <w:pPr>
        <w:pStyle w:val="Heading3"/>
      </w:pPr>
      <w:r>
        <w:t xml:space="preserve">OI-19 — Parts.Item.CountryOfOrigin — ⬜ Open (new)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 (effort) / HIGH (compliance)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3 (Master Data)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13, Material configuration</w:t>
      </w:r>
      <w:r>
        <w:t xml:space="preserve"> </w:t>
      </w:r>
      <w:r>
        <w:t xml:space="preserve">“Country of origin”</w:t>
      </w:r>
      <w:r>
        <w:t xml:space="preserve"> </w:t>
      </w:r>
      <w:r>
        <w:t xml:space="preserve">field)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Item carries a Country of Origin code. Honda compliance may require it on genealogy / shipping output. Not currently modelled.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CountryOfOrigin NVARCHAR(2) NULL</w:t>
      </w:r>
      <w:r>
        <w:t xml:space="preserve"> </w:t>
      </w:r>
      <w:r>
        <w:t xml:space="preserve">(ISO 3166-1 alpha-2) to</w:t>
      </w:r>
      <w:r>
        <w:t xml:space="preserve"> </w:t>
      </w:r>
      <w:r>
        <w:rPr>
          <w:rStyle w:val="VerbatimChar"/>
        </w:rPr>
        <w:t xml:space="preserve">Parts.Item</w:t>
      </w:r>
      <w:r>
        <w:t xml:space="preserve">. Designed in Phase E; SQL in Phase G.</w:t>
      </w:r>
    </w:p>
    <w:p>
      <w:r>
        <w:pict>
          <v:rect style="width:0;height:1.5pt" o:hralign="center" o:hrstd="t" o:hr="t"/>
        </w:pict>
      </w:r>
    </w:p>
    <w:bookmarkEnd w:id="30"/>
    <w:bookmarkStart w:id="31" w:name="X7bb6253e0d6eca51436f511914f04234f36f5da"/>
    <w:p>
      <w:pPr>
        <w:pStyle w:val="Heading3"/>
      </w:pPr>
      <w:r>
        <w:t xml:space="preserve">OI-20 — Scrap source enum (Inventory vs Location) — ⬜ Open (new)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 + ProductionEvent spec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31,</w:t>
      </w:r>
      <w:r>
        <w:t xml:space="preserve"> </w:t>
      </w:r>
      <w:r>
        <w:t xml:space="preserve">“Scrap from inventory”</w:t>
      </w:r>
      <w:r>
        <w:t xml:space="preserve"> </w:t>
      </w:r>
      <w:r>
        <w:t xml:space="preserve">vs</w:t>
      </w:r>
      <w:r>
        <w:t xml:space="preserve"> </w:t>
      </w:r>
      <w:r>
        <w:t xml:space="preserve">“Scrap from the selected location”</w:t>
      </w:r>
      <w:r>
        <w:t xml:space="preserve"> </w:t>
      </w:r>
      <w:r>
        <w:t xml:space="preserve">buttons on Lot Details)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Lot Details screen exposes two distinct scrap paths: scrap from</w:t>
      </w:r>
      <w:r>
        <w:t xml:space="preserve"> </w:t>
      </w:r>
      <w:r>
        <w:rPr>
          <w:i/>
          <w:iCs/>
        </w:rPr>
        <w:t xml:space="preserve">inventory</w:t>
      </w:r>
      <w:r>
        <w:t xml:space="preserve"> </w:t>
      </w:r>
      <w:r>
        <w:t xml:space="preserve">(unallocated stock on a lot) vs scrap from a</w:t>
      </w:r>
      <w:r>
        <w:t xml:space="preserve"> </w:t>
      </w:r>
      <w:r>
        <w:rPr>
          <w:i/>
          <w:iCs/>
        </w:rPr>
        <w:t xml:space="preserve">selected location</w:t>
      </w:r>
      <w:r>
        <w:t xml:space="preserve"> </w:t>
      </w:r>
      <w:r>
        <w:t xml:space="preserve">(in-process at a specific workstation). Our current</w:t>
      </w:r>
      <w:r>
        <w:t xml:space="preserve"> </w:t>
      </w:r>
      <w:r>
        <w:rPr>
          <w:rStyle w:val="VerbatimChar"/>
        </w:rPr>
        <w:t xml:space="preserve">Workorder.ProductionEvent.Type = Scrap</w:t>
      </w:r>
      <w:r>
        <w:t xml:space="preserve"> </w:t>
      </w:r>
      <w:r>
        <w:t xml:space="preserve">does not capture the distinction.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ScrapSource</w:t>
      </w:r>
      <w:r>
        <w:t xml:space="preserve"> </w:t>
      </w:r>
      <w:r>
        <w:t xml:space="preserve">code table (Inventory / Location) and</w:t>
      </w:r>
      <w:r>
        <w:t xml:space="preserve"> </w:t>
      </w:r>
      <w:r>
        <w:rPr>
          <w:rStyle w:val="VerbatimChar"/>
        </w:rPr>
        <w:t xml:space="preserve">ScrapSourceId BIGINT NULL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Workorder.ProductionEvent</w:t>
      </w:r>
      <w:r>
        <w:t xml:space="preserve">. Designed in Phase E; SQL in Phase G.</w:t>
      </w:r>
    </w:p>
    <w:p>
      <w:r>
        <w:pict>
          <v:rect style="width:0;height:1.5pt" o:hralign="center" o:hrstd="t" o:hr="t"/>
        </w:pict>
      </w:r>
    </w:p>
    <w:bookmarkEnd w:id="31"/>
    <w:bookmarkStart w:id="32" w:name="X8c2b9b792445ac0742b6d802aa6dbb8e1c1142e"/>
    <w:p>
      <w:pPr>
        <w:pStyle w:val="Heading3"/>
      </w:pPr>
      <w:r>
        <w:t xml:space="preserve">OI-21 — Partial start / partial complete at a workstation — ⬜ Open (new)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Ben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5, 6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33, Tumbling Move Lot with separate</w:t>
      </w:r>
      <w:r>
        <w:t xml:space="preserve"> </w:t>
      </w:r>
      <w:r>
        <w:t xml:space="preserve">“Start lot quantity”</w:t>
      </w:r>
      <w:r>
        <w:t xml:space="preserve"> </w:t>
      </w:r>
      <w:r>
        <w:t xml:space="preserve">and</w:t>
      </w:r>
      <w:r>
        <w:t xml:space="preserve"> </w:t>
      </w:r>
      <w:r>
        <w:t xml:space="preserve">“Complete lot quantity”</w:t>
      </w:r>
      <w:r>
        <w:t xml:space="preserve"> </w:t>
      </w:r>
      <w:r>
        <w:t xml:space="preserve">fields;</w:t>
      </w:r>
      <w:r>
        <w:t xml:space="preserve"> </w:t>
      </w:r>
      <w:r>
        <w:t xml:space="preserve">“0 in inventory available to start, 11 available to complete”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Move Lot UX allows starting N-of-M pieces now and completing the remainder later — start and complete quantities are decoupled per lot per workstation. Our current WIP model needs an explicit verification that this is supported.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Verify and document</w:t>
      </w:r>
      <w:r>
        <w:t xml:space="preserve"> </w:t>
      </w:r>
      <w:r>
        <w:rPr>
          <w:rStyle w:val="VerbatimChar"/>
        </w:rPr>
        <w:t xml:space="preserve">Workorder.ProductionEvent_Record</w:t>
      </w:r>
      <w:r>
        <w:t xml:space="preserve"> </w:t>
      </w:r>
      <w:r>
        <w:t xml:space="preserve">supports independent Start and Complete event emission with partial quantities (and correctly derives WIP via event replay). If not, extend. Designed in Phase E.</w:t>
      </w:r>
    </w:p>
    <w:p>
      <w:r>
        <w:pict>
          <v:rect style="width:0;height:1.5pt" o:hralign="center" o:hrstd="t" o:hr="t"/>
        </w:pict>
      </w:r>
    </w:p>
    <w:bookmarkEnd w:id="32"/>
    <w:bookmarkStart w:id="33" w:name="X6f9b9829e2e2fb085dfd5f13617eb06aa1e5bda"/>
    <w:p>
      <w:pPr>
        <w:pStyle w:val="Heading3"/>
      </w:pPr>
      <w:r>
        <w:t xml:space="preserve">OI-22 — Dedicated Hold Management screen — ⬜ Open (new)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MPP Quality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5.7 (Holds)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1, top-level</w:t>
      </w:r>
      <w:r>
        <w:t xml:space="preserve"> </w:t>
      </w:r>
      <w:r>
        <w:t xml:space="preserve">“Hold”</w:t>
      </w:r>
      <w:r>
        <w:t xml:space="preserve"> </w:t>
      </w:r>
      <w:r>
        <w:t xml:space="preserve">tile)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MES gives Holds a top-level navigation tile. Our FDS §5.7 specifies the</w:t>
      </w:r>
      <w:r>
        <w:t xml:space="preserve"> </w:t>
      </w:r>
      <w:r>
        <w:rPr>
          <w:rStyle w:val="VerbatimChar"/>
        </w:rPr>
        <w:t xml:space="preserve">HoldEvent</w:t>
      </w:r>
      <w:r>
        <w:t xml:space="preserve"> </w:t>
      </w:r>
      <w:r>
        <w:t xml:space="preserve">place/release lifecycle but does not explicitly mandate a dedicated Hold-management screen — it may currently be implicit via per-lot hold buttons only.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Add a Hold Management Perspective screen: list of all active holds, filterable by area / line / lot / hold reason, with place / release actions (supervisor-elevated). Designed in Phase E.</w:t>
      </w:r>
    </w:p>
    <w:p>
      <w:r>
        <w:pict>
          <v:rect style="width:0;height:1.5pt" o:hralign="center" o:hrstd="t" o:hr="t"/>
        </w:pict>
      </w:r>
    </w:p>
    <w:bookmarkEnd w:id="33"/>
    <w:bookmarkStart w:id="34" w:name="X250c8f5015ceda79ddba9373386162e3da740a1"/>
    <w:p>
      <w:pPr>
        <w:pStyle w:val="Heading3"/>
      </w:pPr>
      <w:r>
        <w:t xml:space="preserve">OI-23 — Lot computed TotalInProcess / InventoryAvailable — ⬜ Open (new)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31, Lot Details header</w:t>
      </w:r>
      <w:r>
        <w:t xml:space="preserve"> </w:t>
      </w:r>
      <w:r>
        <w:t xml:space="preserve">“Total in-process”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“Inventory available”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Lot Details surfaces two derived figures in the header:</w:t>
      </w:r>
      <w:r>
        <w:t xml:space="preserve"> </w:t>
      </w:r>
      <w:r>
        <w:rPr>
          <w:b/>
          <w:bCs/>
        </w:rPr>
        <w:t xml:space="preserve">Total in-process</w:t>
      </w:r>
      <w:r>
        <w:t xml:space="preserve"> </w:t>
      </w:r>
      <w:r>
        <w:t xml:space="preserve">(sum across workstations) and</w:t>
      </w:r>
      <w:r>
        <w:t xml:space="preserve"> </w:t>
      </w:r>
      <w:r>
        <w:rPr>
          <w:b/>
          <w:bCs/>
        </w:rPr>
        <w:t xml:space="preserve">Inventory available</w:t>
      </w:r>
      <w:r>
        <w:t xml:space="preserve"> </w:t>
      </w:r>
      <w:r>
        <w:t xml:space="preserve">(unconsumed stock on the lot). Our FDS implies these are derivable from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 </w:t>
      </w:r>
      <w:r>
        <w:t xml:space="preserve">but does not specify the exact derivation or whether they should be materialized for UI performance.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Document the derivation in FDS §5 and decide materialized-column-vs-view. If materialized, update on every ProductionEvent write. Designed in Phase E.</w:t>
      </w:r>
    </w:p>
    <w:p>
      <w:r>
        <w:pict>
          <v:rect style="width:0;height:1.5pt" o:hralign="center" o:hrstd="t" o:hr="t"/>
        </w:pict>
      </w:r>
    </w:p>
    <w:bookmarkEnd w:id="34"/>
    <w:bookmarkStart w:id="35" w:name="X0ae3d519fd8a828e8fa3a3c4bc2039685777b74"/>
    <w:p>
      <w:pPr>
        <w:pStyle w:val="Heading3"/>
      </w:pPr>
      <w:r>
        <w:t xml:space="preserve">OI-24 —</w:t>
      </w:r>
      <w:r>
        <w:t xml:space="preserve"> </w:t>
      </w:r>
      <w:r>
        <w:t xml:space="preserve">“Automation”</w:t>
      </w:r>
      <w:r>
        <w:t xml:space="preserve"> </w:t>
      </w:r>
      <w:r>
        <w:t xml:space="preserve">top-level tile scope — ⬜ Open (new, discovery)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IT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TBD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1, top-level</w:t>
      </w:r>
      <w:r>
        <w:t xml:space="preserve"> </w:t>
      </w:r>
      <w:r>
        <w:t xml:space="preserve">“Automation”</w:t>
      </w:r>
      <w:r>
        <w:t xml:space="preserve"> </w:t>
      </w:r>
      <w:r>
        <w:t xml:space="preserve">tile — contents not captured in the provided screenshots)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MES home page has an</w:t>
      </w:r>
      <w:r>
        <w:t xml:space="preserve"> </w:t>
      </w:r>
      <w:r>
        <w:t xml:space="preserve">“Automation”</w:t>
      </w:r>
      <w:r>
        <w:t xml:space="preserve"> </w:t>
      </w:r>
      <w:r>
        <w:t xml:space="preserve">tile. The screenshot set does not include its contents; likely OPC / interface management UI that overlaps with our</w:t>
      </w:r>
      <w:r>
        <w:t xml:space="preserve"> </w:t>
      </w:r>
      <w:r>
        <w:rPr>
          <w:rStyle w:val="VerbatimChar"/>
        </w:rPr>
        <w:t xml:space="preserve">Audit.InterfaceLog</w:t>
      </w:r>
      <w:r>
        <w:t xml:space="preserve">. Scope unknown.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Ask MPP for screenshots or a walk-through of the Automation tile. Confirm any in-scope functionality is already covered by our interface-logging / OPC-tag management design. Discovery only — no design commitment until contents known.</w:t>
      </w:r>
    </w:p>
    <w:p>
      <w:r>
        <w:pict>
          <v:rect style="width:0;height:1.5pt" o:hralign="center" o:hrstd="t" o:hr="t"/>
        </w:pict>
      </w:r>
    </w:p>
    <w:bookmarkEnd w:id="35"/>
    <w:bookmarkStart w:id="36" w:name="X6e0fd534585a57a778e30f3de4f3e60865d52aa"/>
    <w:p>
      <w:pPr>
        <w:pStyle w:val="Heading3"/>
      </w:pPr>
      <w:r>
        <w:t xml:space="preserve">OI-25 — Notifications configuration scope — ⬜ Open (new, discovery)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Operations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Out-of-MVP (pending confirmation)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10, Configuration</w:t>
      </w:r>
      <w:r>
        <w:t xml:space="preserve"> </w:t>
      </w:r>
      <w:r>
        <w:t xml:space="preserve">“Setup &gt; Notifications”</w:t>
      </w:r>
      <w:r>
        <w:t xml:space="preserve"> </w:t>
      </w:r>
      <w:r>
        <w:t xml:space="preserve">tile)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Configuration has a Notifications module for email / alert rules (likely fires on events such as hold placed, line stopped, etc.). Not in our design.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Confirm MPP considers this out-of-MVP and that its absence is not a regression. If in-scope, schema and FDS §12 additions needed. Discovery only.</w:t>
      </w:r>
    </w:p>
    <w:p>
      <w:r>
        <w:pict>
          <v:rect style="width:0;height:1.5pt" o:hralign="center" o:hrstd="t" o:hr="t"/>
        </w:pict>
      </w:r>
    </w:p>
    <w:bookmarkEnd w:id="36"/>
    <w:bookmarkStart w:id="37" w:name="Xc8a36c63e3890019dac92fa416399a47c14d5b4"/>
    <w:p>
      <w:pPr>
        <w:pStyle w:val="Heading3"/>
      </w:pPr>
      <w:r>
        <w:t xml:space="preserve">OI-26 — Per-workstation dashboard scripting hook — ⬜ Open (new, discovery)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Out-of-MVP (design choice)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26, Lot creation dashboard</w:t>
      </w:r>
      <w:r>
        <w:t xml:space="preserve"> </w:t>
      </w:r>
      <w:r>
        <w:t xml:space="preserve">“Edit Script”</w:t>
      </w:r>
      <w:r>
        <w:t xml:space="preserve"> </w:t>
      </w:r>
      <w:r>
        <w:t xml:space="preserve">button for save-button click)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workstation dashboards allow per-terminal custom scripting attached to button clicks. Ignition Perspective handles scripted behaviour at the project level via views / transforms — a one-to-one port is not idiomatic.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Confirm no current script logic is load-bearing on production flow. If any exists, port the behaviour into Perspective project scripts or view-level event handlers rather than reproducing per-workstation script editing. Discovery only.</w:t>
      </w:r>
    </w:p>
    <w:p>
      <w:r>
        <w:pict>
          <v:rect style="width:0;height:1.5pt" o:hralign="center" o:hrstd="t" o:hr="t"/>
        </w:pict>
      </w:r>
    </w:p>
    <w:bookmarkEnd w:id="37"/>
    <w:bookmarkStart w:id="38" w:name="X4aedd09ace3c7c164e8355d0cfd82d4812f7b23"/>
    <w:p>
      <w:pPr>
        <w:pStyle w:val="Heading3"/>
      </w:pPr>
      <w:r>
        <w:t xml:space="preserve">OI-27 — Material</w:t>
      </w:r>
      <w:r>
        <w:t xml:space="preserve"> </w:t>
      </w:r>
      <w:r>
        <w:t xml:space="preserve">“Supply part”</w:t>
      </w:r>
      <w:r>
        <w:t xml:space="preserve"> </w:t>
      </w:r>
      <w:r>
        <w:t xml:space="preserve">flag purpose — ⬜ Open (new, discovery)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Engineering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3 (Master Data)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12, Material config</w:t>
      </w:r>
      <w:r>
        <w:t xml:space="preserve"> </w:t>
      </w:r>
      <w:r>
        <w:t xml:space="preserve">“Supply part”</w:t>
      </w:r>
      <w:r>
        <w:t xml:space="preserve"> </w:t>
      </w:r>
      <w:r>
        <w:t xml:space="preserve">BIT)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Material configuration has a</w:t>
      </w:r>
      <w:r>
        <w:t xml:space="preserve"> </w:t>
      </w:r>
      <w:r>
        <w:t xml:space="preserve">“Supply part”</w:t>
      </w:r>
      <w:r>
        <w:t xml:space="preserve"> </w:t>
      </w:r>
      <w:r>
        <w:t xml:space="preserve">BIT. Purpose not obvious from the UI — possibly distinguishes supplier-provided components from in-house produced items. Not in our model.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Ask MPP what a</w:t>
      </w:r>
      <w:r>
        <w:t xml:space="preserve"> </w:t>
      </w:r>
      <w:r>
        <w:t xml:space="preserve">“Supply part”</w:t>
      </w:r>
      <w:r>
        <w:t xml:space="preserve"> </w:t>
      </w:r>
      <w:r>
        <w:t xml:space="preserve">is and whether it drives any workflow (BOM expansion, shipping, etc.). If confirmed, add</w:t>
      </w:r>
      <w:r>
        <w:t xml:space="preserve"> </w:t>
      </w:r>
      <w:r>
        <w:rPr>
          <w:rStyle w:val="VerbatimChar"/>
        </w:rPr>
        <w:t xml:space="preserve">IsSupplyPart BIT NOT NULL DEFAULT 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Parts.Item</w:t>
      </w:r>
      <w:r>
        <w:t xml:space="preserve">. Discovery only.</w:t>
      </w:r>
    </w:p>
    <w:p>
      <w:r>
        <w:pict>
          <v:rect style="width:0;height:1.5pt" o:hralign="center" o:hrstd="t" o:hr="t"/>
        </w:pict>
      </w:r>
    </w:p>
    <w:bookmarkEnd w:id="38"/>
    <w:bookmarkStart w:id="39" w:name="X9d7d686e5597404552d8615c4db6d8ea80569d4"/>
    <w:p>
      <w:pPr>
        <w:pStyle w:val="Heading3"/>
      </w:pPr>
      <w:r>
        <w:t xml:space="preserve">OI-28 — Work Cell</w:t>
      </w:r>
      <w:r>
        <w:t xml:space="preserve"> </w:t>
      </w:r>
      <w:r>
        <w:t xml:space="preserve">“Require override for cast parts”</w:t>
      </w:r>
      <w:r>
        <w:t xml:space="preserve"> </w:t>
      </w:r>
      <w:r>
        <w:t xml:space="preserve">flag — ⬜ Open (new, discovery)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Engineering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10 (Automation) — relates to OI-04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19, Work Cell config</w:t>
      </w:r>
      <w:r>
        <w:t xml:space="preserve"> </w:t>
      </w:r>
      <w:r>
        <w:t xml:space="preserve">“Require override for cast parts”</w:t>
      </w:r>
      <w:r>
        <w:t xml:space="preserve"> </w:t>
      </w:r>
      <w:r>
        <w:t xml:space="preserve">checkbox)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Work Cell has a flag requiring supervisor override specifically for cast parts. Likely relates to the OI-04 vision-conflict / line-stop flow but at cell-level granularity — appears to force a supervisor AD prompt for any cast-part mutation at that cell.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Confirm with MPP whether this is still needed and how it interacts with OI-04’s line-stop / escalation model. If retained, add</w:t>
      </w:r>
      <w:r>
        <w:t xml:space="preserve"> </w:t>
      </w:r>
      <w:r>
        <w:rPr>
          <w:rStyle w:val="VerbatimChar"/>
        </w:rPr>
        <w:t xml:space="preserve">RequiresCastOverride BIT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on the Cell type. Discovery only.</w:t>
      </w:r>
    </w:p>
    <w:p>
      <w:r>
        <w:pict>
          <v:rect style="width:0;height:1.5pt" o:hralign="center" o:hrstd="t" o:hr="t"/>
        </w:pict>
      </w:r>
    </w:p>
    <w:bookmarkEnd w:id="39"/>
    <w:bookmarkStart w:id="40" w:name="X041c3dfafb67de017db6d660efd5ecd515c7a38"/>
    <w:p>
      <w:pPr>
        <w:pStyle w:val="Heading3"/>
      </w:pPr>
      <w:r>
        <w:t xml:space="preserve">OI-29 — Workstation Category grouping orthogonal to Area/Line — ⬜ Open (new, discovery)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Operations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2 (Physical Plant)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22, Category configuration with Casting / Tumbling / 5A2 Line 1 / Sort / Shipping / Astemo / etc. two-level grouping independent of Area / Line)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MES groups workstations by Category + Sub-category independently of the Area / Line / Cell physical hierarchy. Examples:</w:t>
      </w:r>
      <w:r>
        <w:t xml:space="preserve"> </w:t>
      </w:r>
      <w:r>
        <w:t xml:space="preserve">“Sort”</w:t>
      </w:r>
      <w:r>
        <w:t xml:space="preserve">,</w:t>
      </w:r>
      <w:r>
        <w:t xml:space="preserve"> </w:t>
      </w:r>
      <w:r>
        <w:t xml:space="preserve">“Shipping”</w:t>
      </w:r>
      <w:r>
        <w:t xml:space="preserve">,</w:t>
      </w:r>
      <w:r>
        <w:t xml:space="preserve"> </w:t>
      </w:r>
      <w:r>
        <w:t xml:space="preserve">“Tumbling”</w:t>
      </w:r>
      <w:r>
        <w:t xml:space="preserve"> </w:t>
      </w:r>
      <w:r>
        <w:t xml:space="preserve">appear as Categories alongside line-specific entries like</w:t>
      </w:r>
      <w:r>
        <w:t xml:space="preserve"> </w:t>
      </w:r>
      <w:r>
        <w:t xml:space="preserve">“5A2 Line 1”</w:t>
      </w:r>
      <w:r>
        <w:t xml:space="preserve">. Appears to be a UI navigation convenience.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Confirm MPP operators rely on this grouping for floor navigation. Our Area / Line / Cell ISA-95 hierarchy should cover it — if not, add a</w:t>
      </w:r>
      <w:r>
        <w:t xml:space="preserve"> </w:t>
      </w:r>
      <w:r>
        <w:rPr>
          <w:rStyle w:val="VerbatimChar"/>
        </w:rPr>
        <w:t xml:space="preserve">WorkstationCategory</w:t>
      </w:r>
      <w:r>
        <w:t xml:space="preserve"> </w:t>
      </w:r>
      <w:r>
        <w:t xml:space="preserve">attribute via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. Discovery only.</w:t>
      </w:r>
    </w:p>
    <w:p>
      <w:r>
        <w:pict>
          <v:rect style="width:0;height:1.5pt" o:hralign="center" o:hrstd="t" o:hr="t"/>
        </w:pict>
      </w:r>
    </w:p>
    <w:bookmarkEnd w:id="40"/>
    <w:bookmarkStart w:id="41" w:name="Xfc674e3c3f2a30fb38686590585f71b3fac68e3"/>
    <w:p>
      <w:pPr>
        <w:pStyle w:val="Heading3"/>
      </w:pPr>
      <w:r>
        <w:t xml:space="preserve">OI-30 —</w:t>
      </w:r>
      <w:r>
        <w:t xml:space="preserve"> </w:t>
      </w:r>
      <w:r>
        <w:t xml:space="preserve">“Reports”</w:t>
      </w:r>
      <w:r>
        <w:t xml:space="preserve"> </w:t>
      </w:r>
      <w:r>
        <w:t xml:space="preserve">tile contents enumeration — ⬜ Open (new)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Production Control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15 (Reports) + UJ-19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1, top-level</w:t>
      </w:r>
      <w:r>
        <w:t xml:space="preserve"> </w:t>
      </w:r>
      <w:r>
        <w:t xml:space="preserve">“Reports”</w:t>
      </w:r>
      <w:r>
        <w:t xml:space="preserve"> </w:t>
      </w:r>
      <w:r>
        <w:t xml:space="preserve">tile — contents not captured); UJ-19 (Productivity DB replacement)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home page has a Reports tile. UJ-19 flags the four Productivity DB reports as a known requirement but the full Reports menu has not been enumerated — there may be additional reports MPP considers baseline.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Walk through the legacy Reports tile with MPP and list every report, then match against our MVP reporting scope. Couples directly to UJ-19 closure.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63" w:name="X2acb3b042d58cf07e144dc2b49134b63e100db8"/>
    <w:p>
      <w:pPr>
        <w:pStyle w:val="Heading1"/>
      </w:pPr>
      <w:r>
        <w:t xml:space="preserve">Part B — User Journey Assumptions &amp; Decisions</w:t>
      </w:r>
    </w:p>
    <w:p>
      <w:pPr>
        <w:pStyle w:val="FirstParagraph"/>
      </w:pPr>
      <w:r>
        <w:t xml:space="preserve">These are the 19 assumptions from</w:t>
      </w:r>
      <w:r>
        <w:t xml:space="preserve"> </w:t>
      </w:r>
      <w:r>
        <w:rPr>
          <w:rStyle w:val="VerbatimChar"/>
        </w:rPr>
        <w:t xml:space="preserve">MPP_MES_USER_JOURNEYS.md</w:t>
      </w:r>
      <w:r>
        <w:t xml:space="preserve">. Each gates one or more Perspective screens. Cross-references to Part A items are noted per entry.</w:t>
      </w:r>
    </w:p>
    <w:p>
      <w:r>
        <w:pict>
          <v:rect style="width:0;height:1.5pt" o:hralign="center" o:hrstd="t" o:hr="t"/>
        </w:pict>
      </w:r>
    </w:p>
    <w:bookmarkStart w:id="43" w:name="X427651c6a42d5bd3c301c12b2199acdaaaab564"/>
    <w:p>
      <w:pPr>
        <w:pStyle w:val="Heading3"/>
      </w:pPr>
      <w:r>
        <w:t xml:space="preserve">UJ-01 — Operator identity &amp; elevation model — ✅ Resolved (2026-04-21)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Every screen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OI-06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FDS-04-001 through FDS-04-010; FRS 3.3.1, 3.3.4, 3.6.1; FRS 5.3; Spark Dep. B.8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See OI-06. Initials-based operator presence; per-action AD elevation.</w:t>
      </w:r>
    </w:p>
    <w:p>
      <w:r>
        <w:pict>
          <v:rect style="width:0;height:1.5pt" o:hralign="center" o:hrstd="t" o:hr="t"/>
        </w:pict>
      </w:r>
    </w:p>
    <w:bookmarkEnd w:id="43"/>
    <w:bookmarkStart w:id="44" w:name="Xd97e8fc10c0b2d99c34dbc3b3584f031412604c"/>
    <w:p>
      <w:pPr>
        <w:pStyle w:val="Heading3"/>
      </w:pPr>
      <w:r>
        <w:t xml:space="preserve">UJ-02 — LOT creation flow at Die Cast — 🔶 In Review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Die Cast LOT creation screen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(own item)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FDS-05-001, FDS-05-002; FRS 3.9.6, 2.2.1, 2.2.2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LTT tags are pre-printed; first scan of a barcode creates the LOT record. No pre-registration, no tag inventory feature. Confirms FDS-05-002. Pending MPP validation.</w:t>
      </w:r>
    </w:p>
    <w:p>
      <w:r>
        <w:pict>
          <v:rect style="width:0;height:1.5pt" o:hralign="center" o:hrstd="t" o:hr="t"/>
        </w:pict>
      </w:r>
    </w:p>
    <w:bookmarkEnd w:id="44"/>
    <w:bookmarkStart w:id="45" w:name="uj-03-sub-lot-split-trigger-in-review"/>
    <w:p>
      <w:pPr>
        <w:pStyle w:val="Heading3"/>
      </w:pPr>
      <w:r>
        <w:t xml:space="preserve">UJ-03 — Sub-LOT split trigger — 🔶 In Review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Machining OUT screen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(interacts with OI-09 sublot addenda)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FDS-05-008 through FDS-05-011; FRS 3.9.12, 2.1.4, 2.2.5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Auto-split on arrival at machining, defaulting to 50/50, with operator override. Sublots treated via</w:t>
      </w:r>
      <w:r>
        <w:t xml:space="preserve"> </w:t>
      </w:r>
      <w:r>
        <w:rPr>
          <w:rStyle w:val="VerbatimChar"/>
        </w:rPr>
        <w:t xml:space="preserve">Lots.LotGenealogy</w:t>
      </w:r>
      <w:r>
        <w:t xml:space="preserve"> </w:t>
      </w:r>
      <w:r>
        <w:t xml:space="preserve">(relationship = Split). Needs review with Ben, and reconciliation with the sublot pattern now in OI-09 addenda.</w:t>
      </w:r>
    </w:p>
    <w:p>
      <w:r>
        <w:pict>
          <v:rect style="width:0;height:1.5pt" o:hralign="center" o:hrstd="t" o:hr="t"/>
        </w:pict>
      </w:r>
    </w:p>
    <w:bookmarkEnd w:id="45"/>
    <w:bookmarkStart w:id="46" w:name="X37398d287e0e798f50efcb53936e746b81d320b"/>
    <w:p>
      <w:pPr>
        <w:pStyle w:val="Heading3"/>
      </w:pPr>
      <w:r>
        <w:t xml:space="preserve">UJ-04 — Container lifecycle on non-serialized lines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Assembly / Shipping screens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OI-02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FDS-06-014, FDS-03-016; FRS 3.6.6, 3.9.7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Auto-create container on LOT arrival; AIM shipper ID requested at the last route step for the part prior to LOT closure. Pending discussion with Ben.</w:t>
      </w:r>
    </w:p>
    <w:p>
      <w:r>
        <w:pict>
          <v:rect style="width:0;height:1.5pt" o:hralign="center" o:hrstd="t" o:hr="t"/>
        </w:pict>
      </w:r>
    </w:p>
    <w:bookmarkEnd w:id="46"/>
    <w:bookmarkStart w:id="47" w:name="X86518703351c28bfceb8c4e609ffdab6af463c8"/>
    <w:p>
      <w:pPr>
        <w:pStyle w:val="Heading3"/>
      </w:pPr>
      <w:r>
        <w:t xml:space="preserve">UJ-05 — Sort Cage serial number migration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Sort Cage screen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FDS-07-018; FRS 2.1.10, 2.2.7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Highest traceability-loss risk of any sort scenario. Needs customer discussion. Schema supports update-in-place via</w:t>
      </w:r>
      <w:r>
        <w:t xml:space="preserve"> </w:t>
      </w:r>
      <w:r>
        <w:rPr>
          <w:rStyle w:val="VerbatimChar"/>
        </w:rPr>
        <w:t xml:space="preserve">ContainerSerialHistory</w:t>
      </w:r>
      <w:r>
        <w:t xml:space="preserve"> </w:t>
      </w:r>
      <w:r>
        <w:t xml:space="preserve">but the business rule is undefined.</w:t>
      </w:r>
    </w:p>
    <w:p>
      <w:r>
        <w:pict>
          <v:rect style="width:0;height:1.5pt" o:hralign="center" o:hrstd="t" o:hr="t"/>
        </w:pict>
      </w:r>
    </w:p>
    <w:bookmarkEnd w:id="47"/>
    <w:bookmarkStart w:id="48" w:name="uj-06-off-site-receiving-resolved"/>
    <w:p>
      <w:pPr>
        <w:pStyle w:val="Heading3"/>
      </w:pPr>
      <w:r>
        <w:t xml:space="preserve">UJ-06 — Off-site receiving — ✅ Resolved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Off-site receiving app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No FRS coverage — MPP operational decision</w:t>
      </w:r>
    </w:p>
    <w:p>
      <w:pPr>
        <w:pStyle w:val="BodyText"/>
      </w:pPr>
      <w:r>
        <w:rPr>
          <w:b/>
          <w:bCs/>
        </w:rPr>
        <w:t xml:space="preserve">Decision (2026-04-09):</w:t>
      </w:r>
      <w:r>
        <w:t xml:space="preserve"> </w:t>
      </w:r>
      <w:r>
        <w:t xml:space="preserve">Online only, no concerns. Standard Perspective client via VPN. No offline mode needed.</w:t>
      </w:r>
    </w:p>
    <w:p>
      <w:r>
        <w:pict>
          <v:rect style="width:0;height:1.5pt" o:hralign="center" o:hrstd="t" o:hr="t"/>
        </w:pict>
      </w:r>
    </w:p>
    <w:bookmarkEnd w:id="48"/>
    <w:bookmarkStart w:id="49" w:name="X09b9bf25b680a402a5190fa5e1fe35f75e452aa"/>
    <w:p>
      <w:pPr>
        <w:pStyle w:val="Heading3"/>
      </w:pPr>
      <w:r>
        <w:t xml:space="preserve">UJ-07 — Work order visibility and lifecycle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Production tracking architecture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OI-07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FDS-06-022 through FDS-06-024; FRS 3.1.5, 3.10.1, 3.10.2, 3.10.5; Spark Dep. B.5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Pending Ben’s input on WO triggers, span (per-operation vs. per-route), and optional ERP derivation path. Now coupled to the three-WO-type model from OI-07 revised.</w:t>
      </w:r>
    </w:p>
    <w:p>
      <w:r>
        <w:pict>
          <v:rect style="width:0;height:1.5pt" o:hralign="center" o:hrstd="t" o:hr="t"/>
        </w:pict>
      </w:r>
    </w:p>
    <w:bookmarkEnd w:id="49"/>
    <w:bookmarkStart w:id="50" w:name="uj-08-lot-merge-business-rules-open"/>
    <w:p>
      <w:pPr>
        <w:pStyle w:val="Heading3"/>
      </w:pPr>
      <w:r>
        <w:t xml:space="preserve">UJ-08 — LOT merge business rules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LOT merge screen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OI-05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FDS-05-012; FRS 3.9.13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Configurable per part or die / cavity. Rules now partially supplied (rank compatibility, post-sort only, FIFO-by-cavity). Full die-rank matrix owed by MPP Quality.</w:t>
      </w:r>
    </w:p>
    <w:p>
      <w:r>
        <w:pict>
          <v:rect style="width:0;height:1.5pt" o:hralign="center" o:hrstd="t" o:hr="t"/>
        </w:pict>
      </w:r>
    </w:p>
    <w:bookmarkEnd w:id="50"/>
    <w:bookmarkStart w:id="51" w:name="Xdec3ab355d4c88875c8182a2dabb3e73da22b10"/>
    <w:p>
      <w:pPr>
        <w:pStyle w:val="Heading3"/>
      </w:pPr>
      <w:r>
        <w:t xml:space="preserve">UJ-09 — Material verification at assembly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Assembly material ID screen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FDS-06-011; FRS 3.10.6, 3.16.1; FRS 3.4.2 (BOM structure)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BOM check on scan-in — reject substitutes. Pending customer validation.</w:t>
      </w:r>
    </w:p>
    <w:p>
      <w:r>
        <w:pict>
          <v:rect style="width:0;height:1.5pt" o:hralign="center" o:hrstd="t" o:hr="t"/>
        </w:pict>
      </w:r>
    </w:p>
    <w:bookmarkEnd w:id="51"/>
    <w:bookmarkStart w:id="52" w:name="uj-10-shift-boundary-handling-open"/>
    <w:p>
      <w:pPr>
        <w:pStyle w:val="Heading3"/>
      </w:pPr>
      <w:r>
        <w:t xml:space="preserve">UJ-10 — Shift boundary handling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Downtime, container, production screens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OI-03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FDS-09-009, FDS-09-010; FRS 3.15.2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Pending customer discussion. Now partially addressed by OI-03’s event-derived runtime model — shift boundaries become pure timestamps, downtime events can freely span them.</w:t>
      </w:r>
    </w:p>
    <w:p>
      <w:r>
        <w:pict>
          <v:rect style="width:0;height:1.5pt" o:hralign="center" o:hrstd="t" o:hr="t"/>
        </w:pict>
      </w:r>
    </w:p>
    <w:bookmarkEnd w:id="52"/>
    <w:bookmarkStart w:id="53" w:name="uj-11-paper-to-screen-transition-open"/>
    <w:p>
      <w:pPr>
        <w:pStyle w:val="Heading3"/>
      </w:pPr>
      <w:r>
        <w:t xml:space="preserve">UJ-11 — Paper to screen transition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All production screens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FDS-15-007; FRS 5.6.6; Appendix F (Productivity DB)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Pending discussion with Ben. Question is whether some stations stay paper-first until tablets are deployed (OI-08 addenda).</w:t>
      </w:r>
    </w:p>
    <w:p>
      <w:r>
        <w:pict>
          <v:rect style="width:0;height:1.5pt" o:hralign="center" o:hrstd="t" o:hr="t"/>
        </w:pict>
      </w:r>
    </w:p>
    <w:bookmarkEnd w:id="53"/>
    <w:bookmarkStart w:id="54" w:name="X3183a0e5c7693eeb2f10fae7fc0b4c1e48a8145"/>
    <w:p>
      <w:pPr>
        <w:pStyle w:val="Heading3"/>
      </w:pPr>
      <w:r>
        <w:t xml:space="preserve">UJ-12 — Terminal-to-machine mapping — ✅ Resolved (addenda in OI-08)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All operator screens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OI-08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FDS-02-008, FDS-02-009; FRS 3.7.1, 3.7.2; Spark Dep. B.1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Terminals are shared with a machine-barcode scan as the first step. 80% are dedicated (1:1) mode, 20% shared — see OI-08 addenda for the</w:t>
      </w:r>
      <w:r>
        <w:t xml:space="preserve"> </w:t>
      </w:r>
      <w:r>
        <w:rPr>
          <w:rStyle w:val="VerbatimChar"/>
        </w:rPr>
        <w:t xml:space="preserve">TerminalMode</w:t>
      </w:r>
      <w:r>
        <w:t xml:space="preserve"> </w:t>
      </w:r>
      <w:r>
        <w:t xml:space="preserve">attribute and the terminal-lock behaviour.</w:t>
      </w:r>
    </w:p>
    <w:p>
      <w:r>
        <w:pict>
          <v:rect style="width:0;height:1.5pt" o:hralign="center" o:hrstd="t" o:hr="t"/>
        </w:pict>
      </w:r>
    </w:p>
    <w:bookmarkEnd w:id="54"/>
    <w:bookmarkStart w:id="55" w:name="Xa88c729246c0d0de413a483573060f26afe7243"/>
    <w:p>
      <w:pPr>
        <w:pStyle w:val="Heading3"/>
      </w:pPr>
      <w:r>
        <w:t xml:space="preserve">UJ-13 — Weight vs. count-based container closure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Container management screens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OI-02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FDS-06-014, FDS-03-017; FRS 3.6.6, 3.9.7; Appendix C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Pending Ben — dual-mode closure logic per ContainerConfig (proposed:</w:t>
      </w:r>
      <w:r>
        <w:t xml:space="preserve"> </w:t>
      </w:r>
      <w:r>
        <w:rPr>
          <w:rStyle w:val="VerbatimChar"/>
        </w:rPr>
        <w:t xml:space="preserve">ClosureMethod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TargetWeight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5"/>
    <w:bookmarkStart w:id="56" w:name="X65f6e655a5f80248a7dd82ed3dc17a6577e00c5"/>
    <w:p>
      <w:pPr>
        <w:pStyle w:val="Heading3"/>
      </w:pPr>
      <w:r>
        <w:t xml:space="preserve">UJ-14 — Warm-up shots and setup tracking — 🔶 In Review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Die Cast production screen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FDS-06-003; FRS 2.2.2; DCFM Paper Sheets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Treat as downtime sub-category.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. Pending Ben’s final confirmation.</w:t>
      </w:r>
    </w:p>
    <w:p>
      <w:r>
        <w:pict>
          <v:rect style="width:0;height:1.5pt" o:hralign="center" o:hrstd="t" o:hr="t"/>
        </w:pict>
      </w:r>
    </w:p>
    <w:bookmarkEnd w:id="56"/>
    <w:bookmarkStart w:id="57" w:name="X5cf3d7b354075c8905218956f7d39ca7113454d"/>
    <w:p>
      <w:pPr>
        <w:pStyle w:val="Heading3"/>
      </w:pPr>
      <w:r>
        <w:t xml:space="preserve">UJ-15 — Multi-part-number lines — ✅ Resolved (addenda in OI-09)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Assembly / inspection screens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OI-09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FDS-03-016, FDS-03-017; FRS 3.9.7, 3.16.1, 3.16.2; MS1FM-1028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“Select Part Number”</w:t>
      </w:r>
      <w:r>
        <w:t xml:space="preserve"> </w:t>
      </w:r>
      <w:r>
        <w:t xml:space="preserve">pattern, not concurrent multi-part. See OI-09 addenda for the sublot pattern that concurrent same-part-different-cavity produces.</w:t>
      </w:r>
    </w:p>
    <w:p>
      <w:r>
        <w:pict>
          <v:rect style="width:0;height:1.5pt" o:hralign="center" o:hrstd="t" o:hr="t"/>
        </w:pict>
      </w:r>
    </w:p>
    <w:bookmarkEnd w:id="57"/>
    <w:bookmarkStart w:id="58" w:name="X0a850f584fd45397f25c731d63b262e494d88e6"/>
    <w:p>
      <w:pPr>
        <w:pStyle w:val="Heading3"/>
      </w:pPr>
      <w:r>
        <w:t xml:space="preserve">UJ-16 — Hardware interlock bypass mode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Serialized assembly screens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FDS-06-009; Appendix C (OPC tag:</w:t>
      </w:r>
      <w:r>
        <w:t xml:space="preserve"> </w:t>
      </w:r>
      <w:r>
        <w:rPr>
          <w:rStyle w:val="VerbatimChar"/>
        </w:rPr>
        <w:t xml:space="preserve">HardwareInterlockEnable</w:t>
      </w:r>
      <w:r>
        <w:t xml:space="preserve">); Touchpoint Agreement §1.4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Add a bypass flag to the data model and mark affected serials as</w:t>
      </w:r>
      <w:r>
        <w:t xml:space="preserve"> </w:t>
      </w:r>
      <w:r>
        <w:t xml:space="preserve">“serial validation skipped.”</w:t>
      </w:r>
      <w:r>
        <w:t xml:space="preserve"> </w:t>
      </w:r>
      <w:r>
        <w:t xml:space="preserve">Pending discussion with Ben.</w:t>
      </w:r>
    </w:p>
    <w:p>
      <w:r>
        <w:pict>
          <v:rect style="width:0;height:1.5pt" o:hralign="center" o:hrstd="t" o:hr="t"/>
        </w:pict>
      </w:r>
    </w:p>
    <w:bookmarkEnd w:id="58"/>
    <w:bookmarkStart w:id="59" w:name="X4f890b6dc0fe28f7cc1fd55c1cab802963e493b"/>
    <w:p>
      <w:pPr>
        <w:pStyle w:val="Heading3"/>
      </w:pPr>
      <w:r>
        <w:t xml:space="preserve">UJ-17 — Vision system vs. barcode confirmation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PLC-integrated production screens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OI-04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FDS-10-003; FRS 3.16.9; Appendix C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Pending Ben. Now coupled to OI-04 revised (line-stop, 10-fail escalation, CRT workflow).</w:t>
      </w:r>
    </w:p>
    <w:p>
      <w:r>
        <w:pict>
          <v:rect style="width:0;height:1.5pt" o:hralign="center" o:hrstd="t" o:hr="t"/>
        </w:pict>
      </w:r>
    </w:p>
    <w:bookmarkEnd w:id="59"/>
    <w:bookmarkStart w:id="60" w:name="X568df00d7db28035d38e6c0af65c7b82d2503d0"/>
    <w:p>
      <w:pPr>
        <w:pStyle w:val="Heading3"/>
      </w:pPr>
      <w:r>
        <w:t xml:space="preserve">UJ-18 — Event processing: sync vs. async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Every label-printing touchpoint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OI-01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FDS-01-006; FRS 3.17.4; Spark Dep. B.12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FRS does not require the outbox pattern — just a log of all sent and received content (</w:t>
      </w:r>
      <w:r>
        <w:rPr>
          <w:rStyle w:val="VerbatimChar"/>
        </w:rPr>
        <w:t xml:space="preserve">Audit.InterfaceLog</w:t>
      </w:r>
      <w:r>
        <w:t xml:space="preserve">). Pending Ben’s validation of the direct-call-with-logging approach.</w:t>
      </w:r>
    </w:p>
    <w:p>
      <w:r>
        <w:pict>
          <v:rect style="width:0;height:1.5pt" o:hralign="center" o:hrstd="t" o:hr="t"/>
        </w:pict>
      </w:r>
    </w:p>
    <w:bookmarkEnd w:id="60"/>
    <w:bookmarkStart w:id="61" w:name="Xf53270a4ff8a90496d37c5a7e09e6496cb1b4c7"/>
    <w:p>
      <w:pPr>
        <w:pStyle w:val="Heading3"/>
      </w:pPr>
      <w:r>
        <w:t xml:space="preserve">UJ-19 — Productivity DB replacement &amp; change management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All production screens, reporting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FDS-15-007; FRS 5.6.6; Appendix F (Productivity DB); DCFM / MS1FM Paper Sheets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Pending customer discussion. Four PD reports must be replicated; real-time entry at the machine is the default but some stations may need a paper-first-then-enter bridge.</w:t>
      </w:r>
    </w:p>
    <w:p>
      <w:r>
        <w:pict>
          <v:rect style="width:0;height:1.5pt" o:hralign="center" o:hrstd="t" o:hr="t"/>
        </w:pict>
      </w:r>
    </w:p>
    <w:bookmarkEnd w:id="61"/>
    <w:bookmarkStart w:id="62" w:name="notes"/>
    <w:p>
      <w:pPr>
        <w:pStyle w:val="Heading2"/>
      </w:pPr>
      <w:r>
        <w:t xml:space="preserve">Notes</w:t>
      </w:r>
    </w:p>
    <w:p>
      <w:pPr>
        <w:pStyle w:val="Compact"/>
        <w:numPr>
          <w:ilvl w:val="0"/>
          <w:numId w:val="1002"/>
        </w:numPr>
      </w:pPr>
      <w:r>
        <w:t xml:space="preserve">The 2026-04-20 MPP review driving v2.4’s changes is captured in</w:t>
      </w:r>
      <w:r>
        <w:t xml:space="preserve"> </w:t>
      </w:r>
      <w:r>
        <w:rPr>
          <w:rStyle w:val="VerbatimChar"/>
        </w:rPr>
        <w:t xml:space="preserve">Meeting_Notes/2026-04-20_OI_Review.md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2026-04-22 legacy screenshot review driving v2.5’s additions (OI-15 through OI-30) is captured in</w:t>
      </w:r>
      <w:r>
        <w:t xml:space="preserve"> </w:t>
      </w:r>
      <w:r>
        <w:rPr>
          <w:rStyle w:val="VerbatimChar"/>
        </w:rPr>
        <w:t xml:space="preserve">Meeting_Notes/2026-04-20_OI_Review_Status_Summary.md</w:t>
      </w:r>
      <w:r>
        <w:t xml:space="preserve"> </w:t>
      </w:r>
      <w:r>
        <w:t xml:space="preserve">§</w:t>
      </w:r>
      <w:r>
        <w:t xml:space="preserve">“Additional discovered gaps”</w:t>
      </w:r>
      <w:r>
        <w:t xml:space="preserve">. Source screenshots at</w:t>
      </w:r>
      <w:r>
        <w:t xml:space="preserve"> </w:t>
      </w:r>
      <w:r>
        <w:rPr>
          <w:rStyle w:val="VerbatimChar"/>
        </w:rPr>
        <w:t xml:space="preserve">reference/MPP_Current_MES_screenshots.docx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Execution plan for Phases A–G is held in</w:t>
      </w:r>
      <w:r>
        <w:t xml:space="preserve"> </w:t>
      </w:r>
      <w:r>
        <w:rPr>
          <w:rStyle w:val="VerbatimChar"/>
        </w:rPr>
        <w:t xml:space="preserve">memory/project_mpp_oi_refactor.md</w:t>
      </w:r>
      <w:r>
        <w:t xml:space="preserve"> </w:t>
      </w:r>
      <w:r>
        <w:t xml:space="preserve">(session-durable memory). Gap-analysis items (OI-15..30) fold into Phase E (design + doc) and Phase G (SQL) except where noted.</w:t>
      </w:r>
    </w:p>
    <w:p>
      <w:pPr>
        <w:pStyle w:val="Compact"/>
        <w:numPr>
          <w:ilvl w:val="0"/>
          <w:numId w:val="1002"/>
        </w:numPr>
      </w:pPr>
      <w:r>
        <w:t xml:space="preserve">Phase A (this register) was the first deliverable in the multi-session refactor. Phase B (Tool Management design spec) is complete; Phases C + D (security + FDS rewrites) are complete. Phase E now incorporates the 16 newly-discovered items alongside OI-11..14.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1F4E79" w:val="clear"/>
        <w:tcBorders>
          <w:bottom w:color="1F4E79" w:space="0" w:sz="8" w:val="single"/>
        </w:tcBorders>
        <w:vAlign w:val="center"/>
      </w:tcPr>
    </w:tblStylePr>
    <w:tblStylePr w:type="band2Horz">
      <w:tcPr>
        <w:shd w:color="auto" w:fill="F2F2F2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2026-04-22T19:20:45Z</dcterms:created>
  <dcterms:modified xsi:type="dcterms:W3CDTF">2026-04-22T19:20:45Z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