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0.11n — Working Draft</w:t>
      </w:r>
      <w:r>
        <w:t xml:space="preserve"> </w:t>
      </w:r>
      <w:r>
        <w:rPr>
          <w:b/>
          <w:bCs/>
        </w:rPr>
        <w:t xml:space="preserve">Date:</w:t>
      </w:r>
      <w:r>
        <w:t xml:space="preserve"> </w:t>
      </w:r>
      <w:r>
        <w:t xml:space="preserve">2026-04-28</w:t>
      </w:r>
    </w:p>
    <w:p>
      <w:r>
        <w:pict>
          <v:rect style="width:0;height:1.5pt" o:hralign="center" o:hrstd="t" o:hr="t"/>
        </w:pict>
      </w:r>
    </w:p>
    <w:bookmarkStart w:id="9" w:name="revision-history"/>
    <w:p>
      <w:pPr>
        <w:pStyle w:val="Heading2"/>
      </w:pPr>
      <w:r>
        <w:t xml:space="preserve">Revision History</w:t>
      </w:r>
    </w:p>
    <w:p>
      <w:pPr>
        <w:pStyle w:val="FirstParagraph"/>
      </w:pPr>
      <w:r>
        <w:t xml:space="preserve">The detailed change log lives in</w:t>
      </w:r>
      <w:r>
        <w:t xml:space="preserve"> </w:t>
      </w:r>
      <w:r>
        <w:rPr>
          <w:rStyle w:val="VerbatimChar"/>
          <w:b/>
          <w:bCs/>
        </w:rPr>
        <w:t xml:space="preserve">MPP_MES_FDS_CHANGELOG.docx</w:t>
      </w:r>
      <w:r>
        <w:t xml:space="preserve"> </w:t>
      </w:r>
      <w:r>
        <w:t xml:space="preserve">for the duration of pre-release development. The current FDS version and date are in the header above. On customer-review release the change log will be reintegrated into this document in tightened release-by-release form.</w:t>
      </w:r>
    </w:p>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9"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7"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Start w:id="36"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2"/>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2"/>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2"/>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2"/>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2"/>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36"/>
    <w:bookmarkEnd w:id="37"/>
    <w:bookmarkStart w:id="38"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8"/>
    <w:bookmarkEnd w:id="39"/>
    <w:bookmarkStart w:id="59" w:name="plant-model-location-hierarchy-mvp"/>
    <w:p>
      <w:pPr>
        <w:pStyle w:val="Heading2"/>
      </w:pPr>
      <w:r>
        <w:t xml:space="preserve">2. Plant Model &amp; Location Hierarchy —</w:t>
      </w:r>
      <w:r>
        <w:t xml:space="preserve"> </w:t>
      </w:r>
      <w:r>
        <w:rPr>
          <w:rStyle w:val="VerbatimChar"/>
        </w:rPr>
        <w:t xml:space="preserve">MVP</w:t>
      </w:r>
    </w:p>
    <w:bookmarkStart w:id="40"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3"/>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3"/>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3"/>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0"/>
    <w:bookmarkStart w:id="44" w:name="location-type-hierarchy"/>
    <w:p>
      <w:pPr>
        <w:pStyle w:val="Heading3"/>
      </w:pPr>
      <w:r>
        <w:t xml:space="preserve">2.2 Location Type Hierarchy</w:t>
      </w:r>
    </w:p>
    <w:bookmarkStart w:id="41"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1"/>
    <w:bookmarkStart w:id="42"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2"/>
    <w:bookmarkStart w:id="43"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3"/>
    <w:bookmarkEnd w:id="44"/>
    <w:bookmarkStart w:id="48" w:name="X992209ce0f4f05fcef114340f60f45bdbde0b2f"/>
    <w:p>
      <w:pPr>
        <w:pStyle w:val="Heading3"/>
      </w:pPr>
      <w:r>
        <w:t xml:space="preserve">2.3 Polymorphic Kinds and Configurable Attributes</w:t>
      </w:r>
    </w:p>
    <w:bookmarkStart w:id="45"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5"/>
    <w:bookmarkStart w:id="46"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6"/>
    <w:bookmarkStart w:id="47"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7"/>
    <w:bookmarkEnd w:id="48"/>
    <w:bookmarkStart w:id="50" w:name="seed-data-cells"/>
    <w:p>
      <w:pPr>
        <w:pStyle w:val="Heading3"/>
      </w:pPr>
      <w:r>
        <w:t xml:space="preserve">2.4 Seed Data — Cells</w:t>
      </w:r>
    </w:p>
    <w:bookmarkStart w:id="49"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9"/>
    <w:bookmarkEnd w:id="50"/>
    <w:bookmarkStart w:id="58"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1"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1"/>
    <w:bookmarkStart w:id="52"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4"/>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4"/>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5"/>
        </w:numPr>
      </w:pPr>
      <w:r>
        <w:rPr>
          <w:b/>
          <w:bCs/>
        </w:rPr>
        <w:t xml:space="preserve">Scan</w:t>
      </w:r>
      <w:r>
        <w:t xml:space="preserve"> </w:t>
      </w:r>
      <w:r>
        <w:t xml:space="preserve">— the operator scans the destination Cell’s barcode or QR code, or</w:t>
      </w:r>
    </w:p>
    <w:p>
      <w:pPr>
        <w:pStyle w:val="Compact"/>
        <w:numPr>
          <w:ilvl w:val="0"/>
          <w:numId w:val="1005"/>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2"/>
    <w:bookmarkStart w:id="53"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3"/>
    <w:bookmarkStart w:id="54" w:name="fds-02-011-cell-context-change-rules"/>
    <w:p>
      <w:pPr>
        <w:pStyle w:val="Heading4"/>
      </w:pPr>
      <w:r>
        <w:t xml:space="preserve">FDS-02-011 — Cell Context Change Rules</w:t>
      </w:r>
    </w:p>
    <w:p>
      <w:pPr>
        <w:pStyle w:val="Compact"/>
        <w:numPr>
          <w:ilvl w:val="0"/>
          <w:numId w:val="1006"/>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6"/>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54"/>
    <w:bookmarkStart w:id="55"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07"/>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07"/>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55"/>
    <w:bookmarkStart w:id="56"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6"/>
    <w:bookmarkStart w:id="57"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7"/>
    <w:bookmarkEnd w:id="58"/>
    <w:bookmarkEnd w:id="59"/>
    <w:bookmarkStart w:id="88" w:name="master-data-management-mvp"/>
    <w:p>
      <w:pPr>
        <w:pStyle w:val="Heading2"/>
      </w:pPr>
      <w:r>
        <w:t xml:space="preserve">3. Master Data Management —</w:t>
      </w:r>
      <w:r>
        <w:t xml:space="preserve"> </w:t>
      </w:r>
      <w:r>
        <w:rPr>
          <w:rStyle w:val="VerbatimChar"/>
        </w:rPr>
        <w:t xml:space="preserve">MVP</w:t>
      </w:r>
    </w:p>
    <w:bookmarkStart w:id="63" w:name="item-master"/>
    <w:p>
      <w:pPr>
        <w:pStyle w:val="Heading3"/>
      </w:pPr>
      <w:r>
        <w:t xml:space="preserve">3.1 Item Master</w:t>
      </w:r>
    </w:p>
    <w:bookmarkStart w:id="60"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0"/>
    <w:bookmarkStart w:id="61"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1"/>
    <w:bookmarkStart w:id="62"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2"/>
    <w:bookmarkEnd w:id="63"/>
    <w:bookmarkStart w:id="67" w:name="bills-of-material"/>
    <w:p>
      <w:pPr>
        <w:pStyle w:val="Heading3"/>
      </w:pPr>
      <w:r>
        <w:t xml:space="preserve">3.2 Bills of Material</w:t>
      </w:r>
    </w:p>
    <w:bookmarkStart w:id="64"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4"/>
    <w:bookmarkStart w:id="65"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65"/>
    <w:bookmarkStart w:id="66"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6"/>
    <w:bookmarkEnd w:id="67"/>
    <w:bookmarkStart w:id="73" w:name="route-templates"/>
    <w:p>
      <w:pPr>
        <w:pStyle w:val="Heading3"/>
      </w:pPr>
      <w:r>
        <w:t xml:space="preserve">3.3 Route Templates</w:t>
      </w:r>
    </w:p>
    <w:bookmarkStart w:id="68"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8"/>
    <w:bookmarkStart w:id="69"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9"/>
    <w:bookmarkStart w:id="70"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0"/>
    <w:bookmarkStart w:id="71"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1"/>
    <w:bookmarkStart w:id="72"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2"/>
    <w:bookmarkEnd w:id="73"/>
    <w:bookmarkStart w:id="77" w:name="operation-templates"/>
    <w:p>
      <w:pPr>
        <w:pStyle w:val="Heading3"/>
      </w:pPr>
      <w:r>
        <w:t xml:space="preserve">3.4 Operation Templates</w:t>
      </w:r>
    </w:p>
    <w:bookmarkStart w:id="74"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4"/>
    <w:bookmarkStart w:id="75"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5"/>
    <w:bookmarkStart w:id="76"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8"/>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8"/>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9"/>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9"/>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9"/>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9"/>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8"/>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8"/>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6"/>
    <w:bookmarkEnd w:id="77"/>
    <w:bookmarkStart w:id="81" w:name="part-to-location-eligibility"/>
    <w:p>
      <w:pPr>
        <w:pStyle w:val="Heading3"/>
      </w:pPr>
      <w:r>
        <w:t xml:space="preserve">3.5 Part-to-Location Eligibility</w:t>
      </w:r>
    </w:p>
    <w:bookmarkStart w:id="78"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0"/>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0"/>
        </w:numPr>
      </w:pPr>
      <w:r>
        <w:t xml:space="preserve">If none, check at the Cell’s parent WorkCenter (if a WorkCenter tier exists between Cell and Area).</w:t>
      </w:r>
    </w:p>
    <w:p>
      <w:pPr>
        <w:pStyle w:val="Compact"/>
        <w:numPr>
          <w:ilvl w:val="0"/>
          <w:numId w:val="1010"/>
        </w:numPr>
      </w:pPr>
      <w:r>
        <w:t xml:space="preserve">If none, check at the parent Area.</w:t>
      </w:r>
    </w:p>
    <w:p>
      <w:pPr>
        <w:pStyle w:val="Compact"/>
        <w:numPr>
          <w:ilvl w:val="0"/>
          <w:numId w:val="1010"/>
        </w:numPr>
      </w:pPr>
      <w:r>
        <w:t xml:space="preserve">If none, check at the Site.</w:t>
      </w:r>
    </w:p>
    <w:p>
      <w:pPr>
        <w:pStyle w:val="Compact"/>
        <w:numPr>
          <w:ilvl w:val="0"/>
          <w:numId w:val="1010"/>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8"/>
    <w:bookmarkStart w:id="79"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9"/>
    <w:bookmarkStart w:id="80"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0"/>
    <w:bookmarkEnd w:id="81"/>
    <w:bookmarkStart w:id="87" w:name="container-configuration"/>
    <w:p>
      <w:pPr>
        <w:pStyle w:val="Heading3"/>
      </w:pPr>
      <w:r>
        <w:t xml:space="preserve">3.6 Container Configuration</w:t>
      </w:r>
    </w:p>
    <w:bookmarkStart w:id="82"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2"/>
    <w:bookmarkStart w:id="83"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1"/>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1"/>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3"/>
    <w:bookmarkStart w:id="84"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2"/>
        </w:numPr>
      </w:pPr>
      <w:r>
        <w:t xml:space="preserve">Sum existing pieces of this Item across all non-Closed LOTs currently at the destination Location.</w:t>
      </w:r>
    </w:p>
    <w:p>
      <w:pPr>
        <w:pStyle w:val="Compact"/>
        <w:numPr>
          <w:ilvl w:val="0"/>
          <w:numId w:val="1012"/>
        </w:numPr>
      </w:pPr>
      <w:r>
        <w:t xml:space="preserve">Add the incoming LOT’s piece count.</w:t>
      </w:r>
    </w:p>
    <w:p>
      <w:pPr>
        <w:pStyle w:val="Compact"/>
        <w:numPr>
          <w:ilvl w:val="0"/>
          <w:numId w:val="1012"/>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84"/>
    <w:bookmarkStart w:id="85"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5"/>
    <w:bookmarkStart w:id="86"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6"/>
    <w:bookmarkEnd w:id="87"/>
    <w:bookmarkEnd w:id="88"/>
    <w:bookmarkStart w:id="102"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3" w:name="identity-model"/>
    <w:p>
      <w:pPr>
        <w:pStyle w:val="Heading3"/>
      </w:pPr>
      <w:r>
        <w:t xml:space="preserve">4.1 Identity Model</w:t>
      </w:r>
    </w:p>
    <w:bookmarkStart w:id="89"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9"/>
    <w:bookmarkStart w:id="90"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3"/>
        </w:numPr>
      </w:pPr>
      <w:r>
        <w:t xml:space="preserve">another operator enters different initials, or</w:t>
      </w:r>
    </w:p>
    <w:p>
      <w:pPr>
        <w:pStyle w:val="Compact"/>
        <w:numPr>
          <w:ilvl w:val="0"/>
          <w:numId w:val="1013"/>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0"/>
    <w:bookmarkStart w:id="91"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4"/>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4"/>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1"/>
    <w:bookmarkStart w:id="92"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2"/>
    <w:bookmarkEnd w:id="93"/>
    <w:bookmarkStart w:id="96" w:name="event-attribution-on-mutations"/>
    <w:p>
      <w:pPr>
        <w:pStyle w:val="Heading3"/>
      </w:pPr>
      <w:r>
        <w:t xml:space="preserve">4.2 Event Attribution on Mutations</w:t>
      </w:r>
    </w:p>
    <w:bookmarkStart w:id="94"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4"/>
    <w:bookmarkStart w:id="95"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5"/>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5"/>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5"/>
    <w:bookmarkEnd w:id="96"/>
    <w:bookmarkStart w:id="101" w:name="elevation-model"/>
    <w:p>
      <w:pPr>
        <w:pStyle w:val="Heading3"/>
      </w:pPr>
      <w:r>
        <w:t xml:space="preserve">4.3 Elevation Model</w:t>
      </w:r>
    </w:p>
    <w:bookmarkStart w:id="97"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6"/>
        </w:numPr>
      </w:pPr>
      <w:r>
        <w:t xml:space="preserve">Place a LOT on hold</w:t>
      </w:r>
    </w:p>
    <w:p>
      <w:pPr>
        <w:pStyle w:val="Compact"/>
        <w:numPr>
          <w:ilvl w:val="0"/>
          <w:numId w:val="1016"/>
        </w:numPr>
      </w:pPr>
      <w:r>
        <w:t xml:space="preserve">Release a LOT from hold</w:t>
      </w:r>
    </w:p>
    <w:p>
      <w:pPr>
        <w:pStyle w:val="Compact"/>
        <w:numPr>
          <w:ilvl w:val="0"/>
          <w:numId w:val="1016"/>
        </w:numPr>
      </w:pPr>
      <w:r>
        <w:t xml:space="preserve">Override a vision or interlock failure</w:t>
      </w:r>
    </w:p>
    <w:p>
      <w:pPr>
        <w:pStyle w:val="Compact"/>
        <w:numPr>
          <w:ilvl w:val="0"/>
          <w:numId w:val="1016"/>
        </w:numPr>
      </w:pPr>
      <w:r>
        <w:t xml:space="preserve">Scrap a LOT or container</w:t>
      </w:r>
    </w:p>
    <w:p>
      <w:pPr>
        <w:pStyle w:val="Compact"/>
        <w:numPr>
          <w:ilvl w:val="0"/>
          <w:numId w:val="1016"/>
        </w:numPr>
      </w:pPr>
      <w:r>
        <w:t xml:space="preserve">Void or reprint a shipping label</w:t>
      </w:r>
    </w:p>
    <w:p>
      <w:pPr>
        <w:pStyle w:val="Compact"/>
        <w:numPr>
          <w:ilvl w:val="0"/>
          <w:numId w:val="1016"/>
        </w:numPr>
      </w:pPr>
      <w:r>
        <w:t xml:space="preserve">Merge or split LOTs outside of the normal sort workflow</w:t>
      </w:r>
    </w:p>
    <w:p>
      <w:pPr>
        <w:pStyle w:val="Compact"/>
        <w:numPr>
          <w:ilvl w:val="0"/>
          <w:numId w:val="1016"/>
        </w:numPr>
      </w:pPr>
      <w:r>
        <w:t xml:space="preserve">Issue or close a maintenance work order against a tool</w:t>
      </w:r>
    </w:p>
    <w:p>
      <w:pPr>
        <w:pStyle w:val="Compact"/>
        <w:numPr>
          <w:ilvl w:val="0"/>
          <w:numId w:val="1016"/>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6"/>
        </w:numPr>
      </w:pPr>
      <w:r>
        <w:t xml:space="preserve">Adjust inventory via the admin remove-item action</w:t>
      </w:r>
    </w:p>
    <w:p>
      <w:pPr>
        <w:pStyle w:val="Compact"/>
        <w:numPr>
          <w:ilvl w:val="0"/>
          <w:numId w:val="1016"/>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97"/>
    <w:bookmarkStart w:id="98"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8"/>
    <w:bookmarkStart w:id="99" w:name="fds-04-009-screen-level-security"/>
    <w:p>
      <w:pPr>
        <w:pStyle w:val="Heading4"/>
      </w:pPr>
      <w:r>
        <w:t xml:space="preserve">FDS-04-009 — Screen-Level Security</w:t>
      </w:r>
    </w:p>
    <w:p>
      <w:pPr>
        <w:pStyle w:val="Compact"/>
        <w:numPr>
          <w:ilvl w:val="0"/>
          <w:numId w:val="1017"/>
        </w:numPr>
      </w:pPr>
      <w:r>
        <w:t xml:space="preserve">Shop-floor terminal screens SHALL be accessible without interactive authentication; operator presence is sufficient.</w:t>
      </w:r>
    </w:p>
    <w:p>
      <w:pPr>
        <w:pStyle w:val="Compact"/>
        <w:numPr>
          <w:ilvl w:val="0"/>
          <w:numId w:val="1017"/>
        </w:numPr>
      </w:pPr>
      <w:r>
        <w:t xml:space="preserve">Shop-floor screens SHALL NOT expose Configuration Tool or master-data functions.</w:t>
      </w:r>
    </w:p>
    <w:p>
      <w:pPr>
        <w:pStyle w:val="Compact"/>
        <w:numPr>
          <w:ilvl w:val="0"/>
          <w:numId w:val="1017"/>
        </w:numPr>
      </w:pPr>
      <w:r>
        <w:t xml:space="preserve">Configuration Tool, Supervisor dashboards, and Engineering screens SHALL require AD-backed authentication on page entry.</w:t>
      </w:r>
    </w:p>
    <w:p>
      <w:pPr>
        <w:pStyle w:val="Compact"/>
        <w:numPr>
          <w:ilvl w:val="0"/>
          <w:numId w:val="1017"/>
        </w:numPr>
      </w:pPr>
      <w:r>
        <w:t xml:space="preserve">Elevated action controls (buttons, menu items) SHALL be visible on shop-floor screens but SHALL trigger the FDS-04-007 prompt on activation. Unauthorised users cancel out.</w:t>
      </w:r>
    </w:p>
    <w:bookmarkEnd w:id="99"/>
    <w:bookmarkStart w:id="100"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0"/>
    <w:bookmarkEnd w:id="101"/>
    <w:bookmarkEnd w:id="102"/>
    <w:bookmarkStart w:id="150" w:name="lot-lifecycle-genealogy-mvp"/>
    <w:p>
      <w:pPr>
        <w:pStyle w:val="Heading2"/>
      </w:pPr>
      <w:r>
        <w:t xml:space="preserve">5. LOT Lifecycle &amp; Genealogy —</w:t>
      </w:r>
      <w:r>
        <w:t xml:space="preserve"> </w:t>
      </w:r>
      <w:r>
        <w:rPr>
          <w:rStyle w:val="VerbatimChar"/>
        </w:rPr>
        <w:t xml:space="preserve">MVP</w:t>
      </w:r>
    </w:p>
    <w:bookmarkStart w:id="109" w:name="lot-identity"/>
    <w:p>
      <w:pPr>
        <w:pStyle w:val="Heading3"/>
      </w:pPr>
      <w:r>
        <w:t xml:space="preserve">5.1 LOT Identity</w:t>
      </w:r>
    </w:p>
    <w:bookmarkStart w:id="103"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3"/>
    <w:bookmarkStart w:id="104"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4"/>
    <w:bookmarkStart w:id="105"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5"/>
    <w:bookmarkStart w:id="106"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8"/>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8"/>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8"/>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06"/>
    <w:bookmarkStart w:id="107"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07"/>
    <w:bookmarkStart w:id="108"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19"/>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9"/>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8"/>
    <w:bookmarkEnd w:id="109"/>
    <w:bookmarkStart w:id="113" w:name="lot-creation-workflows"/>
    <w:p>
      <w:pPr>
        <w:pStyle w:val="Heading3"/>
      </w:pPr>
      <w:r>
        <w:t xml:space="preserve">5.2 LOT Creation Workflows</w:t>
      </w:r>
    </w:p>
    <w:bookmarkStart w:id="110"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0"/>
        </w:numPr>
      </w:pPr>
      <w:r>
        <w:t xml:space="preserve">Fill a basket with parts from the active cavity of the die cast machine.</w:t>
      </w:r>
    </w:p>
    <w:p>
      <w:pPr>
        <w:pStyle w:val="Compact"/>
        <w:numPr>
          <w:ilvl w:val="0"/>
          <w:numId w:val="1020"/>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0"/>
        </w:numPr>
      </w:pPr>
      <w:r>
        <w:t xml:space="preserve">Scan the LTT barcode at the MES terminal — this scan creates the LOT record; the physical label already exists.</w:t>
      </w:r>
    </w:p>
    <w:p>
      <w:pPr>
        <w:pStyle w:val="Compact"/>
        <w:numPr>
          <w:ilvl w:val="0"/>
          <w:numId w:val="1020"/>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0"/>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0"/>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0"/>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0"/>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0"/>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0"/>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0"/>
    <w:bookmarkStart w:id="111"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1"/>
        </w:numPr>
      </w:pPr>
      <w:r>
        <w:t xml:space="preserve">Scan or manually enter the vendor reference (PO number, packing slip, etc.)</w:t>
      </w:r>
    </w:p>
    <w:p>
      <w:pPr>
        <w:pStyle w:val="Compact"/>
        <w:numPr>
          <w:ilvl w:val="0"/>
          <w:numId w:val="1021"/>
        </w:numPr>
      </w:pPr>
      <w:r>
        <w:t xml:space="preserve">Enter: part number, vendor lot number, piece count</w:t>
      </w:r>
    </w:p>
    <w:p>
      <w:pPr>
        <w:pStyle w:val="Compact"/>
        <w:numPr>
          <w:ilvl w:val="0"/>
          <w:numId w:val="1021"/>
        </w:numPr>
      </w:pPr>
      <w:r>
        <w:t xml:space="preserve">The MES SHALL create the LOT with origin type Received, status Good, location = Receiving Dock</w:t>
      </w:r>
    </w:p>
    <w:p>
      <w:pPr>
        <w:pStyle w:val="Compact"/>
        <w:numPr>
          <w:ilvl w:val="0"/>
          <w:numId w:val="1021"/>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1"/>
        </w:numPr>
      </w:pPr>
      <w:r>
        <w:t xml:space="preserve">The operator SHALL affix the printed label to the basket/container</w:t>
      </w:r>
    </w:p>
    <w:p>
      <w:pPr>
        <w:pStyle w:val="Compact"/>
        <w:numPr>
          <w:ilvl w:val="0"/>
          <w:numId w:val="1021"/>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1"/>
    <w:bookmarkStart w:id="11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2"/>
    <w:bookmarkEnd w:id="113"/>
    <w:bookmarkStart w:id="120" w:name="lot-movement"/>
    <w:p>
      <w:pPr>
        <w:pStyle w:val="Heading3"/>
      </w:pPr>
      <w:r>
        <w:t xml:space="preserve">5.3 LOT Movement</w:t>
      </w:r>
    </w:p>
    <w:bookmarkStart w:id="11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4"/>
    <w:bookmarkStart w:id="11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2"/>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2"/>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2"/>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2"/>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2"/>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5"/>
    <w:bookmarkStart w:id="116"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6"/>
    <w:bookmarkStart w:id="117"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7"/>
    <w:bookmarkStart w:id="11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18"/>
    <w:bookmarkStart w:id="119"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3"/>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3"/>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3"/>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3"/>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19"/>
    <w:bookmarkEnd w:id="120"/>
    <w:bookmarkStart w:id="126"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4"/>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4"/>
        </w:numPr>
      </w:pPr>
      <w:r>
        <w:rPr>
          <w:b/>
          <w:bCs/>
        </w:rPr>
        <w:t xml:space="preserve">Machining sub-LOT split IS a sublot pattern.</w:t>
      </w:r>
      <w:r>
        <w:t xml:space="preserve"> </w:t>
      </w:r>
      <w:r>
        <w:t xml:space="preserve">The workflow below (FDS-05-022, -024, -009..011) is authoritative for Machining OUT — parent FK, split genealogy, sublot labels.</w:t>
      </w:r>
    </w:p>
    <w:p>
      <w:pPr>
        <w:pStyle w:val="Compact"/>
        <w:numPr>
          <w:ilvl w:val="0"/>
          <w:numId w:val="1024"/>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Xb286f154a790d38a8c0b2eaa15d494e71010825"/>
    <w:p>
      <w:pPr>
        <w:pStyle w:val="Heading4"/>
      </w:pPr>
      <w:r>
        <w:t xml:space="preserve">FDS-05-009 — Trim → Machining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trimmed cast LOT across multiple Machining Cells SHALL happen at</w:t>
      </w:r>
      <w:r>
        <w:t xml:space="preserve"> </w:t>
      </w:r>
      <w:r>
        <w:rPr>
          <w:b/>
          <w:bCs/>
        </w:rPr>
        <w:t xml:space="preserve">Trim OUT</w:t>
      </w:r>
      <w:r>
        <w:t xml:space="preserve"> </w:t>
      </w:r>
      <w:r>
        <w:t xml:space="preserve">(not Machining IN). The mechanics:</w:t>
      </w:r>
    </w:p>
    <w:p>
      <w:pPr>
        <w:pStyle w:val="Compact"/>
        <w:numPr>
          <w:ilvl w:val="0"/>
          <w:numId w:val="1025"/>
        </w:numPr>
      </w:pPr>
      <w:r>
        <w:t xml:space="preserve">When the operator completes Trim work on a parent LOT and triggers Trim OUT (FDS-06-006), the system SHALL present a sub-LOT split confirmation dialog.</w:t>
      </w:r>
    </w:p>
    <w:p>
      <w:pPr>
        <w:pStyle w:val="Compact"/>
        <w:numPr>
          <w:ilvl w:val="0"/>
          <w:numId w:val="1025"/>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5"/>
        </w:numPr>
      </w:pPr>
      <w:r>
        <w:t xml:space="preserve">For each sub-LOT, the operator SHALL select the destination Machining Cell (scan or dropdown per FDS-02-009) — this writes the sub-LOT into that Cell’s FIFO queue.</w:t>
      </w:r>
    </w:p>
    <w:p>
      <w:pPr>
        <w:pStyle w:val="Compact"/>
        <w:numPr>
          <w:ilvl w:val="0"/>
          <w:numId w:val="1025"/>
        </w:numPr>
      </w:pPr>
      <w:r>
        <w:t xml:space="preserve">On confirmation, create N child LOT records per FDS-05-022 (sublot pattern). Each sub-LOT inherits the parent’s</w:t>
      </w:r>
      <w:r>
        <w:t xml:space="preserve"> </w:t>
      </w:r>
      <w:r>
        <w:rPr>
          <w:rStyle w:val="VerbatimChar"/>
        </w:rPr>
        <w:t xml:space="preserve">ItemId</w:t>
      </w:r>
      <w:r>
        <w:t xml:space="preserve"> </w:t>
      </w:r>
      <w:r>
        <w:t xml:space="preserve">(the cast/trim Item — the</w:t>
      </w:r>
      <w:r>
        <w:t xml:space="preserve"> </w:t>
      </w:r>
      <w:r>
        <w:rPr>
          <w:b/>
          <w:bCs/>
        </w:rPr>
        <w:t xml:space="preserve">Trim → Machining rename does not happen yet</w:t>
      </w:r>
      <w:r>
        <w:t xml:space="preserve">; that fires at Machining IN per FDS-05-033). Each child requires a fresh LTT barcode scan.</w:t>
      </w:r>
    </w:p>
    <w:p>
      <w:pPr>
        <w:pStyle w:val="Compact"/>
        <w:numPr>
          <w:ilvl w:val="0"/>
          <w:numId w:val="1025"/>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5"/>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5"/>
        </w:numPr>
      </w:pPr>
      <w:r>
        <w:t xml:space="preserve">Write a</w:t>
      </w:r>
      <w:r>
        <w:t xml:space="preserve"> </w:t>
      </w:r>
      <w:r>
        <w:rPr>
          <w:rStyle w:val="VerbatimChar"/>
        </w:rPr>
        <w:t xml:space="preserve">LotMovement</w:t>
      </w:r>
      <w:r>
        <w:t xml:space="preserve"> </w:t>
      </w:r>
      <w:r>
        <w:t xml:space="preserve">for each sub-LOT moving from the Trim Cell to the destination Machining Cell.</w:t>
      </w:r>
    </w:p>
    <w:p>
      <w:pPr>
        <w:pStyle w:val="Compact"/>
        <w:numPr>
          <w:ilvl w:val="0"/>
          <w:numId w:val="1025"/>
        </w:numPr>
      </w:pPr>
      <w:r>
        <w:t xml:space="preserve">Print LTT labels for each child sublot — labels follow the FDS-05-024 parent-reference rule.</w:t>
      </w:r>
    </w:p>
    <w:p>
      <w:pPr>
        <w:pStyle w:val="Compact"/>
        <w:numPr>
          <w:ilvl w:val="0"/>
          <w:numId w:val="1025"/>
        </w:numPr>
      </w:pPr>
      <w:r>
        <w:t xml:space="preserve">Log all operations to</w:t>
      </w:r>
      <w:r>
        <w:t xml:space="preserve"> </w:t>
      </w:r>
      <w:r>
        <w:rPr>
          <w:rStyle w:val="VerbatimChar"/>
        </w:rPr>
        <w:t xml:space="preserve">Audit.OperationLog</w:t>
      </w:r>
      <w:r>
        <w:t xml:space="preserve">.</w:t>
      </w:r>
    </w:p>
    <w:p>
      <w:pPr>
        <w:pStyle w:val="FirstParagraph"/>
      </w:pPr>
      <w:r>
        <w:t xml:space="preserve">The operator MAY cancel the split and process the LOT as a single sub-LOT routed to one Machining Cell.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6"/>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6"/>
        </w:numPr>
      </w:pPr>
      <w:r>
        <w:t xml:space="preserve">Same</w:t>
      </w:r>
      <w:r>
        <w:t xml:space="preserve"> </w:t>
      </w:r>
      <w:r>
        <w:rPr>
          <w:b/>
          <w:bCs/>
        </w:rPr>
        <w:t xml:space="preserve">part number</w:t>
      </w:r>
      <w:r>
        <w:t xml:space="preserve"> </w:t>
      </w:r>
      <w:r>
        <w:t xml:space="preserve">SHALL be required.</w:t>
      </w:r>
    </w:p>
    <w:p>
      <w:pPr>
        <w:pStyle w:val="Compact"/>
        <w:numPr>
          <w:ilvl w:val="0"/>
          <w:numId w:val="1026"/>
        </w:numPr>
      </w:pPr>
      <w:r>
        <w:t xml:space="preserve">Same</w:t>
      </w:r>
      <w:r>
        <w:t xml:space="preserve"> </w:t>
      </w:r>
      <w:r>
        <w:rPr>
          <w:b/>
          <w:bCs/>
        </w:rPr>
        <w:t xml:space="preserve">die</w:t>
      </w:r>
      <w:r>
        <w:t xml:space="preserve"> </w:t>
      </w:r>
      <w:r>
        <w:t xml:space="preserve">→ merge proceeds.</w:t>
      </w:r>
    </w:p>
    <w:p>
      <w:pPr>
        <w:pStyle w:val="Compact"/>
        <w:numPr>
          <w:ilvl w:val="0"/>
          <w:numId w:val="1026"/>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6"/>
        </w:numPr>
      </w:pPr>
      <w:r>
        <w:rPr>
          <w:b/>
          <w:bCs/>
        </w:rPr>
        <w:t xml:space="preserve">Machining</w:t>
      </w:r>
      <w:r>
        <w:t xml:space="preserve"> </w:t>
      </w:r>
      <w:r>
        <w:t xml:space="preserve">is FIFO-by-cavity — not a merge operation.</w:t>
      </w:r>
    </w:p>
    <w:p>
      <w:pPr>
        <w:pStyle w:val="Compact"/>
        <w:numPr>
          <w:ilvl w:val="0"/>
          <w:numId w:val="1026"/>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6"/>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27"/>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27"/>
        </w:numPr>
      </w:pPr>
      <w:r>
        <w:t xml:space="preserve">If all source LOTs share the same die, the compatibility check is bypassed; proceed to FDS-05-028 (Quality Status Gating).</w:t>
      </w:r>
    </w:p>
    <w:p>
      <w:pPr>
        <w:pStyle w:val="Compact"/>
        <w:numPr>
          <w:ilvl w:val="0"/>
          <w:numId w:val="1027"/>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27"/>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27"/>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2"/>
    <w:bookmarkStart w:id="133"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28"/>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28"/>
        </w:numPr>
      </w:pPr>
      <w:r>
        <w:rPr>
          <w:b/>
          <w:bCs/>
        </w:rPr>
        <w:t xml:space="preserve">Off-site receiving</w:t>
      </w:r>
      <w:r>
        <w:t xml:space="preserve">: same as above</w:t>
      </w:r>
    </w:p>
    <w:p>
      <w:pPr>
        <w:pStyle w:val="Compact"/>
        <w:numPr>
          <w:ilvl w:val="0"/>
          <w:numId w:val="1028"/>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48"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29"/>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29"/>
        </w:numPr>
      </w:pPr>
      <w:r>
        <w:t xml:space="preserve">For each such item, check whether its BOM’s single line references the scanned LOT’s Item. The matching machined item is the destination part.</w:t>
      </w:r>
    </w:p>
    <w:p>
      <w:pPr>
        <w:pStyle w:val="Compact"/>
        <w:numPr>
          <w:ilvl w:val="0"/>
          <w:numId w:val="1029"/>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29"/>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29"/>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0"/>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0"/>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0"/>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0"/>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54"/>
    <w:bookmarkEnd w:id="155"/>
    <w:bookmarkStart w:id="159"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What does happen at Trim OUT is a sub-LOT split that distributes the trimmed pieces across multiple Machining Cells.</w:t>
      </w:r>
    </w:p>
    <w:bookmarkStart w:id="156"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 Trim Cell.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1"/>
        </w:numPr>
      </w:pPr>
      <w:r>
        <w:t xml:space="preserve">Operator reads the basket weight from the scale (manual entry or OmniServer integration)</w:t>
      </w:r>
    </w:p>
    <w:p>
      <w:pPr>
        <w:pStyle w:val="Compact"/>
        <w:numPr>
          <w:ilvl w:val="0"/>
          <w:numId w:val="1031"/>
        </w:numPr>
      </w:pPr>
      <w:r>
        <w:t xml:space="preserve">The system SHALL calculate a theoretical piece count:</w:t>
      </w:r>
      <w:r>
        <w:t xml:space="preserve"> </w:t>
      </w:r>
      <w:r>
        <w:rPr>
          <w:rStyle w:val="VerbatimChar"/>
        </w:rPr>
        <w:t xml:space="preserve">Weight / Item.UnitWeight</w:t>
      </w:r>
    </w:p>
    <w:p>
      <w:pPr>
        <w:pStyle w:val="Compact"/>
        <w:numPr>
          <w:ilvl w:val="0"/>
          <w:numId w:val="1031"/>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1"/>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1"/>
        </w:numPr>
      </w:pPr>
      <w:r>
        <w:t xml:space="preserve">Any count adjustment SHALL be recorded in</w:t>
      </w:r>
      <w:r>
        <w:t xml:space="preserve"> </w:t>
      </w:r>
      <w:r>
        <w:rPr>
          <w:rStyle w:val="VerbatimChar"/>
        </w:rPr>
        <w:t xml:space="preserve">LotAttributeChange</w:t>
      </w:r>
    </w:p>
    <w:bookmarkEnd w:id="157"/>
    <w:bookmarkStart w:id="158" w:name="X0abcde688e68142d0235717555864a4c699c026"/>
    <w:p>
      <w:pPr>
        <w:pStyle w:val="Heading4"/>
      </w:pPr>
      <w:r>
        <w:t xml:space="preserve">FDS-06-006 — Trim OUT (ProductionEvent + Sub-LOT Split to Machining FIFO)</w:t>
      </w:r>
    </w:p>
    <w:p>
      <w:pPr>
        <w:pStyle w:val="FirstParagraph"/>
      </w:pPr>
      <w:r>
        <w:t xml:space="preserve">When Trim work completes, the operator SHALL trigger Trim OUT for the LOT. The system SHALL, in one transaction:</w:t>
      </w:r>
    </w:p>
    <w:p>
      <w:pPr>
        <w:pStyle w:val="Compact"/>
        <w:numPr>
          <w:ilvl w:val="0"/>
          <w:numId w:val="1032"/>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2"/>
        </w:numPr>
      </w:pPr>
      <w:r>
        <w:t xml:space="preserve">Invoke the sub-LOT split workflow per FDS-05-009 — N child sub-LOTs are created, each inheriting the parent’s cast/trim</w:t>
      </w:r>
      <w:r>
        <w:t xml:space="preserve"> </w:t>
      </w:r>
      <w:r>
        <w:rPr>
          <w:rStyle w:val="VerbatimChar"/>
        </w:rPr>
        <w:t xml:space="preserve">ItemId</w:t>
      </w:r>
      <w:r>
        <w:t xml:space="preserve">, each routed to a Machining Cell selected by the operator (scan or dropdown per FDS-02-009).</w:t>
      </w:r>
    </w:p>
    <w:p>
      <w:pPr>
        <w:pStyle w:val="Compact"/>
        <w:numPr>
          <w:ilvl w:val="0"/>
          <w:numId w:val="1032"/>
        </w:numPr>
      </w:pPr>
      <w:r>
        <w:t xml:space="preserve">The split operation deposits each sub-LOT into the destination Machining Cell’s FIFO queue (visible at FDS-06-007). The parent LOT closes when all pieces are split off (</w:t>
      </w:r>
      <w:r>
        <w:rPr>
          <w:rStyle w:val="VerbatimChar"/>
        </w:rPr>
        <w:t xml:space="preserve">LotStatusCode = Closed</w:t>
      </w:r>
      <w:r>
        <w:t xml:space="preserve">); a partial parent may persist if the operator splits off only some pieces and resumes later.</w:t>
      </w:r>
    </w:p>
    <w:p>
      <w:pPr>
        <w:pStyle w:val="FirstParagraph"/>
      </w:pPr>
      <w:r>
        <w:t xml:space="preserve">A LOT with only one Machining destination MAY skip the multi-way split — the operator selects a single destination Cell and the LOT moves there as a single (degenerate) sub-LOT, retaining its cast/trim</w:t>
      </w:r>
      <w:r>
        <w:t xml:space="preserve"> </w:t>
      </w:r>
      <w:r>
        <w:rPr>
          <w:rStyle w:val="VerbatimChar"/>
        </w:rPr>
        <w:t xml:space="preserve">ItemId</w:t>
      </w:r>
      <w:r>
        <w:t xml:space="preserve"> </w:t>
      </w:r>
      <w:r>
        <w:t xml:space="preserve">until Machining IN.</w:t>
      </w:r>
    </w:p>
    <w:bookmarkEnd w:id="158"/>
    <w:bookmarkEnd w:id="159"/>
    <w:bookmarkStart w:id="163" w:name="machining-workflow"/>
    <w:p>
      <w:pPr>
        <w:pStyle w:val="Heading3"/>
      </w:pPr>
      <w:r>
        <w:t xml:space="preserve">6.4 Machining Workflow</w:t>
      </w:r>
    </w:p>
    <w:p>
      <w:pPr>
        <w:pStyle w:val="FirstParagraph"/>
      </w:pPr>
      <w:r>
        <w:t xml:space="preserve">Machining receives sub-LOTs from Trim OUT (FDS-06-006), processes them, and feeds the machined output directly to a coupled Assembly Cell. The Machining → Assembly hand-off is automatic — operators do not scan or move LOTs out of Machining.</w:t>
      </w:r>
    </w:p>
    <w:bookmarkStart w:id="160"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sub-LOTs that have been routed to it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sub-LOT (or the system advances to it automatically when the prior LOT completes), the MES SHALL:</w:t>
      </w:r>
    </w:p>
    <w:p>
      <w:pPr>
        <w:pStyle w:val="Compact"/>
        <w:numPr>
          <w:ilvl w:val="0"/>
          <w:numId w:val="1033"/>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sub-LOT and producing a new machined LOT under the destination Item (the machined-side</w:t>
      </w:r>
      <w:r>
        <w:t xml:space="preserve"> </w:t>
      </w:r>
      <w:r>
        <w:rPr>
          <w:rStyle w:val="VerbatimChar"/>
        </w:rPr>
        <w:t xml:space="preserve">Parts.Item</w:t>
      </w:r>
      <w:r>
        <w:t xml:space="preserve"> </w:t>
      </w:r>
      <w:r>
        <w:t xml:space="preserve">whose 1-line BOM matches the picked sub-LOT’s</w:t>
      </w:r>
      <w:r>
        <w:t xml:space="preserve"> </w:t>
      </w:r>
      <w:r>
        <w:rPr>
          <w:rStyle w:val="VerbatimChar"/>
        </w:rPr>
        <w:t xml:space="preserve">ItemId</w:t>
      </w:r>
      <w:r>
        <w:t xml:space="preserve">). The operator scans a fresh LTT for the new machined LOT.</w:t>
      </w:r>
    </w:p>
    <w:p>
      <w:pPr>
        <w:pStyle w:val="Compact"/>
        <w:numPr>
          <w:ilvl w:val="0"/>
          <w:numId w:val="1033"/>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3"/>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sub-LOT to the new machined LOT.</w:t>
      </w:r>
    </w:p>
    <w:p>
      <w:pPr>
        <w:pStyle w:val="Compact"/>
        <w:numPr>
          <w:ilvl w:val="0"/>
          <w:numId w:val="1033"/>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sub-LOT was already placed in this Cell’s queue at Trim OUT, and the rename + machined-LOT creation are the receive event.</w:t>
      </w:r>
    </w:p>
    <w:bookmarkEnd w:id="160"/>
    <w:bookmarkStart w:id="161" w:name="Xb2e3b22e3625857a62af72b283cf7f26aa88596"/>
    <w:p>
      <w:pPr>
        <w:pStyle w:val="Heading4"/>
      </w:pPr>
      <w:r>
        <w:t xml:space="preserve">FDS-06-008 — Machining OUT (Auto-Completion + Auto-Move to Coupled Assembly Cell)</w:t>
      </w:r>
    </w:p>
    <w:p>
      <w:pPr>
        <w:pStyle w:val="FirstParagraph"/>
      </w:pPr>
      <w:r>
        <w:t xml:space="preserve">Machining OUT SHALL be event-driven, not operator-initiated. When the machine signals completion of the Machining operation on a LOT (via PLC integration per §10), the MES SHALL:</w:t>
      </w:r>
    </w:p>
    <w:p>
      <w:pPr>
        <w:pStyle w:val="Compact"/>
        <w:numPr>
          <w:ilvl w:val="0"/>
          <w:numId w:val="1034"/>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4"/>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4"/>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5"/>
        </w:numPr>
      </w:pPr>
      <w:r>
        <w:t xml:space="preserve">The PLC signals</w:t>
      </w:r>
      <w:r>
        <w:t xml:space="preserve"> </w:t>
      </w:r>
      <w:r>
        <w:rPr>
          <w:rStyle w:val="VerbatimChar"/>
        </w:rPr>
        <w:t xml:space="preserve">DataReady=1</w:t>
      </w:r>
    </w:p>
    <w:p>
      <w:pPr>
        <w:pStyle w:val="Compact"/>
        <w:numPr>
          <w:ilvl w:val="0"/>
          <w:numId w:val="1035"/>
        </w:numPr>
      </w:pPr>
      <w:r>
        <w:t xml:space="preserve">The MES reads the serial number from</w:t>
      </w:r>
      <w:r>
        <w:t xml:space="preserve"> </w:t>
      </w:r>
      <w:r>
        <w:rPr>
          <w:rStyle w:val="VerbatimChar"/>
        </w:rPr>
        <w:t xml:space="preserve">PartSN</w:t>
      </w:r>
    </w:p>
    <w:p>
      <w:pPr>
        <w:pStyle w:val="Compact"/>
        <w:numPr>
          <w:ilvl w:val="0"/>
          <w:numId w:val="1035"/>
        </w:numPr>
      </w:pPr>
      <w:r>
        <w:t xml:space="preserve">The MES validates: serial number is not a duplicate, format is correct, source LOT is not on HOLD</w:t>
      </w:r>
    </w:p>
    <w:p>
      <w:pPr>
        <w:pStyle w:val="Compact"/>
        <w:numPr>
          <w:ilvl w:val="0"/>
          <w:numId w:val="1035"/>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5"/>
        </w:numPr>
      </w:pPr>
      <w:r>
        <w:t xml:space="preserve">On success, the MES SHALL:</w:t>
      </w:r>
    </w:p>
    <w:p>
      <w:pPr>
        <w:pStyle w:val="Compact"/>
        <w:numPr>
          <w:ilvl w:val="1"/>
          <w:numId w:val="1036"/>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36"/>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36"/>
        </w:numPr>
      </w:pPr>
      <w:r>
        <w:t xml:space="preserve">Decrement the source LOT(s) piece count(s) per the BOM</w:t>
      </w:r>
    </w:p>
    <w:p>
      <w:pPr>
        <w:pStyle w:val="Compact"/>
        <w:numPr>
          <w:ilvl w:val="1"/>
          <w:numId w:val="1036"/>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36"/>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37"/>
        </w:numPr>
      </w:pPr>
      <w:r>
        <w:t xml:space="preserve">The system SHALL accept the scanned LOT despite the BOM mismatch.</w:t>
      </w:r>
    </w:p>
    <w:p>
      <w:pPr>
        <w:pStyle w:val="Compact"/>
        <w:numPr>
          <w:ilvl w:val="0"/>
          <w:numId w:val="1037"/>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37"/>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38"/>
        </w:numPr>
      </w:pPr>
      <w:r>
        <w:t xml:space="preserve">Still record the production event</w:t>
      </w:r>
    </w:p>
    <w:p>
      <w:pPr>
        <w:pStyle w:val="Compact"/>
        <w:numPr>
          <w:ilvl w:val="0"/>
          <w:numId w:val="1038"/>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38"/>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38"/>
        </w:numPr>
      </w:pPr>
      <w:r>
        <w:t xml:space="preserve">NOT block production — this is a valid operating mode, not an error condition</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39"/>
        </w:numPr>
      </w:pPr>
      <w:r>
        <w:t xml:space="preserve">Identify source LOT(s) by scanning LTT barcodes (consumption sources for the BOM).</w:t>
      </w:r>
    </w:p>
    <w:p>
      <w:pPr>
        <w:pStyle w:val="Compact"/>
        <w:numPr>
          <w:ilvl w:val="0"/>
          <w:numId w:val="1039"/>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39"/>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39"/>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68"/>
    <w:bookmarkStart w:id="169"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validates each part in the tray (pass/fail per piece); the PLC accumulates validated parts and asserts the tray-full flag when</w:t>
            </w:r>
            <w:r>
              <w:t xml:space="preserve"> </w:t>
            </w:r>
            <w:r>
              <w:rPr>
                <w:rStyle w:val="VerbatimChar"/>
              </w:rPr>
              <w:t xml:space="preserve">PartsPerTray</w:t>
            </w:r>
            <w:r>
              <w:t xml:space="preserve"> </w:t>
            </w:r>
            <w:r>
              <w:t xml:space="preserve">is reached.</w:t>
            </w:r>
          </w:p>
        </w:tc>
        <w:tc>
          <w:tcPr/>
          <w:p>
            <w:pPr>
              <w:pStyle w:val="Compact"/>
            </w:pPr>
            <w:r>
              <w:rPr>
                <w:rStyle w:val="VerbatimChar"/>
              </w:rPr>
              <w:t xml:space="preserve">PartsPerTray</w:t>
            </w:r>
            <w:r>
              <w:t xml:space="preserve"> </w:t>
            </w:r>
            <w:r>
              <w:t xml:space="preserve">(vision counts validated parts; no weight target).</w:t>
            </w:r>
          </w:p>
        </w:tc>
        <w:tc>
          <w:tcPr/>
          <w:p>
            <w:pPr>
              <w:pStyle w:val="Compact"/>
            </w:pPr>
            <w:r>
              <w:t xml:space="preserve">OPC tags fed by the PLC —</w:t>
            </w:r>
            <w:r>
              <w:t xml:space="preserve"> </w:t>
            </w:r>
            <w:r>
              <w:rPr>
                <w:rStyle w:val="VerbatimChar"/>
              </w:rPr>
              <w:t xml:space="preserve">TrayCountValue</w:t>
            </w:r>
            <w:r>
              <w:t xml:space="preserve"> </w:t>
            </w:r>
            <w:r>
              <w:t xml:space="preserve">(running validated count for the open tray) and</w:t>
            </w:r>
            <w:r>
              <w:t xml:space="preserve"> </w:t>
            </w:r>
            <w:r>
              <w:rPr>
                <w:rStyle w:val="VerbatimChar"/>
              </w:rPr>
              <w:t xml:space="preserve">TrayFullFlag</w:t>
            </w:r>
            <w:r>
              <w:t xml:space="preserve"> </w:t>
            </w:r>
            <w:r>
              <w:t xml:space="preserve">(asserts when the tray is full).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w:t>
      </w:r>
    </w:p>
    <w:p>
      <w:pPr>
        <w:pStyle w:val="BodyText"/>
      </w:pPr>
      <w:r>
        <w:rPr>
          <w:b/>
          <w:bCs/>
        </w:rPr>
        <w:t xml:space="preserve">Container accumulation:</w:t>
      </w:r>
    </w:p>
    <w:p>
      <w:pPr>
        <w:pStyle w:val="Compact"/>
        <w:numPr>
          <w:ilvl w:val="0"/>
          <w:numId w:val="1040"/>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0"/>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0"/>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1"/>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1"/>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2"/>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2"/>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3"/>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3"/>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4"/>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4"/>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4"/>
        </w:numPr>
      </w:pPr>
      <w:r>
        <w:rPr>
          <w:rStyle w:val="VerbatimChar"/>
        </w:rPr>
        <w:t xml:space="preserve">RouteTemplateId</w:t>
      </w:r>
      <w:r>
        <w:t xml:space="preserve"> </w:t>
      </w:r>
      <w:r>
        <w:t xml:space="preserve">— FK to the route template version active at creation</w:t>
      </w:r>
    </w:p>
    <w:p>
      <w:pPr>
        <w:pStyle w:val="Compact"/>
        <w:numPr>
          <w:ilvl w:val="0"/>
          <w:numId w:val="1044"/>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4"/>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5"/>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5"/>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86"/>
    <w:bookmarkStart w:id="18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46"/>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46"/>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88"/>
    <w:bookmarkStart w:id="189"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23"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47"/>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47"/>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47"/>
        </w:numPr>
      </w:pPr>
      <w:r>
        <w:t xml:space="preserve">Increment the current tray’s</w:t>
      </w:r>
      <w:r>
        <w:t xml:space="preserve"> </w:t>
      </w:r>
      <w:r>
        <w:rPr>
          <w:rStyle w:val="VerbatimChar"/>
        </w:rPr>
        <w:t xml:space="preserve">PieceCount</w:t>
      </w:r>
    </w:p>
    <w:p>
      <w:pPr>
        <w:pStyle w:val="Compact"/>
        <w:numPr>
          <w:ilvl w:val="0"/>
          <w:numId w:val="1047"/>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47"/>
        </w:numPr>
      </w:pPr>
      <w:r>
        <w:t xml:space="preserve">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48"/>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48"/>
        </w:numPr>
      </w:pPr>
      <w:r>
        <w:t xml:space="preserve">Close the container when the configured capacity is reached</w:t>
      </w:r>
    </w:p>
    <w:p>
      <w:pPr>
        <w:pStyle w:val="Compact"/>
        <w:numPr>
          <w:ilvl w:val="0"/>
          <w:numId w:val="1048"/>
        </w:numPr>
      </w:pPr>
      <w:r>
        <w:t xml:space="preserve">On lines with weight-based tracking, the system MAY use the scale reading to validate the piece count before closure</w:t>
      </w:r>
    </w:p>
    <w:bookmarkEnd w:id="196"/>
    <w:bookmarkStart w:id="197"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49"/>
        </w:numPr>
      </w:pPr>
      <w:r>
        <w:t xml:space="preserve">Set container status to COMPLETE.</w:t>
      </w:r>
    </w:p>
    <w:p>
      <w:pPr>
        <w:pStyle w:val="Compact"/>
        <w:numPr>
          <w:ilvl w:val="0"/>
          <w:numId w:val="1049"/>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49"/>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49"/>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49"/>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49"/>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197"/>
    <w:bookmarkEnd w:id="198"/>
    <w:bookmarkStart w:id="205"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0"/>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0"/>
        </w:numPr>
      </w:pPr>
      <w:r>
        <w:t xml:space="preserve">Notify AIM of the void via the appropriate interface call</w:t>
      </w:r>
    </w:p>
    <w:p>
      <w:pPr>
        <w:pStyle w:val="Compact"/>
        <w:numPr>
          <w:ilvl w:val="0"/>
          <w:numId w:val="1050"/>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Start w:id="203"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1"/>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1"/>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1"/>
        </w:numPr>
      </w:pPr>
      <w:r>
        <w:t xml:space="preserve">Fire the ZPL to the resolved Zebra via Ignition’s print primitives or scripted Zebra socket.</w:t>
      </w:r>
    </w:p>
    <w:p>
      <w:pPr>
        <w:pStyle w:val="Compact"/>
        <w:numPr>
          <w:ilvl w:val="0"/>
          <w:numId w:val="1051"/>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1"/>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3"/>
    <w:bookmarkStart w:id="204"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2"/>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2"/>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3"/>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3"/>
        </w:numPr>
      </w:pPr>
      <w:r>
        <w:t xml:space="preserve">If they don’t match, return immediately.</w:t>
      </w:r>
    </w:p>
    <w:p>
      <w:pPr>
        <w:pStyle w:val="Compact"/>
        <w:numPr>
          <w:ilvl w:val="0"/>
          <w:numId w:val="1053"/>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4"/>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4"/>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4"/>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04"/>
    <w:bookmarkEnd w:id="205"/>
    <w:bookmarkStart w:id="212" w:name="aim-integration"/>
    <w:p>
      <w:pPr>
        <w:pStyle w:val="Heading3"/>
      </w:pPr>
      <w:r>
        <w:t xml:space="preserve">7.4 AIM Integration</w:t>
      </w:r>
    </w:p>
    <w:bookmarkStart w:id="206"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5"/>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5"/>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5"/>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56"/>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56"/>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56"/>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6"/>
    <w:bookmarkStart w:id="207"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7"/>
    <w:bookmarkStart w:id="208"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57"/>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57"/>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57"/>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8"/>
    <w:bookmarkStart w:id="209"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58"/>
        </w:numPr>
      </w:pPr>
      <w:r>
        <w:rPr>
          <w:rStyle w:val="VerbatimChar"/>
        </w:rPr>
        <w:t xml:space="preserve">TargetBufferDepth</w:t>
      </w:r>
      <w:r>
        <w:t xml:space="preserve"> </w:t>
      </w:r>
      <w:r>
        <w:t xml:space="preserve">(default 50) — the buffer size the topup script aims for.</w:t>
      </w:r>
    </w:p>
    <w:p>
      <w:pPr>
        <w:pStyle w:val="Compact"/>
        <w:numPr>
          <w:ilvl w:val="0"/>
          <w:numId w:val="1058"/>
        </w:numPr>
      </w:pPr>
      <w:r>
        <w:rPr>
          <w:rStyle w:val="VerbatimChar"/>
        </w:rPr>
        <w:t xml:space="preserve">TopupThreshold</w:t>
      </w:r>
      <w:r>
        <w:t xml:space="preserve"> </w:t>
      </w:r>
      <w:r>
        <w:t xml:space="preserve">(default 30) — the trigger for topup runs.</w:t>
      </w:r>
    </w:p>
    <w:p>
      <w:pPr>
        <w:pStyle w:val="Compact"/>
        <w:numPr>
          <w:ilvl w:val="0"/>
          <w:numId w:val="1058"/>
        </w:numPr>
      </w:pPr>
      <w:r>
        <w:rPr>
          <w:rStyle w:val="VerbatimChar"/>
        </w:rPr>
        <w:t xml:space="preserve">AlarmWarningDepth</w:t>
      </w:r>
      <w:r>
        <w:t xml:space="preserve"> </w:t>
      </w:r>
      <w:r>
        <w:t xml:space="preserve">(default 20).</w:t>
      </w:r>
    </w:p>
    <w:p>
      <w:pPr>
        <w:pStyle w:val="Compact"/>
        <w:numPr>
          <w:ilvl w:val="0"/>
          <w:numId w:val="1058"/>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09"/>
    <w:bookmarkStart w:id="210"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0"/>
    <w:bookmarkStart w:id="211"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1"/>
    <w:bookmarkEnd w:id="212"/>
    <w:bookmarkStart w:id="215" w:name="shipping-dock-workflow"/>
    <w:p>
      <w:pPr>
        <w:pStyle w:val="Heading3"/>
      </w:pPr>
      <w:r>
        <w:t xml:space="preserve">7.5 Shipping Dock Workflow</w:t>
      </w:r>
    </w:p>
    <w:bookmarkStart w:id="213"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3"/>
    <w:bookmarkStart w:id="214"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59"/>
        </w:numPr>
      </w:pPr>
      <w:r>
        <w:t xml:space="preserve">Set container status to SHIPPED</w:t>
      </w:r>
    </w:p>
    <w:p>
      <w:pPr>
        <w:pStyle w:val="Compact"/>
        <w:numPr>
          <w:ilvl w:val="0"/>
          <w:numId w:val="1059"/>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59"/>
        </w:numPr>
      </w:pPr>
      <w:r>
        <w:t xml:space="preserve">Log to</w:t>
      </w:r>
      <w:r>
        <w:t xml:space="preserve"> </w:t>
      </w:r>
      <w:r>
        <w:rPr>
          <w:rStyle w:val="VerbatimChar"/>
        </w:rPr>
        <w:t xml:space="preserve">Audit.OperationLog</w:t>
      </w:r>
    </w:p>
    <w:bookmarkEnd w:id="214"/>
    <w:bookmarkEnd w:id="215"/>
    <w:bookmarkStart w:id="218" w:name="container-holds"/>
    <w:p>
      <w:pPr>
        <w:pStyle w:val="Heading3"/>
      </w:pPr>
      <w:r>
        <w:t xml:space="preserve">7.6 Container Holds</w:t>
      </w:r>
    </w:p>
    <w:bookmarkStart w:id="216"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0"/>
        </w:numPr>
      </w:pPr>
      <w:r>
        <w:t xml:space="preserve">Set container status to HOLD</w:t>
      </w:r>
    </w:p>
    <w:p>
      <w:pPr>
        <w:pStyle w:val="Compact"/>
        <w:numPr>
          <w:ilvl w:val="0"/>
          <w:numId w:val="1060"/>
        </w:numPr>
      </w:pPr>
      <w:r>
        <w:t xml:space="preserve">Record the hold number (optional reference)</w:t>
      </w:r>
    </w:p>
    <w:p>
      <w:pPr>
        <w:pStyle w:val="Compact"/>
        <w:numPr>
          <w:ilvl w:val="0"/>
          <w:numId w:val="1060"/>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0"/>
        </w:numPr>
      </w:pPr>
      <w:r>
        <w:t xml:space="preserve">Held containers SHALL NOT be loadable at the Shipping Dock</w:t>
      </w:r>
    </w:p>
    <w:bookmarkEnd w:id="216"/>
    <w:bookmarkStart w:id="217"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1"/>
        </w:numPr>
      </w:pPr>
      <w:r>
        <w:t xml:space="preserve">Set container status back to COMPLETE</w:t>
      </w:r>
    </w:p>
    <w:p>
      <w:pPr>
        <w:pStyle w:val="Compact"/>
        <w:numPr>
          <w:ilvl w:val="0"/>
          <w:numId w:val="1061"/>
        </w:numPr>
      </w:pPr>
      <w:r>
        <w:t xml:space="preserve">Call AIM</w:t>
      </w:r>
      <w:r>
        <w:t xml:space="preserve"> </w:t>
      </w:r>
      <w:r>
        <w:rPr>
          <w:rStyle w:val="VerbatimChar"/>
        </w:rPr>
        <w:t xml:space="preserve">ReleaseFromHold</w:t>
      </w:r>
    </w:p>
    <w:p>
      <w:pPr>
        <w:pStyle w:val="Compact"/>
        <w:numPr>
          <w:ilvl w:val="0"/>
          <w:numId w:val="1061"/>
        </w:numPr>
      </w:pPr>
      <w:r>
        <w:t xml:space="preserve">The container is now eligible for shipping</w:t>
      </w:r>
    </w:p>
    <w:bookmarkEnd w:id="217"/>
    <w:bookmarkEnd w:id="218"/>
    <w:bookmarkStart w:id="222" w:name="sort-cage-mvp-expanded"/>
    <w:p>
      <w:pPr>
        <w:pStyle w:val="Heading3"/>
      </w:pPr>
      <w:r>
        <w:t xml:space="preserve">7.7 Sort Cage —</w:t>
      </w:r>
      <w:r>
        <w:t xml:space="preserve"> </w:t>
      </w:r>
      <w:r>
        <w:rPr>
          <w:rStyle w:val="VerbatimChar"/>
        </w:rPr>
        <w:t xml:space="preserve">MVP-EXPANDED</w:t>
      </w:r>
    </w:p>
    <w:bookmarkStart w:id="219"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2"/>
        </w:numPr>
      </w:pPr>
      <w:r>
        <w:t xml:space="preserve">The containers SHALL be moved to the Sort Cage location (</w:t>
      </w:r>
      <w:r>
        <w:rPr>
          <w:rStyle w:val="VerbatimChar"/>
        </w:rPr>
        <w:t xml:space="preserve">LotMovement</w:t>
      </w:r>
      <w:r>
        <w:t xml:space="preserve">)</w:t>
      </w:r>
    </w:p>
    <w:p>
      <w:pPr>
        <w:pStyle w:val="Compact"/>
        <w:numPr>
          <w:ilvl w:val="0"/>
          <w:numId w:val="1062"/>
        </w:numPr>
      </w:pPr>
      <w:r>
        <w:t xml:space="preserve">Operators unpack and inspect each part</w:t>
      </w:r>
    </w:p>
    <w:p>
      <w:pPr>
        <w:pStyle w:val="Compact"/>
        <w:numPr>
          <w:ilvl w:val="0"/>
          <w:numId w:val="1062"/>
        </w:numPr>
      </w:pPr>
      <w:r>
        <w:t xml:space="preserve">Good parts SHALL be re-packed into new containers</w:t>
      </w:r>
    </w:p>
    <w:p>
      <w:pPr>
        <w:pStyle w:val="Compact"/>
        <w:numPr>
          <w:ilvl w:val="0"/>
          <w:numId w:val="1062"/>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2"/>
        </w:numPr>
      </w:pPr>
      <w:r>
        <w:t xml:space="preserve">New LTT labels SHALL print for any new LOTs created during re-sort (print reason: SORT_CAGE)</w:t>
      </w:r>
    </w:p>
    <w:p>
      <w:pPr>
        <w:pStyle w:val="Compact"/>
        <w:numPr>
          <w:ilvl w:val="0"/>
          <w:numId w:val="1062"/>
        </w:numPr>
      </w:pPr>
      <w:r>
        <w:t xml:space="preserve">New shipping labels SHALL print for re-packed containers</w:t>
      </w:r>
    </w:p>
    <w:p>
      <w:pPr>
        <w:pStyle w:val="Compact"/>
        <w:numPr>
          <w:ilvl w:val="0"/>
          <w:numId w:val="1062"/>
        </w:numPr>
      </w:pPr>
      <w:r>
        <w:t xml:space="preserve">Old shipping labels SHALL be voided (FDS-07-008)</w:t>
      </w:r>
    </w:p>
    <w:p>
      <w:pPr>
        <w:pStyle w:val="Compact"/>
        <w:numPr>
          <w:ilvl w:val="0"/>
          <w:numId w:val="1062"/>
        </w:numPr>
      </w:pPr>
      <w:r>
        <w:t xml:space="preserve">AIM SHALL be updated for serial migrations via</w:t>
      </w:r>
      <w:r>
        <w:t xml:space="preserve"> </w:t>
      </w:r>
      <w:r>
        <w:rPr>
          <w:rStyle w:val="VerbatimChar"/>
        </w:rPr>
        <w:t xml:space="preserve">UpdateAim</w:t>
      </w:r>
      <w:r>
        <w:t xml:space="preserve"> </w:t>
      </w:r>
      <w:r>
        <w:t xml:space="preserve">(FDS-07-012)</w:t>
      </w:r>
    </w:p>
    <w:bookmarkEnd w:id="219"/>
    <w:bookmarkStart w:id="220"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0"/>
    <w:bookmarkStart w:id="221"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1"/>
    <w:bookmarkEnd w:id="222"/>
    <w:bookmarkEnd w:id="223"/>
    <w:bookmarkStart w:id="249" w:name="quality-hold-management-mixed-scope"/>
    <w:p>
      <w:pPr>
        <w:pStyle w:val="Heading2"/>
      </w:pPr>
      <w:r>
        <w:t xml:space="preserve">8. Quality &amp; Hold Management — MIXED SCOPE</w:t>
      </w:r>
    </w:p>
    <w:bookmarkStart w:id="224"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4"/>
    <w:bookmarkStart w:id="233" w:name="hold-management-mvp-expanded"/>
    <w:p>
      <w:pPr>
        <w:pStyle w:val="Heading3"/>
      </w:pPr>
      <w:r>
        <w:t xml:space="preserve">8.2 Hold Management —</w:t>
      </w:r>
      <w:r>
        <w:t xml:space="preserve"> </w:t>
      </w:r>
      <w:r>
        <w:rPr>
          <w:rStyle w:val="VerbatimChar"/>
        </w:rPr>
        <w:t xml:space="preserve">MVP-EXPANDED</w:t>
      </w:r>
    </w:p>
    <w:bookmarkStart w:id="225"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5"/>
    <w:bookmarkStart w:id="226"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6"/>
    <w:bookmarkStart w:id="227"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7"/>
    <w:bookmarkStart w:id="228"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8"/>
    <w:bookmarkStart w:id="229"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9"/>
    <w:bookmarkStart w:id="230"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0"/>
    <w:bookmarkStart w:id="231"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1"/>
    <w:bookmarkStart w:id="232"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4"/>
        </w:numPr>
      </w:pPr>
      <w:r>
        <w:rPr>
          <w:b/>
          <w:bCs/>
        </w:rPr>
        <w:t xml:space="preserve">Bulk Hold / Bulk Release</w:t>
      </w:r>
      <w:r>
        <w:t xml:space="preserve"> </w:t>
      </w:r>
      <w:r>
        <w:t xml:space="preserve">— follows FDS-08-006 search + multi-select semantics.</w:t>
      </w:r>
    </w:p>
    <w:p>
      <w:pPr>
        <w:pStyle w:val="Compact"/>
        <w:numPr>
          <w:ilvl w:val="0"/>
          <w:numId w:val="106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2"/>
    <w:bookmarkEnd w:id="233"/>
    <w:bookmarkStart w:id="240" w:name="inspections-mvp"/>
    <w:p>
      <w:pPr>
        <w:pStyle w:val="Heading3"/>
      </w:pPr>
      <w:r>
        <w:t xml:space="preserve">8.3 Inspections —</w:t>
      </w:r>
      <w:r>
        <w:t xml:space="preserve"> </w:t>
      </w:r>
      <w:r>
        <w:rPr>
          <w:rStyle w:val="VerbatimChar"/>
        </w:rPr>
        <w:t xml:space="preserve">MVP</w:t>
      </w:r>
    </w:p>
    <w:bookmarkStart w:id="234"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4"/>
    <w:bookmarkStart w:id="235"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5"/>
    <w:bookmarkStart w:id="236"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6"/>
    <w:bookmarkStart w:id="237"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5"/>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5"/>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5"/>
        </w:numPr>
      </w:pPr>
      <w:r>
        <w:t xml:space="preserve">Calculate the overall sample result (PASS if all required attributes pass, FAIL if any required attribute fails)</w:t>
      </w:r>
    </w:p>
    <w:p>
      <w:pPr>
        <w:pStyle w:val="Compact"/>
        <w:numPr>
          <w:ilvl w:val="0"/>
          <w:numId w:val="1065"/>
        </w:numPr>
      </w:pPr>
      <w:r>
        <w:t xml:space="preserve">Log to</w:t>
      </w:r>
      <w:r>
        <w:t xml:space="preserve"> </w:t>
      </w:r>
      <w:r>
        <w:rPr>
          <w:rStyle w:val="VerbatimChar"/>
        </w:rPr>
        <w:t xml:space="preserve">Audit.OperationLog</w:t>
      </w:r>
    </w:p>
    <w:bookmarkEnd w:id="237"/>
    <w:bookmarkStart w:id="238"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8"/>
    <w:bookmarkStart w:id="239"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9"/>
    <w:bookmarkEnd w:id="240"/>
    <w:bookmarkStart w:id="243" w:name="sampling-workflows-conditional"/>
    <w:p>
      <w:pPr>
        <w:pStyle w:val="Heading3"/>
      </w:pPr>
      <w:r>
        <w:t xml:space="preserve">8.4 Sampling Workflows —</w:t>
      </w:r>
      <w:r>
        <w:t xml:space="preserve"> </w:t>
      </w:r>
      <w:r>
        <w:rPr>
          <w:rStyle w:val="VerbatimChar"/>
        </w:rPr>
        <w:t xml:space="preserve">CONDITIONAL</w:t>
      </w:r>
    </w:p>
    <w:bookmarkStart w:id="241"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1"/>
    <w:bookmarkStart w:id="242"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2"/>
    <w:bookmarkEnd w:id="243"/>
    <w:bookmarkStart w:id="246" w:name="defect-codes-mvp"/>
    <w:p>
      <w:pPr>
        <w:pStyle w:val="Heading3"/>
      </w:pPr>
      <w:r>
        <w:t xml:space="preserve">8.5 Defect Codes —</w:t>
      </w:r>
      <w:r>
        <w:t xml:space="preserve"> </w:t>
      </w:r>
      <w:r>
        <w:rPr>
          <w:rStyle w:val="VerbatimChar"/>
        </w:rPr>
        <w:t xml:space="preserve">MVP</w:t>
      </w:r>
    </w:p>
    <w:bookmarkStart w:id="244"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4"/>
    <w:bookmarkStart w:id="245"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5"/>
    <w:bookmarkEnd w:id="246"/>
    <w:bookmarkStart w:id="248" w:name="non-conformance-management-future"/>
    <w:p>
      <w:pPr>
        <w:pStyle w:val="Heading3"/>
      </w:pPr>
      <w:r>
        <w:t xml:space="preserve">8.6 Non-Conformance Management —</w:t>
      </w:r>
      <w:r>
        <w:t xml:space="preserve"> </w:t>
      </w:r>
      <w:r>
        <w:rPr>
          <w:rStyle w:val="VerbatimChar"/>
        </w:rPr>
        <w:t xml:space="preserve">FUTURE</w:t>
      </w:r>
    </w:p>
    <w:bookmarkStart w:id="247"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7"/>
    <w:bookmarkEnd w:id="248"/>
    <w:bookmarkEnd w:id="249"/>
    <w:bookmarkStart w:id="270" w:name="downtime-tracking-mixed-scope"/>
    <w:p>
      <w:pPr>
        <w:pStyle w:val="Heading2"/>
      </w:pPr>
      <w:r>
        <w:t xml:space="preserve">9. Downtime Tracking — MIXED SCOPE</w:t>
      </w:r>
    </w:p>
    <w:bookmarkStart w:id="250"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0"/>
    <w:bookmarkStart w:id="256" w:name="downtime-events-mvp"/>
    <w:p>
      <w:pPr>
        <w:pStyle w:val="Heading3"/>
      </w:pPr>
      <w:r>
        <w:t xml:space="preserve">9.2 Downtime Events —</w:t>
      </w:r>
      <w:r>
        <w:t xml:space="preserve"> </w:t>
      </w:r>
      <w:r>
        <w:rPr>
          <w:rStyle w:val="VerbatimChar"/>
        </w:rPr>
        <w:t xml:space="preserve">MVP</w:t>
      </w:r>
    </w:p>
    <w:bookmarkStart w:id="251"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1"/>
    <w:bookmarkStart w:id="252"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2"/>
    <w:bookmarkStart w:id="253"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3"/>
    <w:bookmarkStart w:id="254"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4"/>
    <w:bookmarkStart w:id="255"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66"/>
        </w:numPr>
      </w:pPr>
      <w:r>
        <w:t xml:space="preserve">Area (matching the machine’s area in the location hierarchy)</w:t>
      </w:r>
    </w:p>
    <w:p>
      <w:pPr>
        <w:pStyle w:val="Compact"/>
        <w:numPr>
          <w:ilvl w:val="0"/>
          <w:numId w:val="1066"/>
        </w:numPr>
      </w:pPr>
      <w:r>
        <w:t xml:space="preserve">Reason type (Equipment, Mold, Quality, Setup, Miscellaneous, Unscheduled)</w:t>
      </w:r>
    </w:p>
    <w:p>
      <w:pPr>
        <w:pStyle w:val="FirstParagraph"/>
      </w:pPr>
      <w:r>
        <w:t xml:space="preserve">The operator selects the type first, then the specific code within that type.</w:t>
      </w:r>
    </w:p>
    <w:bookmarkEnd w:id="255"/>
    <w:bookmarkEnd w:id="256"/>
    <w:bookmarkStart w:id="259" w:name="downtime-reason-codes-mvp"/>
    <w:p>
      <w:pPr>
        <w:pStyle w:val="Heading3"/>
      </w:pPr>
      <w:r>
        <w:t xml:space="preserve">9.3 Downtime Reason Codes —</w:t>
      </w:r>
      <w:r>
        <w:t xml:space="preserve"> </w:t>
      </w:r>
      <w:r>
        <w:rPr>
          <w:rStyle w:val="VerbatimChar"/>
        </w:rPr>
        <w:t xml:space="preserve">MVP</w:t>
      </w:r>
    </w:p>
    <w:bookmarkStart w:id="257"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7"/>
    <w:bookmarkStart w:id="258"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8"/>
    <w:bookmarkEnd w:id="259"/>
    <w:bookmarkStart w:id="267"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0"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0"/>
    <w:bookmarkStart w:id="261"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67"/>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67"/>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67"/>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1"/>
    <w:bookmarkStart w:id="262"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2"/>
    <w:bookmarkStart w:id="263"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3"/>
    <w:bookmarkStart w:id="264"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68"/>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68"/>
        </w:numPr>
      </w:pPr>
      <w:r>
        <w:rPr>
          <w:b/>
          <w:bCs/>
        </w:rPr>
        <w:t xml:space="preserve">Shared terminals</w:t>
      </w:r>
      <w:r>
        <w:t xml:space="preserve"> </w:t>
      </w:r>
      <w:r>
        <w:t xml:space="preserve">(WorkCenter- or Area-parented). Same selection buttons, with two additions: (a) an inline initials field — operator types or scans their initials before submit; (b) a 3-button single-select Time Category row (Regular / Overtime / Double-Time, default Regular).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64"/>
    <w:bookmarkStart w:id="265"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5"/>
    <w:bookmarkStart w:id="266"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69"/>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69"/>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69"/>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66"/>
    <w:bookmarkEnd w:id="267"/>
    <w:bookmarkStart w:id="269" w:name="oee-future"/>
    <w:p>
      <w:pPr>
        <w:pStyle w:val="Heading3"/>
      </w:pPr>
      <w:r>
        <w:t xml:space="preserve">9.5 OEE —</w:t>
      </w:r>
      <w:r>
        <w:t xml:space="preserve"> </w:t>
      </w:r>
      <w:r>
        <w:rPr>
          <w:rStyle w:val="VerbatimChar"/>
        </w:rPr>
        <w:t xml:space="preserve">FUTURE</w:t>
      </w:r>
    </w:p>
    <w:bookmarkStart w:id="26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8"/>
    <w:bookmarkEnd w:id="269"/>
    <w:bookmarkEnd w:id="270"/>
    <w:bookmarkStart w:id="289" w:name="plcopc-integration-mvp"/>
    <w:p>
      <w:pPr>
        <w:pStyle w:val="Heading2"/>
      </w:pPr>
      <w:r>
        <w:t xml:space="preserve">10. PLC/OPC Integration —</w:t>
      </w:r>
      <w:r>
        <w:t xml:space="preserve"> </w:t>
      </w:r>
      <w:r>
        <w:rPr>
          <w:rStyle w:val="VerbatimChar"/>
        </w:rPr>
        <w:t xml:space="preserve">MVP</w:t>
      </w:r>
    </w:p>
    <w:bookmarkStart w:id="27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1"/>
    <w:bookmarkStart w:id="275" w:name="mip-handshake-protocol-serialized-lines"/>
    <w:p>
      <w:pPr>
        <w:pStyle w:val="Heading3"/>
      </w:pPr>
      <w:r>
        <w:t xml:space="preserve">10.2 MIP Handshake Protocol — Serialized Lines</w:t>
      </w:r>
    </w:p>
    <w:bookmarkStart w:id="27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2"/>
    <w:bookmarkStart w:id="273" w:name="fds-10-002-mip-transaction-flow"/>
    <w:p>
      <w:pPr>
        <w:pStyle w:val="Heading4"/>
      </w:pPr>
      <w:r>
        <w:t xml:space="preserve">FDS-10-002 — MIP Transaction Flow</w:t>
      </w:r>
    </w:p>
    <w:p>
      <w:pPr>
        <w:pStyle w:val="FirstParagraph"/>
      </w:pPr>
      <w:r>
        <w:t xml:space="preserve">For each part cycle:</w:t>
      </w:r>
    </w:p>
    <w:p>
      <w:pPr>
        <w:pStyle w:val="Compact"/>
        <w:numPr>
          <w:ilvl w:val="0"/>
          <w:numId w:val="1070"/>
        </w:numPr>
      </w:pPr>
      <w:r>
        <w:t xml:space="preserve">PLC sets</w:t>
      </w:r>
      <w:r>
        <w:t xml:space="preserve"> </w:t>
      </w:r>
      <w:r>
        <w:rPr>
          <w:rStyle w:val="VerbatimChar"/>
        </w:rPr>
        <w:t xml:space="preserve">DataReady=1</w:t>
      </w:r>
    </w:p>
    <w:p>
      <w:pPr>
        <w:pStyle w:val="Compact"/>
        <w:numPr>
          <w:ilvl w:val="0"/>
          <w:numId w:val="1070"/>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0"/>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0"/>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0"/>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0"/>
        </w:numPr>
      </w:pPr>
      <w:r>
        <w:t xml:space="preserve">MES records consumption event, serialized part, container serial (per FDS-06-010)</w:t>
      </w:r>
    </w:p>
    <w:p>
      <w:pPr>
        <w:pStyle w:val="Compact"/>
        <w:numPr>
          <w:ilvl w:val="0"/>
          <w:numId w:val="1070"/>
        </w:numPr>
      </w:pPr>
      <w:r>
        <w:t xml:space="preserve">MES updates</w:t>
      </w:r>
      <w:r>
        <w:t xml:space="preserve"> </w:t>
      </w:r>
      <w:r>
        <w:rPr>
          <w:rStyle w:val="VerbatimChar"/>
        </w:rPr>
        <w:t xml:space="preserve">ContainerCount</w:t>
      </w:r>
    </w:p>
    <w:p>
      <w:pPr>
        <w:pStyle w:val="Compact"/>
        <w:numPr>
          <w:ilvl w:val="0"/>
          <w:numId w:val="1070"/>
        </w:numPr>
      </w:pPr>
      <w:r>
        <w:t xml:space="preserve">MES clears</w:t>
      </w:r>
      <w:r>
        <w:t xml:space="preserve"> </w:t>
      </w:r>
      <w:r>
        <w:rPr>
          <w:rStyle w:val="VerbatimChar"/>
        </w:rPr>
        <w:t xml:space="preserve">TransInProc=0</w:t>
      </w:r>
    </w:p>
    <w:bookmarkEnd w:id="273"/>
    <w:bookmarkStart w:id="27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4"/>
    <w:bookmarkEnd w:id="275"/>
    <w:bookmarkStart w:id="282"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7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6"/>
    <w:bookmarkStart w:id="27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1"/>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1"/>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1"/>
        </w:numPr>
      </w:pPr>
      <w:r>
        <w:t xml:space="preserve">Route to escalation per FDS-10-009 / FDS-10-010 based on failure count and failure type.</w:t>
      </w:r>
    </w:p>
    <w:p>
      <w:pPr>
        <w:pStyle w:val="Compact"/>
        <w:numPr>
          <w:ilvl w:val="0"/>
          <w:numId w:val="1071"/>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1"/>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77"/>
    <w:bookmarkStart w:id="27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2"/>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2"/>
        </w:numPr>
      </w:pPr>
      <w:r>
        <w:t xml:space="preserve">Require supervisor AD elevation (FDS-04-007) before production can resume on that cell.</w:t>
      </w:r>
    </w:p>
    <w:p>
      <w:pPr>
        <w:pStyle w:val="Compact"/>
        <w:numPr>
          <w:ilvl w:val="0"/>
          <w:numId w:val="1072"/>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8"/>
    <w:bookmarkStart w:id="27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79"/>
    <w:bookmarkStart w:id="28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3"/>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3"/>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0"/>
    <w:bookmarkStart w:id="28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4"/>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4"/>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4"/>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4"/>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4"/>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1"/>
    <w:bookmarkEnd w:id="282"/>
    <w:bookmarkStart w:id="284" w:name="scale-integration"/>
    <w:p>
      <w:pPr>
        <w:pStyle w:val="Heading3"/>
      </w:pPr>
      <w:r>
        <w:t xml:space="preserve">10.4 Scale Integration</w:t>
      </w:r>
    </w:p>
    <w:bookmarkStart w:id="28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3"/>
    <w:bookmarkEnd w:id="284"/>
    <w:bookmarkStart w:id="288" w:name="barcode-integration"/>
    <w:p>
      <w:pPr>
        <w:pStyle w:val="Heading3"/>
      </w:pPr>
      <w:r>
        <w:t xml:space="preserve">10.5 Barcode Integration</w:t>
      </w:r>
    </w:p>
    <w:bookmarkStart w:id="28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5"/>
    <w:bookmarkStart w:id="28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86"/>
    <w:bookmarkStart w:id="287"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87"/>
    <w:bookmarkEnd w:id="288"/>
    <w:bookmarkEnd w:id="289"/>
    <w:bookmarkStart w:id="305" w:name="audit-logging-mvp"/>
    <w:p>
      <w:pPr>
        <w:pStyle w:val="Heading2"/>
      </w:pPr>
      <w:r>
        <w:t xml:space="preserve">11. Audit &amp; Logging —</w:t>
      </w:r>
      <w:r>
        <w:t xml:space="preserve"> </w:t>
      </w:r>
      <w:r>
        <w:rPr>
          <w:rStyle w:val="VerbatimChar"/>
        </w:rPr>
        <w:t xml:space="preserve">MVP</w:t>
      </w:r>
    </w:p>
    <w:bookmarkStart w:id="290"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0"/>
    <w:bookmarkStart w:id="296" w:name="log-types"/>
    <w:p>
      <w:pPr>
        <w:pStyle w:val="Heading3"/>
      </w:pPr>
      <w:r>
        <w:t xml:space="preserve">11.2 Log Types</w:t>
      </w:r>
    </w:p>
    <w:bookmarkStart w:id="291"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1"/>
    <w:bookmarkStart w:id="292"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2"/>
    <w:bookmarkStart w:id="293"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3"/>
    <w:bookmarkStart w:id="294"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4"/>
    <w:bookmarkStart w:id="295"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5"/>
    <w:bookmarkEnd w:id="296"/>
    <w:bookmarkStart w:id="301" w:name="normalized-vocabularies"/>
    <w:p>
      <w:pPr>
        <w:pStyle w:val="Heading3"/>
      </w:pPr>
      <w:r>
        <w:t xml:space="preserve">11.3 Normalized Vocabularies</w:t>
      </w:r>
    </w:p>
    <w:bookmarkStart w:id="297"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7"/>
    <w:bookmarkStart w:id="298"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8"/>
    <w:bookmarkStart w:id="299"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9"/>
    <w:bookmarkStart w:id="300"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5"/>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5"/>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5"/>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5"/>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0"/>
    <w:bookmarkEnd w:id="301"/>
    <w:bookmarkStart w:id="304" w:name="data-retention"/>
    <w:p>
      <w:pPr>
        <w:pStyle w:val="Heading3"/>
      </w:pPr>
      <w:r>
        <w:t xml:space="preserve">11.4 Data Retention</w:t>
      </w:r>
    </w:p>
    <w:bookmarkStart w:id="302"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2"/>
    <w:bookmarkStart w:id="303"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3"/>
    <w:bookmarkEnd w:id="304"/>
    <w:bookmarkEnd w:id="305"/>
    <w:bookmarkStart w:id="325" w:name="reporting-mvp"/>
    <w:p>
      <w:pPr>
        <w:pStyle w:val="Heading2"/>
      </w:pPr>
      <w:r>
        <w:t xml:space="preserve">12. Reporting —</w:t>
      </w:r>
      <w:r>
        <w:t xml:space="preserve"> </w:t>
      </w:r>
      <w:r>
        <w:rPr>
          <w:rStyle w:val="VerbatimChar"/>
        </w:rPr>
        <w:t xml:space="preserve">MVP</w:t>
      </w:r>
    </w:p>
    <w:bookmarkStart w:id="306"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6"/>
    <w:bookmarkStart w:id="311" w:name="traceability-reports"/>
    <w:p>
      <w:pPr>
        <w:pStyle w:val="Heading3"/>
      </w:pPr>
      <w:r>
        <w:t xml:space="preserve">12.2 Traceability Reports</w:t>
      </w:r>
    </w:p>
    <w:bookmarkStart w:id="307"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7"/>
    <w:bookmarkStart w:id="308"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8"/>
    <w:bookmarkStart w:id="309"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9"/>
    <w:bookmarkStart w:id="310"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0"/>
    <w:bookmarkEnd w:id="311"/>
    <w:bookmarkStart w:id="316" w:name="X20e5703298e30073c8ffa1040c87c727e57d853"/>
    <w:p>
      <w:pPr>
        <w:pStyle w:val="Heading3"/>
      </w:pPr>
      <w:r>
        <w:t xml:space="preserve">12.3 Production Reports (Replacing Productivity DB)</w:t>
      </w:r>
    </w:p>
    <w:bookmarkStart w:id="312"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2"/>
    <w:bookmarkStart w:id="313"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3"/>
    <w:bookmarkStart w:id="314"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4"/>
    <w:bookmarkStart w:id="315"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5"/>
    <w:bookmarkEnd w:id="316"/>
    <w:bookmarkStart w:id="320" w:name="operational-reports"/>
    <w:p>
      <w:pPr>
        <w:pStyle w:val="Heading3"/>
      </w:pPr>
      <w:r>
        <w:t xml:space="preserve">12.4 Operational Reports</w:t>
      </w:r>
    </w:p>
    <w:bookmarkStart w:id="317"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7"/>
    <w:bookmarkStart w:id="318"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8"/>
    <w:bookmarkStart w:id="319"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9"/>
    <w:bookmarkEnd w:id="320"/>
    <w:bookmarkStart w:id="324" w:name="global-trace-tool-mvp"/>
    <w:p>
      <w:pPr>
        <w:pStyle w:val="Heading3"/>
      </w:pPr>
      <w:r>
        <w:t xml:space="preserve">12.5 Global Trace Tool —</w:t>
      </w:r>
      <w:r>
        <w:t xml:space="preserve"> </w:t>
      </w:r>
      <w:r>
        <w:rPr>
          <w:rStyle w:val="VerbatimChar"/>
        </w:rPr>
        <w:t xml:space="preserve">MVP</w:t>
      </w:r>
    </w:p>
    <w:bookmarkStart w:id="321"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1"/>
    <w:bookmarkStart w:id="322"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76"/>
        </w:numPr>
      </w:pPr>
      <w:r>
        <w:t xml:space="preserve">LOT</w:t>
      </w:r>
      <w:r>
        <w:t xml:space="preserve"> </w:t>
      </w:r>
      <w:r>
        <w:rPr>
          <w:rStyle w:val="VerbatimChar"/>
        </w:rPr>
        <w:t xml:space="preserve">LotName</w:t>
      </w:r>
      <w:r>
        <w:t xml:space="preserve"> </w:t>
      </w:r>
      <w:r>
        <w:t xml:space="preserve">(LTT barcode)</w:t>
      </w:r>
    </w:p>
    <w:p>
      <w:pPr>
        <w:pStyle w:val="Compact"/>
        <w:numPr>
          <w:ilvl w:val="0"/>
          <w:numId w:val="1076"/>
        </w:numPr>
      </w:pPr>
      <w:r>
        <w:t xml:space="preserve">Sub-LOT</w:t>
      </w:r>
      <w:r>
        <w:t xml:space="preserve"> </w:t>
      </w:r>
      <w:r>
        <w:rPr>
          <w:rStyle w:val="VerbatimChar"/>
        </w:rPr>
        <w:t xml:space="preserve">LotName</w:t>
      </w:r>
    </w:p>
    <w:p>
      <w:pPr>
        <w:pStyle w:val="Compact"/>
        <w:numPr>
          <w:ilvl w:val="0"/>
          <w:numId w:val="1076"/>
        </w:numPr>
      </w:pPr>
      <w:r>
        <w:t xml:space="preserve">Serialized part serial number (</w:t>
      </w:r>
      <w:r>
        <w:rPr>
          <w:rStyle w:val="VerbatimChar"/>
        </w:rPr>
        <w:t xml:space="preserve">SerializedPart.SerialNumber</w:t>
      </w:r>
      <w:r>
        <w:t xml:space="preserve">)</w:t>
      </w:r>
    </w:p>
    <w:p>
      <w:pPr>
        <w:pStyle w:val="Compact"/>
        <w:numPr>
          <w:ilvl w:val="0"/>
          <w:numId w:val="1076"/>
        </w:numPr>
      </w:pPr>
      <w:r>
        <w:t xml:space="preserve">Container</w:t>
      </w:r>
      <w:r>
        <w:t xml:space="preserve"> </w:t>
      </w:r>
      <w:r>
        <w:rPr>
          <w:rStyle w:val="VerbatimChar"/>
        </w:rPr>
        <w:t xml:space="preserve">ContainerName</w:t>
      </w:r>
    </w:p>
    <w:p>
      <w:pPr>
        <w:pStyle w:val="Compact"/>
        <w:numPr>
          <w:ilvl w:val="0"/>
          <w:numId w:val="1076"/>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2"/>
    <w:bookmarkStart w:id="323"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77"/>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77"/>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77"/>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77"/>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77"/>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77"/>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23"/>
    <w:bookmarkEnd w:id="324"/>
    <w:bookmarkEnd w:id="325"/>
    <w:bookmarkStart w:id="336" w:name="external-system-interfaces-mixed-scope"/>
    <w:p>
      <w:pPr>
        <w:pStyle w:val="Heading2"/>
      </w:pPr>
      <w:r>
        <w:t xml:space="preserve">13. External System Interfaces — MIXED SCOPE</w:t>
      </w:r>
    </w:p>
    <w:bookmarkStart w:id="329" w:name="aim-honda-edi-mvp"/>
    <w:p>
      <w:pPr>
        <w:pStyle w:val="Heading3"/>
      </w:pPr>
      <w:r>
        <w:t xml:space="preserve">13.1 AIM (Honda EDI) —</w:t>
      </w:r>
      <w:r>
        <w:t xml:space="preserve"> </w:t>
      </w:r>
      <w:r>
        <w:rPr>
          <w:rStyle w:val="VerbatimChar"/>
        </w:rPr>
        <w:t xml:space="preserve">MVP</w:t>
      </w:r>
    </w:p>
    <w:bookmarkStart w:id="326"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6"/>
    <w:bookmarkStart w:id="327"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78"/>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78"/>
        </w:numPr>
      </w:pPr>
      <w:r>
        <w:t xml:space="preserve">Queue the call for retry (per FDS-01-006 dispatch pattern)</w:t>
      </w:r>
    </w:p>
    <w:p>
      <w:pPr>
        <w:pStyle w:val="Compact"/>
        <w:numPr>
          <w:ilvl w:val="0"/>
          <w:numId w:val="1078"/>
        </w:numPr>
      </w:pPr>
      <w:r>
        <w:t xml:space="preserve">Alert the shipping operator that the AIM call is pending</w:t>
      </w:r>
    </w:p>
    <w:p>
      <w:pPr>
        <w:pStyle w:val="Compact"/>
        <w:numPr>
          <w:ilvl w:val="0"/>
          <w:numId w:val="1078"/>
        </w:numPr>
      </w:pPr>
      <w:r>
        <w:t xml:space="preserve">The container SHALL remain in its current status until the AIM call succeeds</w:t>
      </w:r>
    </w:p>
    <w:bookmarkEnd w:id="327"/>
    <w:bookmarkStart w:id="328"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8"/>
    <w:bookmarkEnd w:id="329"/>
    <w:bookmarkStart w:id="331" w:name="macola-erp-future"/>
    <w:p>
      <w:pPr>
        <w:pStyle w:val="Heading3"/>
      </w:pPr>
      <w:r>
        <w:t xml:space="preserve">13.2 Macola ERP —</w:t>
      </w:r>
      <w:r>
        <w:t xml:space="preserve"> </w:t>
      </w:r>
      <w:r>
        <w:rPr>
          <w:rStyle w:val="VerbatimChar"/>
        </w:rPr>
        <w:t xml:space="preserve">FUTURE</w:t>
      </w:r>
    </w:p>
    <w:bookmarkStart w:id="330"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0"/>
    <w:bookmarkEnd w:id="331"/>
    <w:bookmarkStart w:id="333" w:name="intelex-quality-management-future"/>
    <w:p>
      <w:pPr>
        <w:pStyle w:val="Heading3"/>
      </w:pPr>
      <w:r>
        <w:t xml:space="preserve">13.3 Intelex (Quality Management) —</w:t>
      </w:r>
      <w:r>
        <w:t xml:space="preserve"> </w:t>
      </w:r>
      <w:r>
        <w:rPr>
          <w:rStyle w:val="VerbatimChar"/>
        </w:rPr>
        <w:t xml:space="preserve">FUTURE</w:t>
      </w:r>
    </w:p>
    <w:bookmarkStart w:id="332"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32"/>
    <w:bookmarkEnd w:id="333"/>
    <w:bookmarkStart w:id="335" w:name="scada-process-dashboards-future"/>
    <w:p>
      <w:pPr>
        <w:pStyle w:val="Heading3"/>
      </w:pPr>
      <w:r>
        <w:t xml:space="preserve">13.4 SCADA / Process Dashboards —</w:t>
      </w:r>
      <w:r>
        <w:t xml:space="preserve"> </w:t>
      </w:r>
      <w:r>
        <w:rPr>
          <w:rStyle w:val="VerbatimChar"/>
        </w:rPr>
        <w:t xml:space="preserve">FUTURE</w:t>
      </w:r>
    </w:p>
    <w:bookmarkStart w:id="334"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4"/>
    <w:bookmarkEnd w:id="335"/>
    <w:bookmarkEnd w:id="336"/>
    <w:bookmarkStart w:id="343" w:name="data-migration-conditional"/>
    <w:p>
      <w:pPr>
        <w:pStyle w:val="Heading2"/>
      </w:pPr>
      <w:r>
        <w:t xml:space="preserve">14. Data Migration —</w:t>
      </w:r>
      <w:r>
        <w:t xml:space="preserve"> </w:t>
      </w:r>
      <w:r>
        <w:rPr>
          <w:rStyle w:val="VerbatimChar"/>
        </w:rPr>
        <w:t xml:space="preserve">CONDITIONAL</w:t>
      </w:r>
    </w:p>
    <w:bookmarkStart w:id="342"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7"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7"/>
    <w:bookmarkStart w:id="338"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8"/>
    <w:bookmarkStart w:id="339"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9"/>
    <w:bookmarkStart w:id="340"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0"/>
    <w:bookmarkStart w:id="341"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79"/>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79"/>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79"/>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79"/>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1"/>
    <w:bookmarkEnd w:id="342"/>
    <w:bookmarkEnd w:id="343"/>
    <w:bookmarkStart w:id="354" w:name="deployment-commissioning-mvp"/>
    <w:p>
      <w:pPr>
        <w:pStyle w:val="Heading2"/>
      </w:pPr>
      <w:r>
        <w:t xml:space="preserve">15. Deployment &amp; Commissioning —</w:t>
      </w:r>
      <w:r>
        <w:t xml:space="preserve"> </w:t>
      </w:r>
      <w:r>
        <w:rPr>
          <w:rStyle w:val="VerbatimChar"/>
        </w:rPr>
        <w:t xml:space="preserve">MVP</w:t>
      </w:r>
    </w:p>
    <w:bookmarkStart w:id="350" w:name="deployment-approach"/>
    <w:p>
      <w:pPr>
        <w:pStyle w:val="Heading3"/>
      </w:pPr>
      <w:r>
        <w:t xml:space="preserve">15.1 Deployment Approach</w:t>
      </w:r>
    </w:p>
    <w:bookmarkStart w:id="344"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4"/>
    <w:bookmarkStart w:id="345"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5"/>
    <w:bookmarkStart w:id="346"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6"/>
    <w:bookmarkStart w:id="347"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7"/>
    <w:bookmarkStart w:id="348"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8"/>
    <w:bookmarkStart w:id="349"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9"/>
    <w:bookmarkEnd w:id="350"/>
    <w:bookmarkStart w:id="353" w:name="change-management"/>
    <w:p>
      <w:pPr>
        <w:pStyle w:val="Heading3"/>
      </w:pPr>
      <w:r>
        <w:t xml:space="preserve">15.2 Change Management</w:t>
      </w:r>
    </w:p>
    <w:bookmarkStart w:id="351"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1"/>
    <w:bookmarkStart w:id="352"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52"/>
    <w:bookmarkEnd w:id="353"/>
    <w:bookmarkEnd w:id="354"/>
    <w:bookmarkStart w:id="358"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5"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5"/>
    <w:bookmarkStart w:id="356"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0"/>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0"/>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0"/>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0"/>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0"/>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6"/>
    <w:bookmarkStart w:id="357"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7"/>
    <w:bookmarkEnd w:id="358"/>
    <w:bookmarkStart w:id="367" w:name="appendices"/>
    <w:p>
      <w:pPr>
        <w:pStyle w:val="Heading2"/>
      </w:pPr>
      <w:r>
        <w:t xml:space="preserve">Appendices</w:t>
      </w:r>
    </w:p>
    <w:bookmarkStart w:id="359"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9"/>
    <w:bookmarkStart w:id="360"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0"/>
    <w:bookmarkStart w:id="361"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1"/>
    <w:bookmarkStart w:id="362"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62"/>
    <w:bookmarkStart w:id="363"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63"/>
    <w:bookmarkStart w:id="364"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4"/>
    <w:bookmarkStart w:id="365"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5"/>
    <w:bookmarkStart w:id="366"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6"/>
    <w:bookmarkEnd w:id="367"/>
    <w:bookmarkStart w:id="368"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2026-04-28:</w:t>
      </w:r>
      <w:r>
        <w:t xml:space="preserve"> </w:t>
      </w:r>
      <w:r>
        <w:t xml:space="preserve">14 unresolved items (2 In Review, 12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 single active</w:t>
            </w:r>
            <w:r>
              <w:t xml:space="preserve"> </w:t>
            </w:r>
            <w:r>
              <w:rPr>
                <w:rStyle w:val="VerbatimChar"/>
              </w:rPr>
              <w:t xml:space="preserve">Production</w:t>
            </w:r>
            <w:r>
              <w:t xml:space="preserve"> </w:t>
            </w:r>
            <w:r>
              <w:t xml:space="preserve">type confirmed;</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retained as FUTURE code-table hooks.</w:t>
            </w:r>
          </w:p>
        </w:tc>
        <w:tc>
          <w:tcPr/>
          <w:p>
            <w:pPr>
              <w:pStyle w:val="Compact"/>
            </w:pPr>
            <w:r>
              <w:rPr>
                <w:b/>
                <w:bCs/>
              </w:rPr>
              <w:t xml:space="preserve">HIGH</w:t>
            </w:r>
            <w:r>
              <w:t xml:space="preserve"> </w:t>
            </w:r>
            <w:r>
              <w:t xml:space="preserve">(active flow); LOW (FUTURE hooks)</w:t>
            </w:r>
          </w:p>
        </w:tc>
        <w:tc>
          <w:tcPr/>
          <w:p>
            <w:pPr>
              <w:pStyle w:val="Compact"/>
            </w:pPr>
            <w:r>
              <w:t xml:space="preserve">Blue Ridge / Ben (SME)</w:t>
            </w:r>
          </w:p>
        </w:tc>
      </w:tr>
      <w:tr>
        <w:tc>
          <w:tcPr>
            <w:shd w:val="clear" w:color="auto" w:fill="F2F2F2"/>
          </w:tcPr>
          <w:tcPr/>
          <w:p>
            <w:pPr>
              <w:pStyle w:val="Compact"/>
            </w:pPr>
            <w:r>
              <w:rPr>
                <w:b/>
                <w:bCs/>
              </w:rPr>
              <w:t xml:space="preserve">OI-33</w:t>
            </w:r>
          </w:p>
        </w:tc>
        <w:tc>
          <w:tcPr>
            <w:shd w:val="clear" w:color="auto" w:fill="F2F2F2"/>
          </w:tcPr>
          <w:tcPr/>
          <w:p>
            <w:pPr>
              <w:pStyle w:val="Compact"/>
            </w:pPr>
            <w:r>
              <w:t xml:space="preserve">7.4 (FDS-07-010a)</w:t>
            </w:r>
          </w:p>
        </w:tc>
        <w:tc>
          <w:tcPr>
            <w:shd w:val="clear" w:color="auto" w:fill="F2F2F2"/>
          </w:tcPr>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shd w:val="clear" w:color="auto" w:fill="F2F2F2"/>
          </w:tcPr>
          <w:tcPr/>
          <w:p>
            <w:pPr>
              <w:pStyle w:val="Compact"/>
            </w:pPr>
            <w:r>
              <w:rPr>
                <w:b/>
                <w:bCs/>
              </w:rPr>
              <w:t xml:space="preserve">HIGH</w:t>
            </w:r>
          </w:p>
        </w:tc>
        <w:tc>
          <w:tcPr>
            <w:shd w:val="clear" w:color="auto" w:fill="F2F2F2"/>
          </w:tcPr>
          <w:tcPr/>
          <w:p>
            <w:pPr>
              <w:pStyle w:val="Compact"/>
            </w:pPr>
            <w:r>
              <w:t xml:space="preserve">MPP Operations /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enumerate the four PD reports + their data sources; couples to OI-30 and UJ-11.</w:t>
            </w:r>
          </w:p>
        </w:tc>
        <w:tc>
          <w:tcPr/>
          <w:p>
            <w:pPr>
              <w:pStyle w:val="Compact"/>
            </w:pPr>
            <w:r>
              <w:rPr>
                <w:b/>
                <w:bCs/>
              </w:rPr>
              <w:t xml:space="preserve">HIGH</w:t>
            </w:r>
          </w:p>
        </w:tc>
        <w:tc>
          <w:tcPr/>
          <w:p>
            <w:pPr>
              <w:pStyle w:val="Compact"/>
            </w:pPr>
            <w:r>
              <w:t xml:space="preserve">MPP Production Control</w:t>
            </w:r>
          </w:p>
        </w:tc>
      </w:tr>
      <w:tr>
        <w:tc>
          <w:tcPr>
            <w:shd w:val="clear" w:color="auto" w:fill="F2F2F2"/>
          </w:tcPr>
          <w:tcPr/>
          <w:p>
            <w:pPr>
              <w:pStyle w:val="Compact"/>
            </w:pPr>
            <w:r>
              <w:rPr>
                <w:b/>
                <w:bCs/>
              </w:rPr>
              <w:t xml:space="preserve">OI-24</w:t>
            </w:r>
          </w:p>
        </w:tc>
        <w:tc>
          <w:tcPr>
            <w:shd w:val="clear" w:color="auto" w:fill="F2F2F2"/>
          </w:tcPr>
          <w:tcPr/>
          <w:p>
            <w:pPr>
              <w:pStyle w:val="Compact"/>
            </w:pPr>
            <w:r>
              <w:t xml:space="preserve">TBD</w:t>
            </w:r>
          </w:p>
        </w:tc>
        <w:tc>
          <w:tcPr>
            <w:shd w:val="clear" w:color="auto" w:fill="F2F2F2"/>
          </w:tcPr>
          <w:tcPr/>
          <w:p>
            <w:pPr>
              <w:pStyle w:val="Compact"/>
            </w:pPr>
            <w:r>
              <w:t xml:space="preserve">Legacy</w:t>
            </w:r>
            <w:r>
              <w:t xml:space="preserve"> </w:t>
            </w:r>
            <w:r>
              <w:t xml:space="preserve">“Automation”</w:t>
            </w:r>
            <w:r>
              <w:t xml:space="preserve"> </w:t>
            </w:r>
            <w:r>
              <w:t xml:space="preserve">home-tile contents not captured in screenshots — likely OPC / interface management UI. Discovery walk-through with MPP needed.</w:t>
            </w:r>
          </w:p>
        </w:tc>
        <w:tc>
          <w:tcPr>
            <w:shd w:val="clear" w:color="auto" w:fill="F2F2F2"/>
          </w:tcPr>
          <w:tcPr/>
          <w:p>
            <w:pPr>
              <w:pStyle w:val="Compact"/>
            </w:pPr>
            <w:r>
              <w:t xml:space="preserve">MEDIUM</w:t>
            </w:r>
          </w:p>
        </w:tc>
        <w:tc>
          <w:tcPr>
            <w:shd w:val="clear" w:color="auto" w:fill="F2F2F2"/>
          </w:tcPr>
          <w:tcPr/>
          <w:p>
            <w:pPr>
              <w:pStyle w:val="Compact"/>
            </w:pPr>
            <w:r>
              <w:t xml:space="preserve">MPP IT</w:t>
            </w:r>
          </w:p>
        </w:tc>
      </w:tr>
      <w:tr>
        <w:tc>
          <w:tcPr/>
          <w:p>
            <w:pPr>
              <w:pStyle w:val="Compact"/>
            </w:pPr>
            <w:r>
              <w:rPr>
                <w:b/>
                <w:bCs/>
              </w:rPr>
              <w:t xml:space="preserve">OI-28</w:t>
            </w:r>
          </w:p>
        </w:tc>
        <w:tc>
          <w:tcPr/>
          <w:p>
            <w:pPr>
              <w:pStyle w:val="Compact"/>
            </w:pPr>
            <w:r>
              <w:t xml:space="preserve">10</w:t>
            </w:r>
          </w:p>
        </w:tc>
        <w:tc>
          <w:tcPr/>
          <w:p>
            <w:pPr>
              <w:pStyle w:val="Compact"/>
            </w:pPr>
            <w:r>
              <w:t xml:space="preserve">Legacy Cell flag</w:t>
            </w:r>
            <w:r>
              <w:t xml:space="preserve"> </w:t>
            </w:r>
            <w:r>
              <w:rPr>
                <w:i/>
                <w:iCs/>
              </w:rPr>
              <w:t xml:space="preserve">“Require override for cast parts”</w:t>
            </w:r>
            <w:r>
              <w:t xml:space="preserve"> </w:t>
            </w:r>
            <w:r>
              <w:t xml:space="preserve">— likely couples to OI-04 vision-conflict / line-stop at cell-level granularity. Confirm purpose; if retained, add</w:t>
            </w:r>
            <w:r>
              <w:t xml:space="preserve"> </w:t>
            </w:r>
            <w:r>
              <w:rPr>
                <w:rStyle w:val="VerbatimChar"/>
              </w:rPr>
              <w:t xml:space="preserve">RequiresCastOverride</w:t>
            </w:r>
            <w:r>
              <w:t xml:space="preserve"> </w:t>
            </w:r>
            <w:r>
              <w:t xml:space="preserve">LocationAttribute.</w:t>
            </w:r>
          </w:p>
        </w:tc>
        <w:tc>
          <w:tcPr/>
          <w:p>
            <w:pPr>
              <w:pStyle w:val="Compact"/>
            </w:pPr>
            <w:r>
              <w:t xml:space="preserve">MEDIUM</w:t>
            </w:r>
          </w:p>
        </w:tc>
        <w:tc>
          <w:tcPr/>
          <w:p>
            <w:pPr>
              <w:pStyle w:val="Compact"/>
            </w:pPr>
            <w:r>
              <w:t xml:space="preserve">MPP Engineering</w:t>
            </w:r>
          </w:p>
        </w:tc>
      </w:tr>
      <w:tr>
        <w:tc>
          <w:tcPr>
            <w:shd w:val="clear" w:color="auto" w:fill="F2F2F2"/>
          </w:tcPr>
          <w:tcPr/>
          <w:p>
            <w:pPr>
              <w:pStyle w:val="Compact"/>
            </w:pPr>
            <w:r>
              <w:rPr>
                <w:b/>
                <w:bCs/>
              </w:rPr>
              <w:t xml:space="preserve">OI-30</w:t>
            </w:r>
          </w:p>
        </w:tc>
        <w:tc>
          <w:tcPr>
            <w:shd w:val="clear" w:color="auto" w:fill="F2F2F2"/>
          </w:tcPr>
          <w:tcPr/>
          <w:p>
            <w:pPr>
              <w:pStyle w:val="Compact"/>
            </w:pPr>
            <w:r>
              <w:t xml:space="preserve">12</w:t>
            </w:r>
          </w:p>
        </w:tc>
        <w:tc>
          <w:tcPr>
            <w:shd w:val="clear" w:color="auto" w:fill="F2F2F2"/>
          </w:tcPr>
          <w:tcPr/>
          <w:p>
            <w:pPr>
              <w:pStyle w:val="Compact"/>
            </w:pPr>
            <w:r>
              <w:t xml:space="preserve">Legacy</w:t>
            </w:r>
            <w:r>
              <w:t xml:space="preserve"> </w:t>
            </w:r>
            <w:r>
              <w:t xml:space="preserve">“Reports”</w:t>
            </w:r>
            <w:r>
              <w:t xml:space="preserve"> </w:t>
            </w:r>
            <w:r>
              <w:t xml:space="preserve">tile contents not enumerated. Walk-through needed; couples directly to UJ-19 closure.</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OI-34</w:t>
            </w:r>
          </w:p>
        </w:tc>
        <w:tc>
          <w:tcPr/>
          <w:p>
            <w:pPr>
              <w:pStyle w:val="Compact"/>
            </w:pPr>
            <w:r>
              <w:t xml:space="preserve">9.4 (FDS-09-008 / FDS-09-012)</w:t>
            </w:r>
          </w:p>
        </w:tc>
        <w:tc>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 scheduling drift detection, throughput planning, etc.) is unanswered:</w:t>
            </w:r>
            <w:r>
              <w:t xml:space="preserve"> </w:t>
            </w:r>
            <w:r>
              <w:rPr>
                <w:i/>
                <w:iCs/>
              </w:rPr>
              <w:t xml:space="preserve">“How would MPP like to leverage the provided production schedules in the MES?”</w:t>
            </w:r>
          </w:p>
        </w:tc>
        <w:tc>
          <w:tcPr/>
          <w:p>
            <w:pPr>
              <w:pStyle w:val="Compact"/>
            </w:pPr>
            <w:r>
              <w:t xml:space="preserve">MEDIUM</w:t>
            </w:r>
          </w:p>
        </w:tc>
        <w:tc>
          <w:tcPr/>
          <w:p>
            <w:pPr>
              <w:pStyle w:val="Compact"/>
            </w:pPr>
            <w:r>
              <w:t xml:space="preserve">MPP Production Control</w:t>
            </w:r>
          </w:p>
        </w:tc>
      </w:tr>
      <w:tr>
        <w:tc>
          <w:tcPr>
            <w:shd w:val="clear" w:color="auto" w:fill="F2F2F2"/>
          </w:tcPr>
          <w:tcPr/>
          <w:p>
            <w:pPr>
              <w:pStyle w:val="Compact"/>
            </w:pPr>
            <w:r>
              <w:rPr>
                <w:b/>
                <w:bCs/>
              </w:rPr>
              <w:t xml:space="preserve">OI-31</w:t>
            </w:r>
          </w:p>
        </w:tc>
        <w:tc>
          <w:tcPr>
            <w:shd w:val="clear" w:color="auto" w:fill="F2F2F2"/>
          </w:tcPr>
          <w:tcPr/>
          <w:p>
            <w:pPr>
              <w:pStyle w:val="Compact"/>
            </w:pPr>
            <w:r>
              <w:t xml:space="preserve">16</w:t>
            </w:r>
          </w:p>
        </w:tc>
        <w:tc>
          <w:tcPr>
            <w:shd w:val="clear" w:color="auto" w:fill="F2F2F2"/>
          </w:tcPr>
          <w:tcPr/>
          <w:p>
            <w:pPr>
              <w:pStyle w:val="Compact"/>
            </w:pPr>
            <w:r>
              <w:rPr>
                <w:rStyle w:val="VerbatimChar"/>
              </w:rPr>
              <w:t xml:space="preserve">Lots.IdentifierSequence</w:t>
            </w:r>
            <w:r>
              <w:t xml:space="preserve"> </w:t>
            </w:r>
            <w:r>
              <w:t xml:space="preserve">cutover seed values + Ben’s rollout-shape decision (single-line vs full-cutover vs shadow). Memo:</w:t>
            </w:r>
            <w:r>
              <w:t xml:space="preserve"> </w:t>
            </w:r>
            <w:r>
              <w:rPr>
                <w:rStyle w:val="VerbatimChar"/>
              </w:rPr>
              <w:t xml:space="preserve">Meeting_Notes/2026-04-24_OI-31_Single-Line_Deployment_Impact.md</w:t>
            </w:r>
            <w:r>
              <w:t xml:space="preserve">.</w:t>
            </w:r>
          </w:p>
        </w:tc>
        <w:tc>
          <w:tcPr>
            <w:shd w:val="clear" w:color="auto" w:fill="F2F2F2"/>
          </w:tcPr>
          <w:tcPr/>
          <w:p>
            <w:pPr>
              <w:pStyle w:val="Compact"/>
            </w:pPr>
            <w:r>
              <w:t xml:space="preserve">MEDIUM</w:t>
            </w:r>
          </w:p>
        </w:tc>
        <w:tc>
          <w:tcPr>
            <w:shd w:val="clear" w:color="auto" w:fill="F2F2F2"/>
          </w:tcPr>
          <w:tcPr/>
          <w:p>
            <w:pPr>
              <w:pStyle w:val="Compact"/>
            </w:pPr>
            <w:r>
              <w:t xml:space="preserve">MPP IT / Ben (rollout)</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Not blocking until reopened.</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UJ-03</w:t>
            </w:r>
          </w:p>
        </w:tc>
        <w:tc>
          <w:tcPr>
            <w:shd w:val="clear" w:color="auto" w:fill="F2F2F2"/>
          </w:tcPr>
          <w:tcPr/>
          <w:p>
            <w:pPr>
              <w:pStyle w:val="Compact"/>
            </w:pPr>
            <w:r>
              <w:t xml:space="preserve">5.4</w:t>
            </w:r>
          </w:p>
        </w:tc>
        <w:tc>
          <w:tcPr>
            <w:shd w:val="clear" w:color="auto" w:fill="F2F2F2"/>
          </w:tcPr>
          <w:tcPr/>
          <w:p>
            <w:pPr>
              <w:pStyle w:val="Compact"/>
            </w:pPr>
            <w:r>
              <w:t xml:space="preserve">Sub-LOT split trigger — auto-prompt 50/50 vs operator-triggered vs per-Item conditional. Recommended Option A (auto-prompt, current FDS-05-009 design).</w:t>
            </w:r>
          </w:p>
        </w:tc>
        <w:tc>
          <w:tcPr>
            <w:shd w:val="clear" w:color="auto" w:fill="F2F2F2"/>
          </w:tcPr>
          <w:tcPr/>
          <w:p>
            <w:pPr>
              <w:pStyle w:val="Compact"/>
            </w:pPr>
            <w:r>
              <w:t xml:space="preserve">MEDIUM</w:t>
            </w:r>
          </w:p>
        </w:tc>
        <w:tc>
          <w:tcPr>
            <w:shd w:val="clear" w:color="auto" w:fill="F2F2F2"/>
          </w:tcPr>
          <w:tcPr/>
          <w:p>
            <w:pPr>
              <w:pStyle w:val="Compact"/>
            </w:pPr>
            <w:r>
              <w:t xml:space="preserve">Ben</w:t>
            </w:r>
          </w:p>
        </w:tc>
      </w:tr>
      <w:tr>
        <w:tc>
          <w:tcPr/>
          <w:p>
            <w:pPr>
              <w:pStyle w:val="Compact"/>
            </w:pPr>
            <w:r>
              <w:rPr>
                <w:b/>
                <w:bCs/>
              </w:rPr>
              <w:t xml:space="preserve">UJ-05</w:t>
            </w:r>
          </w:p>
        </w:tc>
        <w:tc>
          <w:tcPr/>
          <w:p>
            <w:pPr>
              <w:pStyle w:val="Compact"/>
            </w:pPr>
            <w:r>
              <w:t xml:space="preserve">7.7</w:t>
            </w:r>
          </w:p>
        </w:tc>
        <w:tc>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p>
            <w:pPr>
              <w:pStyle w:val="Compact"/>
            </w:pPr>
            <w:r>
              <w:t xml:space="preserve">MEDIUM</w:t>
            </w:r>
          </w:p>
        </w:tc>
        <w:tc>
          <w:tcPr/>
          <w:p>
            <w:pPr>
              <w:pStyle w:val="Compact"/>
            </w:pPr>
            <w:r>
              <w:t xml:space="preserve">MPP Quality / Honda</w:t>
            </w:r>
          </w:p>
        </w:tc>
      </w:tr>
      <w:tr>
        <w:tc>
          <w:tcPr>
            <w:shd w:val="clear" w:color="auto" w:fill="F2F2F2"/>
          </w:tcPr>
          <w:tcPr/>
          <w:p>
            <w:pPr>
              <w:pStyle w:val="Compact"/>
            </w:pPr>
            <w:r>
              <w:rPr>
                <w:b/>
                <w:bCs/>
              </w:rPr>
              <w:t xml:space="preserve">OI-25</w:t>
            </w:r>
          </w:p>
        </w:tc>
        <w:tc>
          <w:tcPr>
            <w:shd w:val="clear" w:color="auto" w:fill="F2F2F2"/>
          </w:tcPr>
          <w:tcPr/>
          <w:p>
            <w:pPr>
              <w:pStyle w:val="Compact"/>
            </w:pPr>
            <w:r>
              <w:t xml:space="preserve">(out-of-MVP)</w:t>
            </w:r>
          </w:p>
        </w:tc>
        <w:tc>
          <w:tcPr>
            <w:shd w:val="clear" w:color="auto" w:fill="F2F2F2"/>
          </w:tcPr>
          <w:tcPr/>
          <w:p>
            <w:pPr>
              <w:pStyle w:val="Compact"/>
            </w:pPr>
            <w:r>
              <w:t xml:space="preserve">Legacy</w:t>
            </w:r>
            <w:r>
              <w:t xml:space="preserve"> </w:t>
            </w:r>
            <w:r>
              <w:t xml:space="preserve">“Notifications”</w:t>
            </w:r>
            <w:r>
              <w:t xml:space="preserve"> </w:t>
            </w:r>
            <w:r>
              <w:t xml:space="preserve">Configuration module (email / alert rules) — confirm out-of-MVP and not a regression.</w:t>
            </w:r>
          </w:p>
        </w:tc>
        <w:tc>
          <w:tcPr>
            <w:shd w:val="clear" w:color="auto" w:fill="F2F2F2"/>
          </w:tcPr>
          <w:tcPr/>
          <w:p>
            <w:pPr>
              <w:pStyle w:val="Compact"/>
            </w:pPr>
            <w:r>
              <w:t xml:space="preserve">LOW</w:t>
            </w:r>
          </w:p>
        </w:tc>
        <w:tc>
          <w:tcPr>
            <w:shd w:val="clear" w:color="auto" w:fill="F2F2F2"/>
          </w:tcPr>
          <w:tcPr/>
          <w:p>
            <w:pPr>
              <w:pStyle w:val="Compact"/>
            </w:pPr>
            <w:r>
              <w:t xml:space="preserve">MPP Operations</w:t>
            </w:r>
          </w:p>
        </w:tc>
      </w:tr>
      <w:tr>
        <w:tc>
          <w:tcPr/>
          <w:p>
            <w:pPr>
              <w:pStyle w:val="Compact"/>
            </w:pPr>
            <w:r>
              <w:rPr>
                <w:b/>
                <w:bCs/>
              </w:rPr>
              <w:t xml:space="preserve">OI-27</w:t>
            </w:r>
          </w:p>
        </w:tc>
        <w:tc>
          <w:tcPr/>
          <w:p>
            <w:pPr>
              <w:pStyle w:val="Compact"/>
            </w:pPr>
            <w:r>
              <w:t xml:space="preserve">3</w:t>
            </w:r>
          </w:p>
        </w:tc>
        <w:tc>
          <w:tcPr/>
          <w:p>
            <w:pPr>
              <w:pStyle w:val="Compact"/>
            </w:pPr>
            <w:r>
              <w:t xml:space="preserve">Legacy Material</w:t>
            </w:r>
            <w:r>
              <w:t xml:space="preserve"> </w:t>
            </w:r>
            <w:r>
              <w:rPr>
                <w:i/>
                <w:iCs/>
              </w:rPr>
              <w:t xml:space="preserve">“Supply part”</w:t>
            </w:r>
            <w:r>
              <w:t xml:space="preserve"> </w:t>
            </w:r>
            <w:r>
              <w:t xml:space="preserve">BIT flag — purpose unclear. Confirm whether it drives any workflow; if so, add</w:t>
            </w:r>
            <w:r>
              <w:t xml:space="preserve"> </w:t>
            </w:r>
            <w:r>
              <w:rPr>
                <w:rStyle w:val="VerbatimChar"/>
              </w:rPr>
              <w:t xml:space="preserve">IsSupplyPart</w:t>
            </w:r>
            <w:r>
              <w:t xml:space="preserve"> </w:t>
            </w:r>
            <w:r>
              <w:t xml:space="preserve">to</w:t>
            </w:r>
            <w:r>
              <w:t xml:space="preserve"> </w:t>
            </w:r>
            <w:r>
              <w:rPr>
                <w:rStyle w:val="VerbatimChar"/>
              </w:rPr>
              <w:t xml:space="preserve">Parts.Item</w:t>
            </w:r>
            <w:r>
              <w:t xml:space="preserve">.</w:t>
            </w:r>
          </w:p>
        </w:tc>
        <w:tc>
          <w:tcPr/>
          <w:p>
            <w:pPr>
              <w:pStyle w:val="Compact"/>
            </w:pPr>
            <w:r>
              <w:t xml:space="preserve">LOW</w:t>
            </w:r>
          </w:p>
        </w:tc>
        <w:tc>
          <w:tcPr/>
          <w:p>
            <w:pPr>
              <w:pStyle w:val="Compact"/>
            </w:pPr>
            <w:r>
              <w:t xml:space="preserve">MPP Engineering</w:t>
            </w:r>
          </w:p>
        </w:tc>
      </w:tr>
      <w:tr>
        <w:tc>
          <w:tcPr>
            <w:shd w:val="clear" w:color="auto" w:fill="F2F2F2"/>
          </w:tcPr>
          <w:tcPr/>
          <w:p>
            <w:pPr>
              <w:pStyle w:val="Compact"/>
            </w:pPr>
            <w:r>
              <w:rPr>
                <w:b/>
                <w:bCs/>
              </w:rPr>
              <w:t xml:space="preserve">OI-29</w:t>
            </w:r>
          </w:p>
        </w:tc>
        <w:tc>
          <w:tcPr>
            <w:shd w:val="clear" w:color="auto" w:fill="F2F2F2"/>
          </w:tcPr>
          <w:tcPr/>
          <w:p>
            <w:pPr>
              <w:pStyle w:val="Compact"/>
            </w:pPr>
            <w:r>
              <w:t xml:space="preserve">2</w:t>
            </w:r>
          </w:p>
        </w:tc>
        <w:tc>
          <w:tcPr>
            <w:shd w:val="clear" w:color="auto" w:fill="F2F2F2"/>
          </w:tcPr>
          <w:tcPr/>
          <w:p>
            <w:pPr>
              <w:pStyle w:val="Compact"/>
            </w:pPr>
            <w:r>
              <w:t xml:space="preserve">Legacy Workstation Category grouping orthogonal to Area / Line / Cell — UI navigation convenience? Our ISA-95 hierarchy may already cover; if not, add</w:t>
            </w:r>
            <w:r>
              <w:t xml:space="preserve"> </w:t>
            </w:r>
            <w:r>
              <w:rPr>
                <w:rStyle w:val="VerbatimChar"/>
              </w:rPr>
              <w:t xml:space="preserve">WorkstationCategory</w:t>
            </w:r>
            <w:r>
              <w:t xml:space="preserve"> </w:t>
            </w:r>
            <w:r>
              <w:t xml:space="preserve">LocationAttribute.</w:t>
            </w:r>
          </w:p>
        </w:tc>
        <w:tc>
          <w:tcPr>
            <w:shd w:val="clear" w:color="auto" w:fill="F2F2F2"/>
          </w:tcPr>
          <w:tcPr/>
          <w:p>
            <w:pPr>
              <w:pStyle w:val="Compact"/>
            </w:pPr>
            <w:r>
              <w:t xml:space="preserve">LOW</w:t>
            </w:r>
          </w:p>
        </w:tc>
        <w:tc>
          <w:tcPr>
            <w:shd w:val="clear" w:color="auto" w:fill="F2F2F2"/>
          </w:tcPr>
          <w:tcPr/>
          <w:p>
            <w:pPr>
              <w:pStyle w:val="Compact"/>
            </w:pPr>
            <w:r>
              <w:t xml:space="preserve">MPP Operations</w:t>
            </w:r>
          </w:p>
        </w:tc>
      </w:tr>
    </w:tbl>
    <w:bookmarkEnd w:id="368"/>
    <w:bookmarkEnd w:id="3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2026-04-30T11:52:56Z</dcterms:created>
  <dcterms:modified xsi:type="dcterms:W3CDTF">2026-04-30T11:52:56Z</dcterms:modified>
</cp:coreProperties>
</file>

<file path=docProps/custom.xml><?xml version="1.0" encoding="utf-8"?>
<Properties xmlns="http://schemas.openxmlformats.org/officeDocument/2006/custom-properties" xmlns:vt="http://schemas.openxmlformats.org/officeDocument/2006/docPropsVTypes"/>
</file>