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Arc</w:t>
            </w:r>
          </w:p>
        </w:tc>
        <w:tc>
          <w:tcPr>
            <w:shd w:val="clear" w:color="auto" w:fill="1F4E79"/>
          </w:tcPr>
          <w:tcPr/>
          <w:p>
            <w:pPr>
              <w:pStyle w:val="Compact"/>
            </w:pPr>
            <w:r>
              <w:rPr>
                <w:b/>
                <w:color w:val="FFFFFF"/>
              </w:rPr>
              <w:t xml:space="preserve">Who</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shd w:val="clear" w:color="auto" w:fill="F2F2F2"/>
          </w:tcPr>
          <w:tcPr/>
          <w:p>
            <w:pPr>
              <w:pStyle w:val="Compact"/>
            </w:pPr>
            <w:r>
              <w:rPr>
                <w:b/>
                <w:bCs/>
              </w:rPr>
              <w:t xml:space="preserve">Plant Floor MES</w:t>
            </w:r>
          </w:p>
        </w:tc>
        <w:tc>
          <w:tcPr>
            <w:shd w:val="clear" w:color="auto" w:fill="F2F2F2"/>
          </w:tcPr>
          <w:tcPr/>
          <w:p>
            <w:pPr>
              <w:pStyle w:val="Compact"/>
            </w:pPr>
            <w:r>
              <w:t xml:space="preserve">Operators, supervisors, quality, shipping</w:t>
            </w:r>
          </w:p>
        </w:tc>
        <w:tc>
          <w:tcPr>
            <w:shd w:val="clear" w:color="auto" w:fill="F2F2F2"/>
          </w:tcPr>
          <w:tcPr/>
          <w:p>
            <w:pPr>
              <w:pStyle w:val="Compact"/>
            </w:pPr>
            <w:r>
              <w:t xml:space="preserve">Every shift, all day</w:t>
            </w:r>
          </w:p>
        </w:tc>
        <w:tc>
          <w:tcPr>
            <w:shd w:val="clear" w:color="auto" w:fill="F2F2F2"/>
          </w:tcPr>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16"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11" w:name="building-the-plant"/>
    <w:p>
      <w:pPr>
        <w:pStyle w:val="Heading3"/>
      </w:pPr>
      <w:r>
        <w:t xml:space="preserve">Building the Plant</w:t>
      </w:r>
    </w:p>
    <w:p>
      <w:pPr>
        <w:pStyle w:val="FirstParagraph"/>
      </w:pPr>
      <w:r>
        <w:t xml:space="preserve">The engineer’s first job is the plant model. They open the Location Management screen and start building the hierarchy from the top down. Madison Precision Products is the Site. Under it, they create Areas — maybe the physical buildings or wings. These are the Areas: Die Cast, Trim Shop, Machine Shop, Production Control. Under areas, Lines. Under lines, individual Machines — all ~230 of them. Each one is just a row in the same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w:t>
      </w:r>
      <w:r>
        <w:t xml:space="preserve">.</w:t>
      </w:r>
    </w:p>
    <w:p>
      <w:pPr>
        <w:pStyle w:val="BodyText"/>
      </w:pPr>
      <w:r>
        <w:t xml:space="preserve">As they create each machine, the system shows them the attribute definitions for that location type. A Die Cast machine might need</w:t>
      </w:r>
      <w:r>
        <w:t xml:space="preserve"> </w:t>
      </w:r>
      <w:r>
        <w:rPr>
          <w:rStyle w:val="VerbatimChar"/>
        </w:rPr>
        <w:t xml:space="preserve">Tonnage</w:t>
      </w:r>
      <w:r>
        <w:t xml:space="preserve">,</w:t>
      </w:r>
      <w:r>
        <w:t xml:space="preserve"> </w:t>
      </w:r>
      <w:r>
        <w:rPr>
          <w:rStyle w:val="VerbatimChar"/>
        </w:rPr>
        <w:t xml:space="preserve">RefCycleTimeSec</w:t>
      </w:r>
      <w:r>
        <w:t xml:space="preserve">, and</w:t>
      </w:r>
      <w:r>
        <w:t xml:space="preserve"> </w:t>
      </w:r>
      <w:r>
        <w:rPr>
          <w:rStyle w:val="VerbatimChar"/>
        </w:rPr>
        <w:t xml:space="preserve">NumberOfCavities</w:t>
      </w:r>
      <w:r>
        <w:t xml:space="preserve">. A machining center might need</w:t>
      </w:r>
      <w:r>
        <w:t xml:space="preserve"> </w:t>
      </w:r>
      <w:r>
        <w:rPr>
          <w:rStyle w:val="VerbatimChar"/>
        </w:rPr>
        <w:t xml:space="preserve">SpindleCount</w:t>
      </w:r>
      <w:r>
        <w:t xml:space="preserve"> </w:t>
      </w:r>
      <w:r>
        <w:t xml:space="preserve">and</w:t>
      </w:r>
      <w:r>
        <w:t xml:space="preserve"> </w:t>
      </w:r>
      <w:r>
        <w:rPr>
          <w:rStyle w:val="VerbatimChar"/>
        </w:rPr>
        <w:t xml:space="preserve">CoolantType</w:t>
      </w:r>
      <w:r>
        <w:t xml:space="preserve">. These attribute definitions were themselves configured earlier — someone decided what metadata each type of location carries. The engineer fills in the values. They also create the logical locations: Receiving Dock, Shipping Dock, WIP Storage, Sort Cage. 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11"/>
    <w:bookmarkStart w:id="12" w:name="defining-what-we-make"/>
    <w:p>
      <w:pPr>
        <w:pStyle w:val="Heading3"/>
      </w:pPr>
      <w:r>
        <w:t xml:space="preserve">Defining What We Make</w:t>
      </w:r>
    </w:p>
    <w:p>
      <w:pPr>
        <w:pStyle w:val="FirstParagraph"/>
      </w:pPr>
      <w:r>
        <w:t xml:space="preserve">Next, the item master. The engineer creates items — each one a part number that MPP either manufactures or receives from a vendor. They classify each item: Raw Material, Component, Sub-Assembly, Finished Good, Pass-Through. They set the Macola ERP cross-reference number for each part so the two systems can talk when that integration goes live. They set the default sub-lot quantity — how many pieces go into each sub-LOT when a parent LOT is split after machining. They set the max lot size for reasonability checks.</w:t>
      </w:r>
    </w:p>
    <w:p>
      <w:pPr>
        <w:pStyle w:val="BodyText"/>
      </w:pPr>
      <w:r>
        <w:t xml:space="preserve">For each finished good that ships to Honda, they create a container configuration. The 5G0 Front Cover, for example, ships in containers with 4 trays, 12 parts per tray, serialized, with dunnage code RD-5G0F. The RPY Cam Holder ships 6 trays, 24 per tray, not serialized. These configs drive the container lifecycle on the floor — the MES knows when a container is full.</w:t>
      </w:r>
    </w:p>
    <w:bookmarkEnd w:id="12"/>
    <w:bookmarkStart w:id="13" w:name="defining-how-we-make-it"/>
    <w:p>
      <w:pPr>
        <w:pStyle w:val="Heading3"/>
      </w:pPr>
      <w:r>
        <w:t xml:space="preserve">Defining How We Make It</w:t>
      </w:r>
    </w:p>
    <w:p>
      <w:pPr>
        <w:pStyle w:val="FirstParagraph"/>
      </w:pPr>
      <w:r>
        <w:t xml:space="preserve">Now routes. The engineer creates a route template for each item — the ordered sequence of operations it passes through. The 5G0 Front Cover route might be: Die Cast → Trim → Machine (CNC) → Assembly Front → Pack &amp; Ship. Each step in the route points to an operation template — a reusable definition of what data to collect at that type of operation. The Die Cast operation template says: collect die info, collect cavity info, collect weight, collect good count, collect bad count. The Assembly operation template says: requires serial number, requires material verification, collects good count. These flags drive the UI — the shop floor screen at an assembly station looks different from the one at a die cast press because the operation template tells it what fields to show.</w:t>
      </w:r>
    </w:p>
    <w:p>
      <w:pPr>
        <w:pStyle w:val="BodyText"/>
      </w:pPr>
      <w:r>
        <w:t xml:space="preserve">The engineer also creates the part-to-location eligibility map. Not every machine can run every part. The 5G0 can run on Die Cast machines 3, 7, and 12, but not on machine 15 (wrong tonnage). This map is what lets the MES validate that when an operator starts producing 5G0 parts on machine 7, that’s a legal combination.</w:t>
      </w:r>
    </w:p>
    <w:p>
      <w:pPr>
        <w:pStyle w:val="BodyText"/>
      </w:pPr>
      <w:r>
        <w:t xml:space="preserve">For assembled products with BOMs, the engineer creates versioned bills of material. The 5G0 Front Cover Assembly consumes one 5G0 casting and two PNA mounting pins. Version 1 of the BOM is effective from January 2026. If engineering changes the design in March, they create version 2 — but every production record from January still points to version 1.</w:t>
      </w:r>
    </w:p>
    <w:bookmarkEnd w:id="13"/>
    <w:bookmarkStart w:id="14" w:name="defining-quality-standards"/>
    <w:p>
      <w:pPr>
        <w:pStyle w:val="Heading3"/>
      </w:pPr>
      <w:r>
        <w:t xml:space="preserve">Defining Quality Standards</w:t>
      </w:r>
    </w:p>
    <w:p>
      <w:pPr>
        <w:pStyle w:val="FirstParagraph"/>
      </w:pPr>
      <w:r>
        <w:t xml:space="preserve">The engineer creates quality specs — also versioned. For the 5G0 Front Cover, the spec says: measure surface flatness (target 0.002”, lower limit 0.001”, upper limit 0.003”), check bore diameter (target 25.40mm ± 0.02mm), visual inspection for porosity (pass/fail). Each attribute has its data type, UOM, target, and limits. When an inspector on the floor takes a sample, the screen they see is generated from this spec — the system knows what to ask for because the engineer defined it here.</w:t>
      </w:r>
    </w:p>
    <w:p>
      <w:pPr>
        <w:pStyle w:val="BodyText"/>
      </w:pPr>
      <w:r>
        <w:t xml:space="preserve">They also load the defect codes — approximately 145 of them, organized by department. Die Cast gets codes for porosity (135), cold shut, flash, misrun. Machine Shop gets codes for out-of-tolerance (122</w:t>
      </w:r>
      <w:r>
        <w:t xml:space="preserve"> </w:t>
      </w:r>
      <w:r>
        <w:t xml:space="preserve">“Dimensional”</w:t>
      </w:r>
      <w:r>
        <w:t xml:space="preserve">), tool marks (154), surface finish (143). There are also codes for Trim Shop, Production Control, Quality Control, and a High Speed Supplier Parts (HSP) department for vendor-part defects (codes 247–253). Each code carries an</w:t>
      </w:r>
      <w:r>
        <w:t xml:space="preserve"> </w:t>
      </w:r>
      <w:r>
        <w:rPr>
          <w:rStyle w:val="VerbatimChar"/>
        </w:rPr>
        <w:t xml:space="preserve">IsExcused</w:t>
      </w:r>
      <w:r>
        <w:t xml:space="preserve"> </w:t>
      </w:r>
      <w:r>
        <w:t xml:space="preserve">flag for future OEE quality calculations.</w:t>
      </w:r>
    </w:p>
    <w:bookmarkEnd w:id="14"/>
    <w:bookmarkStart w:id="15" w:name="defining-downtime-vocabulary"/>
    <w:p>
      <w:pPr>
        <w:pStyle w:val="Heading3"/>
      </w:pPr>
      <w:r>
        <w:t xml:space="preserve">Defining Downtime Vocabulary</w:t>
      </w:r>
    </w:p>
    <w:p>
      <w:pPr>
        <w:pStyle w:val="FirstParagraph"/>
      </w:pPr>
      <w:r>
        <w:t xml:space="preserve">Finally, the ~660 downtime reason codes. Equipment failure on the 400-ton press. Mold change on die #7. Quality hold on line 3. Scheduled maintenance. Each code belongs to a department and a type (Equipment, Mold, Quality, Setup, Miscellaneous, Unscheduled), and carries an</w:t>
      </w:r>
      <w:r>
        <w:t xml:space="preserve"> </w:t>
      </w:r>
      <w:r>
        <w:rPr>
          <w:rStyle w:val="VerbatimChar"/>
        </w:rPr>
        <w:t xml:space="preserve">IsExcused</w:t>
      </w:r>
      <w:r>
        <w:t xml:space="preserve"> </w:t>
      </w:r>
      <w:r>
        <w:t xml:space="preserve">flag. Shift schedules get defined here too — first shift 6am–2pm Monday through Friday, second shift 2pm–10pm, weekend overtime pattern.</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r>
        <w:pict>
          <v:rect style="width:0;height:1.5pt" o:hralign="center" o:hrstd="t" o:hr="t"/>
        </w:pict>
      </w:r>
    </w:p>
    <w:bookmarkEnd w:id="15"/>
    <w:bookmarkEnd w:id="16"/>
    <w:bookmarkStart w:id="26"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bookmarkStart w:id="17" w:name="am-die-cast-a-lot-is-born"/>
    <w:p>
      <w:pPr>
        <w:pStyle w:val="Heading3"/>
      </w:pPr>
      <w:r>
        <w:t xml:space="preserve">6:20am — Die Cast: A LOT Is Born</w:t>
      </w:r>
    </w:p>
    <w:p>
      <w:pPr>
        <w:pStyle w:val="FirstParagraph"/>
      </w:pPr>
      <w:r>
        <w:t xml:space="preserve">Carlos is running die cast machine #7 today. He’s making 5G0 Front Covers — die #42, cavity B. The furnace is hot, the die is locked, and the first shot cycle completes. The casting drops into the trim press, gets trimmed, and falls into the basket beside his station.</w:t>
      </w:r>
    </w:p>
    <w:p>
      <w:pPr>
        <w:pStyle w:val="BodyText"/>
      </w:pPr>
      <w:r>
        <w:t xml:space="preserve">Carlos has a stack of pre-printed LOT Tracking Tickets — barcoded labels, each with a unique LOT ID (MPP pre-prints these in batches per FRS 2.2.1). He peels one off — LOT</w:t>
      </w:r>
      <w:r>
        <w:t xml:space="preserve"> </w:t>
      </w:r>
      <w:r>
        <w:rPr>
          <w:rStyle w:val="VerbatimChar"/>
        </w:rPr>
        <w:t xml:space="preserve">2026-04-06-0001</w:t>
      </w:r>
      <w:r>
        <w:t xml:space="preserve"> </w:t>
      </w:r>
      <w:r>
        <w:t xml:space="preserve">— and sticks it on the basket. He turns to the Ignition terminal next to his machine, scans the LTT barcode, and the MES opens the LOT creation screen. The terminal knows he’s Carlos (he badged in with his clock number and PIN at shift start), but he must manually enter the production data: Part Number 5G0, Die #42, Cavity B, and the piece count — 48 parts in this basket (per FRS 2.2.2:</w:t>
      </w:r>
      <w:r>
        <w:t xml:space="preserve"> </w:t>
      </w:r>
      <w:r>
        <w:t xml:space="preserve">“operators manually key that data into the MES”</w:t>
      </w:r>
      <w:r>
        <w:t xml:space="preserve">). The MES validates: is 48 ≤ max lot size for 5G0? Yes. Is 5G0 eligible to run on machine #7? Yes.</w:t>
      </w:r>
    </w:p>
    <w:p>
      <w:pPr>
        <w:pStyle w:val="BodyText"/>
      </w:pPr>
      <w:r>
        <w:t xml:space="preserve">He also enters shot counts — total shots, good shots, and warm-up shots. The paper production sheets (DCFM-1589/1785/2003) track warm-up shots separately from production shots because they affect yield calculations but aren’t part of the good count. The MES captures all three.</w:t>
      </w:r>
    </w:p>
    <w:p>
      <w:pPr>
        <w:pStyle w:val="BodyText"/>
      </w:pPr>
      <w:r>
        <w:t xml:space="preserve">The system creates the LOT. Origin type: MANUFACTURED. Status: GOOD. Location: Die Cast Machine #7. It writes a</w:t>
      </w:r>
      <w:r>
        <w:t xml:space="preserve"> </w:t>
      </w:r>
      <w:r>
        <w:rPr>
          <w:rStyle w:val="VerbatimChar"/>
        </w:rPr>
        <w:t xml:space="preserve">ProductionEvent</w:t>
      </w:r>
      <w:r>
        <w:t xml:space="preserve"> </w:t>
      </w:r>
      <w:r>
        <w:t xml:space="preserve">— 48 good, 0 no-good. It fires the Zebra printer and the LTT label comes out with the barcode, part number, quantity, date, die, cavity. The</w:t>
      </w:r>
      <w:r>
        <w:t xml:space="preserve"> </w:t>
      </w:r>
      <w:r>
        <w:rPr>
          <w:rStyle w:val="VerbatimChar"/>
        </w:rPr>
        <w:t xml:space="preserve">LotLabel</w:t>
      </w:r>
      <w:r>
        <w:t xml:space="preserve"> </w:t>
      </w:r>
      <w:r>
        <w:t xml:space="preserve">table records this print. The</w:t>
      </w:r>
      <w:r>
        <w:t xml:space="preserve"> </w:t>
      </w:r>
      <w:r>
        <w:rPr>
          <w:rStyle w:val="VerbatimChar"/>
        </w:rPr>
        <w:t xml:space="preserve">OperationLog</w:t>
      </w:r>
      <w:r>
        <w:t xml:space="preserve"> </w:t>
      </w:r>
      <w:r>
        <w:t xml:space="preserve">records everything Carlos just did.</w:t>
      </w:r>
    </w:p>
    <w:p>
      <w:pPr>
        <w:pStyle w:val="BodyText"/>
      </w:pPr>
      <w:r>
        <w:t xml:space="preserve">Carlos had 3 no-good parts from an earlier shot — porosity. He enters the reject count and selects defect code DC-POR-01 (Die Cast Porosity), quantity 3. A</w:t>
      </w:r>
      <w:r>
        <w:t xml:space="preserve"> </w:t>
      </w:r>
      <w:r>
        <w:rPr>
          <w:rStyle w:val="VerbatimChar"/>
        </w:rPr>
        <w:t xml:space="preserve">RejectEvent</w:t>
      </w:r>
      <w:r>
        <w:t xml:space="preserve"> </w:t>
      </w:r>
      <w:r>
        <w:t xml:space="preserve">is written. Per FRS Section 4, reject/scrap data is retained for analysis but is not considered part of the permanent production record in the same way good counts are — MPP may elect not to record rejects at every manufacturing step, and the MES allows but does not require reject entry at each operation. The LOT’s piece count doesn’t change — the rejects were never in the basket.</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(with adjustments for lunch, breaks, and overtime). The new MES captures discrete start/end events, which is a more granular model — the cumulative shift total is derived from the events rather than entered directly.</w:t>
      </w:r>
    </w:p>
    <w:bookmarkEnd w:id="17"/>
    <w:bookmarkStart w:id="18" w:name="am-trim-shop-lot-moves-through-the-plant"/>
    <w:p>
      <w:pPr>
        <w:pStyle w:val="Heading3"/>
      </w:pPr>
      <w:r>
        <w:t xml:space="preserve">8:30am — Trim Shop: LOT Moves Through the Plant</w:t>
      </w:r>
    </w:p>
    <w:p>
      <w:pPr>
        <w:pStyle w:val="FirstParagraph"/>
      </w:pPr>
      <w:r>
        <w:t xml:space="preserve">The basket with LOT</w:t>
      </w:r>
      <w:r>
        <w:t xml:space="preserve"> </w:t>
      </w:r>
      <w:r>
        <w:rPr>
          <w:rStyle w:val="VerbatimChar"/>
        </w:rPr>
        <w:t xml:space="preserve">2026-04-06-0001</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Another</w:t>
      </w:r>
      <w:r>
        <w:t xml:space="preserve"> </w:t>
      </w:r>
      <w:r>
        <w:rPr>
          <w:rStyle w:val="VerbatimChar"/>
        </w:rPr>
        <w:t xml:space="preserve">ProductionEvent</w:t>
      </w:r>
      <w:r>
        <w:t xml:space="preserve"> </w:t>
      </w:r>
      <w:r>
        <w:t xml:space="preserve">records the Trim operation completion.</w:t>
      </w:r>
    </w:p>
    <w:bookmarkEnd w:id="18"/>
    <w:bookmarkStart w:id="19" w:name="am-machining-the-lot-splits"/>
    <w:p>
      <w:pPr>
        <w:pStyle w:val="Heading3"/>
      </w:pPr>
      <w:r>
        <w:t xml:space="preserve">10:00am — Machining: The LOT Splits</w:t>
      </w:r>
    </w:p>
    <w:p>
      <w:pPr>
        <w:pStyle w:val="FirstParagraph"/>
      </w:pPr>
      <w:r>
        <w:t xml:space="preserve">The basket arrives at the Machine Shop and enters the FIFO queue — LOTs are processed first-in-first-out, though the operator can override the order if production needs require it (per FRS 2.2.4).</w:t>
      </w:r>
    </w:p>
    <w:p>
      <w:pPr>
        <w:pStyle w:val="BodyText"/>
      </w:pPr>
      <w:r>
        <w:t xml:space="preserve">The machining operator uses the</w:t>
      </w:r>
      <w:r>
        <w:t xml:space="preserve"> </w:t>
      </w:r>
      <w:r>
        <w:rPr>
          <w:b/>
          <w:bCs/>
        </w:rPr>
        <w:t xml:space="preserve">Machining IN</w:t>
      </w:r>
      <w:r>
        <w:t xml:space="preserve"> </w:t>
      </w:r>
      <w:r>
        <w:t xml:space="preserve">screen to scan the parent LOT and receive it into the machine. But CNC machining runs in smaller batches — the default sub-lot quantity for 5G0 is 24. At the</w:t>
      </w:r>
      <w:r>
        <w:t xml:space="preserve"> </w:t>
      </w:r>
      <w:r>
        <w:rPr>
          <w:b/>
          <w:bCs/>
        </w:rPr>
        <w:t xml:space="preserve">Machining OUT</w:t>
      </w:r>
      <w:r>
        <w:t xml:space="preserve"> </w:t>
      </w:r>
      <w:r>
        <w:t xml:space="preserve">screen (per FRS 2.2.5), the operator initiates a split. The MES creates two child LOTs:</w:t>
      </w:r>
      <w:r>
        <w:t xml:space="preserve"> </w:t>
      </w:r>
      <w:r>
        <w:rPr>
          <w:rStyle w:val="VerbatimChar"/>
        </w:rPr>
        <w:t xml:space="preserve">2026-04-06-0001-A</w:t>
      </w:r>
      <w:r>
        <w:t xml:space="preserve"> </w:t>
      </w:r>
      <w:r>
        <w:t xml:space="preserve">(24 pieces) and</w:t>
      </w:r>
      <w:r>
        <w:t xml:space="preserve"> </w:t>
      </w:r>
      <w:r>
        <w:rPr>
          <w:rStyle w:val="VerbatimChar"/>
        </w:rPr>
        <w:t xml:space="preserve">2026-04-06-0001-B</w:t>
      </w:r>
      <w:r>
        <w:t xml:space="preserve"> </w:t>
      </w:r>
      <w:r>
        <w:t xml:space="preserve">(24 pieces). The parent LOT’s piece count drops to 0, status goes to CLOSED. Two new LTT labels print — one for each sub-LOT basket. The</w:t>
      </w:r>
      <w:r>
        <w:t xml:space="preserve"> </w:t>
      </w:r>
      <w:r>
        <w:rPr>
          <w:rStyle w:val="VerbatimChar"/>
        </w:rPr>
        <w:t xml:space="preserve">LotGenealogy</w:t>
      </w:r>
      <w:r>
        <w:t xml:space="preserve"> </w:t>
      </w:r>
      <w:r>
        <w:t xml:space="preserve">table records both SPLIT relationships, permanently linking children to parent.</w:t>
      </w:r>
    </w:p>
    <w:p>
      <w:pPr>
        <w:pStyle w:val="BodyText"/>
      </w:pPr>
      <w:r>
        <w:t xml:space="preserve">Each sub-LOT now has its own journey. Sub-LOT A goes to CNC machine 12. The operator loads the parts, the machine runs, 23 come out good, 1 is out-of-tolerance. Production event: 23 good, 1 no-good. Reject event: code MS-OOT-01, quantity 1. Sub-LOT A now has 23 pieces.</w:t>
      </w:r>
    </w:p>
    <w:bookmarkEnd w:id="19"/>
    <w:bookmarkStart w:id="20"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2026-04-06-0001</w:t>
      </w:r>
      <w:r>
        <w:t xml:space="preserve"> </w:t>
      </w:r>
      <w:r>
        <w:t xml:space="preserve">→ Die Cast Machine #7, Die #42, Cavity B,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 When the container hits 48 parts (4 trays x 12 parts), the MES closes the container and calls AIM — Honda’s EDI system — to get a shipping ID.</w:t>
      </w:r>
      <w:r>
        <w:t xml:space="preserve"> </w:t>
      </w:r>
      <w:r>
        <w:rPr>
          <w:rStyle w:val="VerbatimChar"/>
        </w:rPr>
        <w:t xml:space="preserve">GetNextNumber</w:t>
      </w:r>
      <w:r>
        <w:t xml:space="preserve"> </w:t>
      </w:r>
      <w:r>
        <w:t xml:space="preserve">returns shipper ID</w:t>
      </w:r>
      <w:r>
        <w:t xml:space="preserve"> </w:t>
      </w:r>
      <w:r>
        <w:rPr>
          <w:rStyle w:val="VerbatimChar"/>
        </w:rPr>
        <w:t xml:space="preserve">SH-240406-0089</w:t>
      </w:r>
      <w:r>
        <w:t xml:space="preserve">.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a simpler validation model — OPC tags show</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rather than individual serial numbers (per Appendix C OPC tags for MicroLogix1400 PLCs). On these lines, the operator identifies the source LOT(s), enters a good count, and the MES fills containers by count rather than part-by-part. Some inspection lines also use weight-based container closure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rather than piece count.</w:t>
      </w:r>
    </w:p>
    <w:bookmarkEnd w:id="20"/>
    <w:bookmarkStart w:id="21"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 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21"/>
    <w:bookmarkStart w:id="22"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She queries the genealogy: find all LOTs where die=42, cavity=A, created between yesterday 2pm and 10pm.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FirstParagraph"/>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 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22"/>
    <w:bookmarkStart w:id="23"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23"/>
    <w:bookmarkStart w:id="24"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bookmarkEnd w:id="24"/>
    <w:bookmarkStart w:id="25" w:name="end-of-shift"/>
    <w:p>
      <w:pPr>
        <w:pStyle w:val="Heading3"/>
      </w:pPr>
      <w:r>
        <w:t xml:space="preserve">End of Shift</w:t>
      </w:r>
    </w:p>
    <w:p>
      <w:pPr>
        <w:pStyle w:val="FirstParagraph"/>
      </w:pPr>
      <w:r>
        <w:t xml:space="preserve">Second shift badges in. The shift boundary isn’t perfectly clean — the paper production sheets show operators adjusting base runtime for running through lunch (+30 min), breaks (+10 min), or overtime (+110 min for a 10-hour day). The MES captures this through the shift schedule and actual shift instances (</w:t>
      </w:r>
      <w:r>
        <w:rPr>
          <w:rStyle w:val="VerbatimChar"/>
        </w:rPr>
        <w:t xml:space="preserve">Shift.ActualStart</w:t>
      </w:r>
      <w:r>
        <w:t xml:space="preserve">,</w:t>
      </w:r>
      <w:r>
        <w:t xml:space="preserve"> </w:t>
      </w:r>
      <w:r>
        <w:rPr>
          <w:rStyle w:val="VerbatimChar"/>
        </w:rPr>
        <w:t xml:space="preserve">Shift.ActualEnd</w:t>
      </w:r>
      <w:r>
        <w:t xml:space="preserve">), but the micro-adjustments that affect downtime/runtime calculations need to be captured somewhere. The downtime events themselves sum to total downtime; available runtime is derived from the shift boundary minus downtime.</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25"/>
    <w:bookmarkEnd w:id="26"/>
    <w:bookmarkStart w:id="46"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27" w:name="X6a009e946b00d98ca99525ff57917526fe4984c"/>
    <w:p>
      <w:pPr>
        <w:pStyle w:val="Heading3"/>
      </w:pPr>
      <w:r>
        <w:t xml:space="preserve">1. Operator Authentication &amp; Session Model — 🔶 Pending Customer Validation</w:t>
      </w:r>
    </w:p>
    <w:p>
      <w:pPr>
        <w:pStyle w:val="FirstParagraph"/>
      </w:pPr>
      <w:r>
        <w:rPr>
          <w:b/>
          <w:bCs/>
        </w:rPr>
        <w:t xml:space="preserve">Assumption made:</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(2026-04-09):</w:t>
      </w:r>
      <w:r>
        <w:t xml:space="preserve"> </w:t>
      </w:r>
      <w:r>
        <w:t xml:space="preserve">Login on first action at terminal, 5-minute inactivity timeout with easy logout button for quick handoff at shared terminals. High-security actions (holds, releases, scrap) require re-authentication. Zone-based authentication requirements under investigation as an alternative.</w:t>
      </w:r>
      <w:r>
        <w:t xml:space="preserve"> </w:t>
      </w:r>
      <w:r>
        <w:rPr>
          <w:i/>
          <w:iCs/>
        </w:rPr>
        <w:t xml:space="preserve">Maps to OI-06.</w:t>
      </w:r>
    </w:p>
    <w:bookmarkEnd w:id="27"/>
    <w:bookmarkStart w:id="28" w:name="X8a97f2b45aacffcfde53291572bcd0cf661d011"/>
    <w:p>
      <w:pPr>
        <w:pStyle w:val="Heading3"/>
      </w:pPr>
      <w:r>
        <w:t xml:space="preserve">2. LOT Creation Flow at Die Cast — 🔶 Pending Customer Validation</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bookmarkEnd w:id="28"/>
    <w:bookmarkStart w:id="29"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(2026-04-09):</w:t>
      </w:r>
      <w:r>
        <w:t xml:space="preserve"> </w:t>
      </w:r>
      <w:r>
        <w:t xml:space="preserve">On arrival at machining, the system auto-splits the LOT evenly into 2 sublots with a confirmation dialog. Sublots are treated identically to lot splits in the data model (</w:t>
      </w:r>
      <w:r>
        <w:rPr>
          <w:rStyle w:val="VerbatimChar"/>
        </w:rPr>
        <w:t xml:space="preserve">LotGenealogy</w:t>
      </w:r>
      <w:r>
        <w:t xml:space="preserve"> </w:t>
      </w:r>
      <w:r>
        <w:t xml:space="preserve">with relationship_type = Split). Operator can adjust quantities or cancel the auto-split. Needs review with Ben.</w:t>
      </w:r>
    </w:p>
    <w:bookmarkEnd w:id="29"/>
    <w:bookmarkStart w:id="30" w:name="X8d9059566608ee12c9183bcb0fe5f5e27b15363"/>
    <w:p>
      <w:pPr>
        <w:pStyle w:val="Heading3"/>
      </w:pPr>
      <w:r>
        <w:t xml:space="preserve">4. Container Lifecycle on Non-Serialized Lines — ⬜ Open</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(2026-04-09):</w:t>
      </w:r>
      <w:r>
        <w:t xml:space="preserve"> </w:t>
      </w:r>
      <w:r>
        <w:t xml:space="preserve">Assumption is containers are auto-created on LOT arrival. AIM shipper ID requested at the last route step for the part, prior to LOT closure. Needs discussion with Ben.</w:t>
      </w:r>
      <w:r>
        <w:t xml:space="preserve"> </w:t>
      </w:r>
      <w:r>
        <w:rPr>
          <w:i/>
          <w:iCs/>
        </w:rPr>
        <w:t xml:space="preserve">Maps to OI-02.</w:t>
      </w:r>
    </w:p>
    <w:bookmarkEnd w:id="30"/>
    <w:bookmarkStart w:id="31"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31"/>
    <w:bookmarkStart w:id="32"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32"/>
    <w:bookmarkStart w:id="33" w:name="work-order-visibility-and-lifecycle-open"/>
    <w:p>
      <w:pPr>
        <w:pStyle w:val="Heading3"/>
      </w:pPr>
      <w:r>
        <w:t xml:space="preserve">7. Work Order Visibility and Lifecycle — ⬜ Open</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bookmarkEnd w:id="33"/>
    <w:bookmarkStart w:id="34" w:name="lot-merge-business-rules-open"/>
    <w:p>
      <w:pPr>
        <w:pStyle w:val="Heading3"/>
      </w:pPr>
      <w:r>
        <w:t xml:space="preserve">8. LOT Merge Business Rules — ⬜ Open</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bookmarkEnd w:id="34"/>
    <w:bookmarkStart w:id="35" w:name="Xaf546f60fbb4131369bf8f225358aae274b9155"/>
    <w:p>
      <w:pPr>
        <w:pStyle w:val="Heading3"/>
      </w:pPr>
      <w:r>
        <w:t xml:space="preserve">9. What</w:t>
      </w:r>
      <w:r>
        <w:t xml:space="preserve"> </w:t>
      </w:r>
      <w:r>
        <w:t xml:space="preserve">“Material Verification”</w:t>
      </w:r>
      <w:r>
        <w:t xml:space="preserve"> </w:t>
      </w:r>
      <w:r>
        <w:t xml:space="preserve">Means at Assembly — 🔶 Pending Customer Validation</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bookmarkEnd w:id="35"/>
    <w:bookmarkStart w:id="36" w:name="shift-boundary-handling-open"/>
    <w:p>
      <w:pPr>
        <w:pStyle w:val="Heading3"/>
      </w:pPr>
      <w:r>
        <w:t xml:space="preserve">10. Shift Boundary Handling — ⬜ Open</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bookmarkEnd w:id="36"/>
    <w:bookmarkStart w:id="37" w:name="paper-to-screen-transition-open"/>
    <w:p>
      <w:pPr>
        <w:pStyle w:val="Heading3"/>
      </w:pPr>
      <w:r>
        <w:t xml:space="preserve">11. Paper to Screen Transition — ⬜ Open</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bookmarkEnd w:id="37"/>
    <w:bookmarkStart w:id="38" w:name="Xe804a3ad95a44227a72a1c70b67b2009dab422f"/>
    <w:p>
      <w:pPr>
        <w:pStyle w:val="Heading3"/>
      </w:pPr>
      <w:r>
        <w:t xml:space="preserve">12. Terminal-to-Machine Mapping — 🔶 Pending Customer Validation</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w:t>
      </w:r>
      <w:r>
        <w:t xml:space="preserve"> </w:t>
      </w:r>
      <w:r>
        <w:t xml:space="preserve">Terminals are shared (fewer terminals than machines). Operator scans a machine barcode/QR code as the first step of any interaction. Terminals are now a location type in the plant hierarchy (</w:t>
      </w:r>
      <w:r>
        <w:rPr>
          <w:rStyle w:val="VerbatimChar"/>
        </w:rPr>
        <w:t xml:space="preserve">LocationType</w:t>
      </w:r>
      <w:r>
        <w:t xml:space="preserve"> </w:t>
      </w:r>
      <w:r>
        <w:t xml:space="preserve">= Terminal) with configuration stored as</w:t>
      </w:r>
      <w:r>
        <w:t xml:space="preserve"> </w:t>
      </w:r>
      <w:r>
        <w:rPr>
          <w:rStyle w:val="VerbatimChar"/>
        </w:rPr>
        <w:t xml:space="preserve">LocationAttribute</w:t>
      </w:r>
      <w:r>
        <w:t xml:space="preserve"> </w:t>
      </w:r>
      <w:r>
        <w:t xml:space="preserve">entries.</w:t>
      </w:r>
      <w:r>
        <w:t xml:space="preserve"> </w:t>
      </w:r>
      <w:r>
        <w:rPr>
          <w:i/>
          <w:iCs/>
        </w:rPr>
        <w:t xml:space="preserve">Maps to OI-08.</w:t>
      </w:r>
    </w:p>
    <w:bookmarkEnd w:id="38"/>
    <w:bookmarkStart w:id="39" w:name="X8e24df2bda92e5ad3fb585d738c7c6e20f422e8"/>
    <w:p>
      <w:pPr>
        <w:pStyle w:val="Heading3"/>
      </w:pPr>
      <w:r>
        <w:t xml:space="preserve">13. Weight vs. Count-Based Container Closure — ⬜ Open</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(2026-04-09):</w:t>
      </w:r>
      <w:r>
        <w:t xml:space="preserve"> </w:t>
      </w:r>
      <w:r>
        <w:t xml:space="preserve">Flagged for discussion with Ben. Non-serialized lines should receive scale feedback (per OI-02), but the full dual-closure logic (count vs. weight, per-product config) needs design review.</w:t>
      </w:r>
      <w:r>
        <w:t xml:space="preserve"> </w:t>
      </w:r>
      <w:r>
        <w:rPr>
          <w:i/>
          <w:iCs/>
        </w:rPr>
        <w:t xml:space="preserve">Maps to OI-02.</w:t>
      </w:r>
    </w:p>
    <w:bookmarkEnd w:id="39"/>
    <w:bookmarkStart w:id="40" w:name="X75c3ffd8ebfd8ddc104a3e286b8172282a721ca"/>
    <w:p>
      <w:pPr>
        <w:pStyle w:val="Heading3"/>
      </w:pPr>
      <w:r>
        <w:t xml:space="preserve">14. Warm-Up Shots and Setup Tracking — 🔶 Pending Internal Review</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w:t>
      </w:r>
      <w:r>
        <w:t xml:space="preserve"> </w:t>
      </w:r>
      <w:r>
        <w:t xml:space="preserve">Warm-up shots tracked as a downtime sub-category (</w:t>
      </w:r>
      <w:r>
        <w:rPr>
          <w:rStyle w:val="VerbatimChar"/>
        </w:rPr>
        <w:t xml:space="preserv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Good/bad production shot counts remain on</w:t>
      </w:r>
      <w:r>
        <w:t xml:space="preserve"> </w:t>
      </w:r>
      <w:r>
        <w:rPr>
          <w:rStyle w:val="VerbatimChar"/>
        </w:rPr>
        <w:t xml:space="preserve">ProductionEvent</w:t>
      </w:r>
      <w:r>
        <w:t xml:space="preserve">. Needs review with Ben.</w:t>
      </w:r>
    </w:p>
    <w:bookmarkEnd w:id="40"/>
    <w:bookmarkStart w:id="41"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41"/>
    <w:bookmarkStart w:id="42" w:name="X85424eed8302993ab5871a0056003e0a784b765"/>
    <w:p>
      <w:pPr>
        <w:pStyle w:val="Heading3"/>
      </w:pPr>
      <w:r>
        <w:t xml:space="preserve">16. Hardware Interlock Bypass Mode — 🔶 Pending Internal Review</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w:t>
      </w:r>
      <w:r>
        <w:t xml:space="preserve"> </w:t>
      </w:r>
      <w:r>
        <w:t xml:space="preserve">A</w:t>
      </w:r>
      <w:r>
        <w:t xml:space="preserve"> </w:t>
      </w:r>
      <w:r>
        <w:rPr>
          <w:rStyle w:val="VerbatimChar"/>
        </w:rPr>
        <w:t xml:space="preserve">HardwareInterlockBypassed</w:t>
      </w:r>
      <w:r>
        <w:t xml:space="preserve"> </w:t>
      </w:r>
      <w:r>
        <w:t xml:space="preserve">flag should be added to the data model to record when interlock was disabled and serial validation was skipped. Two options under consideration: (a) on</w:t>
      </w:r>
      <w:r>
        <w:t xml:space="preserve"> </w:t>
      </w:r>
      <w:r>
        <w:rPr>
          <w:rStyle w:val="VerbatimChar"/>
        </w:rPr>
        <w:t xml:space="preserve">ContainerSerial</w:t>
      </w:r>
      <w:r>
        <w:t xml:space="preserve">, (b) on</w:t>
      </w:r>
      <w:r>
        <w:t xml:space="preserve"> </w:t>
      </w:r>
      <w:r>
        <w:rPr>
          <w:rStyle w:val="VerbatimChar"/>
        </w:rPr>
        <w:t xml:space="preserve">ProductionEvent</w:t>
      </w:r>
      <w:r>
        <w:t xml:space="preserve">. The circumstances under which MPP bypasses the interlock are not yet understood. Both options flagged for discussion with Ben.</w:t>
      </w:r>
    </w:p>
    <w:bookmarkEnd w:id="42"/>
    <w:bookmarkStart w:id="43" w:name="X7711411ed0c744b11ef8373c23e3eb986c2f7d7"/>
    <w:p>
      <w:pPr>
        <w:pStyle w:val="Heading3"/>
      </w:pPr>
      <w:r>
        <w:t xml:space="preserve">17. Vision System vs. Barcode Confirmation — 🔶 Pending Internal Review</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Vision conflict resolution: auto-hold LOT + supervisor override popup (per OI-04). Flagged for discussion with Ben.</w:t>
      </w:r>
      <w:r>
        <w:t xml:space="preserve"> </w:t>
      </w:r>
      <w:r>
        <w:rPr>
          <w:i/>
          <w:iCs/>
        </w:rPr>
        <w:t xml:space="preserve">Maps to OI-04.</w:t>
      </w:r>
    </w:p>
    <w:bookmarkEnd w:id="43"/>
    <w:bookmarkStart w:id="44" w:name="Xab206fe5b2e47cb27c7a3d7b41cdcb57343f541"/>
    <w:p>
      <w:pPr>
        <w:pStyle w:val="Heading3"/>
      </w:pPr>
      <w:r>
        <w:t xml:space="preserve">18. Event Processing: Synchronous vs. Asynchronous — ⬜ Open</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w:t>
      </w:r>
      <w:r>
        <w:t xml:space="preserve"> </w:t>
      </w:r>
      <w:r>
        <w:t xml:space="preserve">The FRS doesn’t actually require an outbox pattern — just logging of all sent and received content (FRS 3.17.4). External calls are made directly from the Ignition application layer with results logged to</w:t>
      </w:r>
      <w:r>
        <w:t xml:space="preserve"> </w:t>
      </w:r>
      <w:r>
        <w:rPr>
          <w:rStyle w:val="VerbatimChar"/>
        </w:rPr>
        <w:t xml:space="preserve">Audit.InterfaceLog</w:t>
      </w:r>
      <w:r>
        <w:t xml:space="preserve">. However, latency implications at label-printing touchpoints need validation with Ben.</w:t>
      </w:r>
      <w:r>
        <w:t xml:space="preserve"> </w:t>
      </w:r>
      <w:r>
        <w:rPr>
          <w:i/>
          <w:iCs/>
        </w:rPr>
        <w:t xml:space="preserve">Maps to OI-01.</w:t>
      </w:r>
    </w:p>
    <w:bookmarkEnd w:id="44"/>
    <w:bookmarkStart w:id="45"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45"/>
    <w:bookmarkEnd w:id="46"/>
    <w:bookmarkStart w:id="47"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 Cluster</w:t>
            </w:r>
          </w:p>
        </w:tc>
        <w:tc>
          <w:tcPr>
            <w:shd w:val="clear" w:color="auto" w:fill="1F4E79"/>
          </w:tcPr>
          <w:tcPr/>
          <w:p>
            <w:pPr>
              <w:pStyle w:val="Compact"/>
            </w:pPr>
            <w:r>
              <w:rPr>
                <w:b/>
                <w:color w:val="FFFFFF"/>
              </w:rPr>
              <w:t xml:space="preserve">Blocks</w:t>
            </w:r>
          </w:p>
        </w:tc>
        <w:tc>
          <w:tcPr>
            <w:shd w:val="clear" w:color="auto" w:fill="1F4E79"/>
          </w:tcPr>
          <w:tcPr/>
          <w:p>
            <w:pPr>
              <w:pStyle w:val="Compact"/>
            </w:pPr>
            <w:r>
              <w:rPr>
                <w:b/>
                <w:color w:val="FFFFFF"/>
              </w:rP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shd w:val="clear" w:color="auto" w:fill="F2F2F2"/>
          </w:tcPr>
          <w:tcPr/>
          <w:p>
            <w:pPr>
              <w:pStyle w:val="Compact"/>
            </w:pPr>
            <w:r>
              <w:rPr>
                <w:b/>
                <w:bCs/>
              </w:rPr>
              <w:t xml:space="preserve">LOT creation flow</w:t>
            </w:r>
            <w:r>
              <w:t xml:space="preserve"> </w:t>
            </w:r>
            <w:r>
              <w:t xml:space="preserve">(#2, #3, #14)</w:t>
            </w:r>
          </w:p>
        </w:tc>
        <w:tc>
          <w:tcPr>
            <w:shd w:val="clear" w:color="auto" w:fill="F2F2F2"/>
          </w:tcPr>
          <w:tcPr/>
          <w:p>
            <w:pPr>
              <w:pStyle w:val="Compact"/>
            </w:pPr>
            <w:r>
              <w:t xml:space="preserve">Die Cast and Machining screens</w:t>
            </w:r>
          </w:p>
        </w:tc>
        <w:tc>
          <w:tcPr>
            <w:shd w:val="clear" w:color="auto" w:fill="F2F2F2"/>
          </w:tcPr>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shd w:val="clear" w:color="auto" w:fill="F2F2F2"/>
          </w:tcPr>
          <w:tcPr/>
          <w:p>
            <w:pPr>
              <w:pStyle w:val="Compact"/>
            </w:pPr>
            <w:r>
              <w:rPr>
                <w:b/>
                <w:bCs/>
              </w:rPr>
              <w:t xml:space="preserve">Work order model</w:t>
            </w:r>
            <w:r>
              <w:t xml:space="preserve"> </w:t>
            </w:r>
            <w:r>
              <w:t xml:space="preserve">(#7)</w:t>
            </w:r>
          </w:p>
        </w:tc>
        <w:tc>
          <w:tcPr>
            <w:shd w:val="clear" w:color="auto" w:fill="F2F2F2"/>
          </w:tcPr>
          <w:tcPr/>
          <w:p>
            <w:pPr>
              <w:pStyle w:val="Compact"/>
            </w:pPr>
            <w:r>
              <w:t xml:space="preserve">Production tracking architecture</w:t>
            </w:r>
          </w:p>
        </w:tc>
        <w:tc>
          <w:tcPr>
            <w:shd w:val="clear" w:color="auto" w:fill="F2F2F2"/>
          </w:tcPr>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shd w:val="clear" w:color="auto" w:fill="F2F2F2"/>
          </w:tcPr>
          <w:tcPr/>
          <w:p>
            <w:pPr>
              <w:pStyle w:val="Compact"/>
            </w:pPr>
            <w:r>
              <w:rPr>
                <w:b/>
                <w:bCs/>
              </w:rPr>
              <w:t xml:space="preserve">Material verification &amp; interlocks</w:t>
            </w:r>
            <w:r>
              <w:t xml:space="preserve"> </w:t>
            </w:r>
            <w:r>
              <w:t xml:space="preserve">(#9, #16, #17)</w:t>
            </w:r>
          </w:p>
        </w:tc>
        <w:tc>
          <w:tcPr>
            <w:shd w:val="clear" w:color="auto" w:fill="F2F2F2"/>
          </w:tcPr>
          <w:tcPr/>
          <w:p>
            <w:pPr>
              <w:pStyle w:val="Compact"/>
            </w:pPr>
            <w:r>
              <w:t xml:space="preserve">Assembly screens</w:t>
            </w:r>
          </w:p>
        </w:tc>
        <w:tc>
          <w:tcPr>
            <w:shd w:val="clear" w:color="auto" w:fill="F2F2F2"/>
          </w:tcPr>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shd w:val="clear" w:color="auto" w:fill="F2F2F2"/>
          </w:tcPr>
          <w:tcPr/>
          <w:p>
            <w:pPr>
              <w:pStyle w:val="Compact"/>
            </w:pPr>
            <w:r>
              <w:rPr>
                <w:b/>
                <w:bCs/>
              </w:rPr>
              <w:t xml:space="preserve">Paper vs. real-time</w:t>
            </w:r>
            <w:r>
              <w:t xml:space="preserve"> </w:t>
            </w:r>
            <w:r>
              <w:t xml:space="preserve">(#11, #12, #19)</w:t>
            </w:r>
          </w:p>
        </w:tc>
        <w:tc>
          <w:tcPr>
            <w:shd w:val="clear" w:color="auto" w:fill="F2F2F2"/>
          </w:tcPr>
          <w:tcPr/>
          <w:p>
            <w:pPr>
              <w:pStyle w:val="Compact"/>
            </w:pPr>
            <w:r>
              <w:t xml:space="preserve">All operator screens</w:t>
            </w:r>
          </w:p>
        </w:tc>
        <w:tc>
          <w:tcPr>
            <w:shd w:val="clear" w:color="auto" w:fill="F2F2F2"/>
          </w:tcPr>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47"/>
    <w:bookmarkStart w:id="48"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shd w:val="clear" w:color="auto" w:fill="F2F2F2"/>
          </w:tcPr>
          <w:tcPr/>
          <w:p>
            <w:pPr>
              <w:pStyle w:val="Compact"/>
            </w:pPr>
            <w:r>
              <w:rPr>
                <w:rStyle w:val="VerbatimChar"/>
              </w:rPr>
              <w:t xml:space="preserve">reference/5GO_AP4_Automation_Touchpoint_Agreement.md</w:t>
            </w:r>
          </w:p>
        </w:tc>
        <w:tc>
          <w:tcPr>
            <w:shd w:val="clear" w:color="auto" w:fill="F2F2F2"/>
          </w:tcPr>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shd w:val="clear" w:color="auto" w:fill="F2F2F2"/>
          </w:tcPr>
          <w:tcPr/>
          <w:p>
            <w:pPr>
              <w:pStyle w:val="Compact"/>
            </w:pPr>
            <w:r>
              <w:rPr>
                <w:rStyle w:val="VerbatimChar"/>
              </w:rPr>
              <w:t xml:space="preserve">reference/MS1FM-*.xlsx</w:t>
            </w:r>
          </w:p>
        </w:tc>
        <w:tc>
          <w:tcPr>
            <w:shd w:val="clear" w:color="auto" w:fill="F2F2F2"/>
          </w:tcPr>
          <w:tcPr/>
          <w:p>
            <w:pPr>
              <w:pStyle w:val="Compact"/>
            </w:pPr>
            <w:r>
              <w:t xml:space="preserve">Line-specific production sheets showing per-line data entry fields</w:t>
            </w:r>
          </w:p>
        </w:tc>
      </w:tr>
    </w:tbl>
    <w:p>
      <w:r>
        <w:pict>
          <v:rect style="width:0;height:1.5pt" o:hralign="center" o:hrstd="t" o:hr="t"/>
        </w:pict>
      </w:r>
    </w:p>
    <w:bookmarkEnd w:id="48"/>
    <w:bookmarkStart w:id="49"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Finding</w:t>
            </w:r>
          </w:p>
        </w:tc>
        <w:tc>
          <w:tcPr>
            <w:shd w:val="clear" w:color="auto" w:fill="1F4E79"/>
          </w:tcPr>
          <w:tcPr/>
          <w:p>
            <w:pPr>
              <w:pStyle w:val="Compact"/>
            </w:pPr>
            <w:r>
              <w:rPr>
                <w:b/>
                <w:color w:val="FFFFFF"/>
              </w:rP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shd w:val="clear" w:color="auto" w:fill="F2F2F2"/>
          </w:tcPr>
          <w:tcPr/>
          <w:p>
            <w:pPr>
              <w:pStyle w:val="Compact"/>
            </w:pPr>
            <w:r>
              <w:t xml:space="preserve">FRS 2.2.3</w:t>
            </w:r>
          </w:p>
        </w:tc>
        <w:tc>
          <w:tcPr>
            <w:shd w:val="clear" w:color="auto" w:fill="F2F2F2"/>
          </w:tcPr>
          <w:tcPr/>
          <w:p>
            <w:pPr>
              <w:pStyle w:val="Compact"/>
            </w:pPr>
            <w:r>
              <w:t xml:space="preserve">Trim Shop uses weight-based piece count estimation, not physical count confirmation</w:t>
            </w:r>
          </w:p>
        </w:tc>
        <w:tc>
          <w:tcPr>
            <w:shd w:val="clear" w:color="auto" w:fill="F2F2F2"/>
          </w:tcPr>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shd w:val="clear" w:color="auto" w:fill="F2F2F2"/>
          </w:tcPr>
          <w:tcPr/>
          <w:p>
            <w:pPr>
              <w:pStyle w:val="Compact"/>
            </w:pPr>
            <w:r>
              <w:t xml:space="preserve">FRS Section 4</w:t>
            </w:r>
          </w:p>
        </w:tc>
        <w:tc>
          <w:tcPr>
            <w:shd w:val="clear" w:color="auto" w:fill="F2F2F2"/>
          </w:tcPr>
          <w:tcPr/>
          <w:p>
            <w:pPr>
              <w:pStyle w:val="Compact"/>
            </w:pPr>
            <w:r>
              <w:t xml:space="preserve">Reject/scrap data is</w:t>
            </w:r>
            <w:r>
              <w:t xml:space="preserve"> </w:t>
            </w:r>
            <w:r>
              <w:t xml:space="preserve">“not considered part of the permanent production records”</w:t>
            </w:r>
            <w:r>
              <w:t xml:space="preserve">; recording is optional per step</w:t>
            </w:r>
          </w:p>
        </w:tc>
        <w:tc>
          <w:tcPr>
            <w:shd w:val="clear" w:color="auto" w:fill="F2F2F2"/>
          </w:tcPr>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shd w:val="clear" w:color="auto" w:fill="F2F2F2"/>
          </w:tcPr>
          <w:tcPr/>
          <w:p>
            <w:pPr>
              <w:pStyle w:val="Compact"/>
            </w:pPr>
            <w:r>
              <w:t xml:space="preserve">FRS 2.1.10, 2.2.7</w:t>
            </w:r>
          </w:p>
        </w:tc>
        <w:tc>
          <w:tcPr>
            <w:shd w:val="clear" w:color="auto" w:fill="F2F2F2"/>
          </w:tcPr>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shd w:val="clear" w:color="auto" w:fill="F2F2F2"/>
          </w:tcPr>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Non-serialized lines have defined PLC integration (PartDisposition, ContainerName), not undefined</w:t>
            </w:r>
          </w:p>
        </w:tc>
        <w:tc>
          <w:tcPr>
            <w:shd w:val="clear" w:color="auto" w:fill="F2F2F2"/>
          </w:tcPr>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shd w:val="clear" w:color="auto" w:fill="F2F2F2"/>
          </w:tcPr>
          <w:tcPr/>
          <w:p>
            <w:pPr>
              <w:pStyle w:val="Compact"/>
            </w:pPr>
            <w:r>
              <w:t xml:space="preserve">Touchpoint Agreement 1.1</w:t>
            </w:r>
          </w:p>
        </w:tc>
        <w:tc>
          <w:tcPr>
            <w:shd w:val="clear" w:color="auto" w:fill="F2F2F2"/>
          </w:tcPr>
          <w:tcPr/>
          <w:p>
            <w:pPr>
              <w:pStyle w:val="Compact"/>
            </w:pPr>
            <w:r>
              <w:rPr>
                <w:rStyle w:val="VerbatimChar"/>
              </w:rPr>
              <w:t xml:space="preserve">HardwareInterlockEnable=false</w:t>
            </w:r>
            <w:r>
              <w:t xml:space="preserve"> </w:t>
            </w:r>
            <w:r>
              <w:t xml:space="preserve">is a valid bypass mode, not an error</w:t>
            </w:r>
          </w:p>
        </w:tc>
        <w:tc>
          <w:tcPr>
            <w:shd w:val="clear" w:color="auto" w:fill="F2F2F2"/>
          </w:tcPr>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shd w:val="clear" w:color="auto" w:fill="F2F2F2"/>
          </w:tcPr>
          <w:tcPr/>
          <w:p>
            <w:pPr>
              <w:pStyle w:val="Compact"/>
            </w:pPr>
            <w:r>
              <w:t xml:space="preserve">DCFM paper sheets</w:t>
            </w:r>
          </w:p>
        </w:tc>
        <w:tc>
          <w:tcPr>
            <w:shd w:val="clear" w:color="auto" w:fill="F2F2F2"/>
          </w:tcPr>
          <w:tcPr/>
          <w:p>
            <w:pPr>
              <w:pStyle w:val="Compact"/>
            </w:pPr>
            <w:r>
              <w:t xml:space="preserve">Shift runtime adjustments (lunch, breaks, overtime) are manual additions</w:t>
            </w:r>
          </w:p>
        </w:tc>
        <w:tc>
          <w:tcPr>
            <w:shd w:val="clear" w:color="auto" w:fill="F2F2F2"/>
          </w:tcPr>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shd w:val="clear" w:color="auto" w:fill="F2F2F2"/>
          </w:tcPr>
          <w:tcPr/>
          <w:p>
            <w:pPr>
              <w:pStyle w:val="Compact"/>
            </w:pPr>
            <w:r>
              <w:t xml:space="preserve">Spark Dependency Register B.12</w:t>
            </w:r>
          </w:p>
        </w:tc>
        <w:tc>
          <w:tcPr>
            <w:shd w:val="clear" w:color="auto" w:fill="F2F2F2"/>
          </w:tcPr>
          <w:tcPr/>
          <w:p>
            <w:pPr>
              <w:pStyle w:val="Compact"/>
            </w:pPr>
            <w:r>
              <w:t xml:space="preserve">Event outbox + background worker pattern makes AIM/label calls async</w:t>
            </w:r>
          </w:p>
        </w:tc>
        <w:tc>
          <w:tcPr>
            <w:shd w:val="clear" w:color="auto" w:fill="F2F2F2"/>
          </w:tcPr>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shd w:val="clear" w:color="auto" w:fill="F2F2F2"/>
          </w:tcPr>
          <w:tcPr/>
          <w:p>
            <w:pPr>
              <w:pStyle w:val="Compact"/>
            </w:pPr>
            <w:r>
              <w:t xml:space="preserve">Scope Matrix row 20</w:t>
            </w:r>
          </w:p>
        </w:tc>
        <w:tc>
          <w:tcPr>
            <w:shd w:val="clear" w:color="auto" w:fill="F2F2F2"/>
          </w:tcPr>
          <w:tcPr/>
          <w:p>
            <w:pPr>
              <w:pStyle w:val="Compact"/>
            </w:pPr>
            <w:r>
              <w:t xml:space="preserve">Pass-through full workflow is FUTURE; receiving is MVP</w:t>
            </w:r>
          </w:p>
        </w:tc>
        <w:tc>
          <w:tcPr>
            <w:shd w:val="clear" w:color="auto" w:fill="F2F2F2"/>
          </w:tcPr>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Vision-based part confirmation on some lines (VisionPartNumber)</w:t>
            </w:r>
          </w:p>
        </w:tc>
        <w:tc>
          <w:tcPr>
            <w:shd w:val="clear" w:color="auto" w:fill="F2F2F2"/>
          </w:tcPr>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shd w:val="clear" w:color="auto" w:fill="F2F2F2"/>
          </w:tcPr>
          <w:tcPr/>
          <w:p>
            <w:pPr>
              <w:pStyle w:val="Compact"/>
            </w:pPr>
            <w:r>
              <w:t xml:space="preserve">Appendix D</w:t>
            </w:r>
          </w:p>
        </w:tc>
        <w:tc>
          <w:tcPr>
            <w:shd w:val="clear" w:color="auto" w:fill="F2F2F2"/>
          </w:tcPr>
          <w:tcPr/>
          <w:p>
            <w:pPr>
              <w:pStyle w:val="Compact"/>
            </w:pPr>
            <w:r>
              <w:t xml:space="preserve">Downtime code count of ~660 confirmed (662 entries in FRS)</w:t>
            </w:r>
          </w:p>
        </w:tc>
        <w:tc>
          <w:tcPr>
            <w:shd w:val="clear" w:color="auto" w:fill="F2F2F2"/>
          </w:tcPr>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shd w:val="clear" w:color="auto" w:fill="F2F2F2"/>
          </w:tcPr>
          <w:tcPr/>
          <w:p>
            <w:pPr>
              <w:pStyle w:val="Compact"/>
            </w:pPr>
            <w:r>
              <w:t xml:space="preserve">Appendix H, I</w:t>
            </w:r>
          </w:p>
        </w:tc>
        <w:tc>
          <w:tcPr>
            <w:shd w:val="clear" w:color="auto" w:fill="F2F2F2"/>
          </w:tcPr>
          <w:tcPr/>
          <w:p>
            <w:pPr>
              <w:pStyle w:val="Compact"/>
            </w:pPr>
            <w:r>
              <w:t xml:space="preserve">Legacy UI screens and work instructions are placeholder-only in FRS — cannot validate operator workflows</w:t>
            </w:r>
          </w:p>
        </w:tc>
        <w:tc>
          <w:tcPr>
            <w:shd w:val="clear" w:color="auto" w:fill="F2F2F2"/>
          </w:tcPr>
          <w:tcPr/>
          <w:p>
            <w:pPr>
              <w:pStyle w:val="Compact"/>
            </w:pPr>
            <w:r>
              <w:t xml:space="preserve">Noted — no action possible</w:t>
            </w:r>
          </w:p>
        </w:tc>
      </w:tr>
    </w:tbl>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2026-04-15T14:07:09Z</dcterms:created>
  <dcterms:modified xsi:type="dcterms:W3CDTF">2026-04-15T14:07:09Z</dcterms:modified>
</cp:coreProperties>
</file>

<file path=docProps/custom.xml><?xml version="1.0" encoding="utf-8"?>
<Properties xmlns="http://schemas.openxmlformats.org/officeDocument/2006/custom-properties" xmlns:vt="http://schemas.openxmlformats.org/officeDocument/2006/docPropsVTypes"/>
</file>