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2.8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Three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OI-31 extended</w:t>
            </w:r>
            <w:r>
              <w:t xml:space="preserve"> </w:t>
            </w:r>
            <w:r>
              <w:t xml:space="preserve">— 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FK is referenced from</w:t>
            </w:r>
            <w:r>
              <w:t xml:space="preserve"> </w:t>
            </w:r>
            <w:r>
              <w:rPr>
                <w:rStyle w:val="VerbatimChar"/>
              </w:rPr>
              <w:t xml:space="preserve">WorkOrder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ProductionOrder</w:t>
            </w:r>
            <w:r>
              <w:t xml:space="preserve"> </w:t>
            </w:r>
            <w:r>
              <w:t xml:space="preserve">in addition to Lot and SerializedItem per</w:t>
            </w:r>
            <w:r>
              <w:t xml:space="preserve"> </w:t>
            </w:r>
            <w:r>
              <w:rPr>
                <w:rStyle w:val="VerbatimChar"/>
              </w:rPr>
              <w:t xml:space="preserve">reference/Flexware_MES_OrderDiagram.png</w:t>
            </w:r>
            <w:r>
              <w:t xml:space="preserve">. Phase 0 now needs</w:t>
            </w:r>
            <w:r>
              <w:t xml:space="preserve"> </w:t>
            </w:r>
            <w:r>
              <w:rPr>
                <w:rStyle w:val="VerbatimChar"/>
              </w:rPr>
              <w:t xml:space="preserve">SELECT * FROM IdentifierFormat</w:t>
            </w:r>
            <w:r>
              <w:t xml:space="preserve"> </w:t>
            </w:r>
            <w:r>
              <w:t xml:space="preserve">from Flexware to enumerate ALL live counters, not just the two sampled. (2)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(3)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Design confirmations: DashboardConfiguration / UserInterfaceScript / clock# + PIN rejections validated — no functional loss.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2 (OI-13, OI-15)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(OI-03, OI-06, OI-09, OI-11)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10 (OI-16, OI-17, OI-18, OI-21, OI-22, OI-24, OI-28, OI-30, OI-31,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 (OI-14, OI-19, OI-20, OI-23, OI-25, OI-27, OI-29, OI-32b)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9 resolved, 9 in review, 32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1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1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1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2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Start w:id="26" w:name="oi-15-global-trace-track-screen-open-new"/>
    <w:p>
      <w:pPr>
        <w:pStyle w:val="Heading3"/>
      </w:pPr>
      <w:r>
        <w:t xml:space="preserve">OI-15 — Global Trace / Track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r>
        <w:pict>
          <v:rect style="width:0;height:1.5pt" o:hralign="center" o:hrstd="t" o:hr="t"/>
        </w:pict>
      </w:r>
    </w:p>
    <w:bookmarkEnd w:id="26"/>
    <w:bookmarkStart w:id="27" w:name="X3ce0c4189187d1028788314d6025bde72949018"/>
    <w:p>
      <w:pPr>
        <w:pStyle w:val="Heading3"/>
      </w:pPr>
      <w:r>
        <w:t xml:space="preserve">OI-16 — Auto-finish-on-target WO semantics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r>
        <w:pict>
          <v:rect style="width:0;height:1.5pt" o:hralign="center" o:hrstd="t" o:hr="t"/>
        </w:pict>
      </w:r>
    </w:p>
    <w:bookmarkEnd w:id="27"/>
    <w:bookmarkStart w:id="28" w:name="Xb1a8fc0e9edc02de9aac92d7ca7fd740153d91b"/>
    <w:p>
      <w:pPr>
        <w:pStyle w:val="Heading3"/>
      </w:pPr>
      <w:r>
        <w:t xml:space="preserve">OI-17 — Tray-divisibility validation on WO close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r>
        <w:pict>
          <v:rect style="width:0;height:1.5pt" o:hralign="center" o:hrstd="t" o:hr="t"/>
        </w:pict>
      </w:r>
    </w:p>
    <w:bookmarkEnd w:id="28"/>
    <w:bookmarkStart w:id="29" w:name="X69a30fbfd2e9eda3b6c39b56f4d617e66b66cf9"/>
    <w:p>
      <w:pPr>
        <w:pStyle w:val="Heading3"/>
      </w:pPr>
      <w:r>
        <w:t xml:space="preserve">OI-18 — Parts.ItemLocation consumption metadata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29"/>
    <w:bookmarkStart w:id="30" w:name="Xe273468a93ee5bf11a5e6d1a5e8e3abefe9e2ca"/>
    <w:p>
      <w:pPr>
        <w:pStyle w:val="Heading3"/>
      </w:pPr>
      <w:r>
        <w:t xml:space="preserve">OI-19 — Parts.Item.CountryOfOrigin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0"/>
    <w:bookmarkStart w:id="31" w:name="X7bb6253e0d6eca51436f511914f04234f36f5da"/>
    <w:p>
      <w:pPr>
        <w:pStyle w:val="Heading3"/>
      </w:pPr>
      <w:r>
        <w:t xml:space="preserve">OI-20 — Scrap source enum (Inventory vs Location)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1"/>
    <w:bookmarkStart w:id="32" w:name="X8c2b9b792445ac0742b6d802aa6dbb8e1c1142e"/>
    <w:p>
      <w:pPr>
        <w:pStyle w:val="Heading3"/>
      </w:pPr>
      <w:r>
        <w:t xml:space="preserve">OI-21 — Partial start / partial complete at a workstation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r>
        <w:pict>
          <v:rect style="width:0;height:1.5pt" o:hralign="center" o:hrstd="t" o:hr="t"/>
        </w:pict>
      </w:r>
    </w:p>
    <w:bookmarkEnd w:id="32"/>
    <w:bookmarkStart w:id="33" w:name="X6f9b9829e2e2fb085dfd5f13617eb06aa1e5bda"/>
    <w:p>
      <w:pPr>
        <w:pStyle w:val="Heading3"/>
      </w:pPr>
      <w:r>
        <w:t xml:space="preserve">OI-22 — Dedicated Hold Management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r>
        <w:pict>
          <v:rect style="width:0;height:1.5pt" o:hralign="center" o:hrstd="t" o:hr="t"/>
        </w:pict>
      </w:r>
    </w:p>
    <w:bookmarkEnd w:id="33"/>
    <w:bookmarkStart w:id="34" w:name="X250c8f5015ceda79ddba9373386162e3da740a1"/>
    <w:p>
      <w:pPr>
        <w:pStyle w:val="Heading3"/>
      </w:pPr>
      <w:r>
        <w:t xml:space="preserve">OI-23 — Lot computed TotalInProcess / InventoryAvailable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Full counter enumeration</w:t>
      </w:r>
      <w:r>
        <w:t xml:space="preserve"> </w:t>
      </w:r>
      <w:r>
        <w:t xml:space="preserve">— the 2012 Flexware storyboards ERD (</w:t>
      </w:r>
      <w:r>
        <w:rPr>
          <w:rStyle w:val="VerbatimChar"/>
        </w:rPr>
        <w:t xml:space="preserve">reference/Flexware_MES_OrderDiagram.png</w:t>
      </w:r>
      <w:r>
        <w:t xml:space="preserve">) shows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FKed from</w:t>
      </w:r>
      <w:r>
        <w:t xml:space="preserve"> </w:t>
      </w:r>
      <w:r>
        <w:rPr>
          <w:rStyle w:val="VerbatimChar"/>
        </w:rPr>
        <w:t xml:space="preserve">ProductionOrder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WorkOrder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. MPP IT to run</w:t>
      </w:r>
      <w:r>
        <w:t xml:space="preserve"> </w:t>
      </w:r>
      <w:r>
        <w:rPr>
          <w:rStyle w:val="VerbatimChar"/>
        </w:rPr>
        <w:t xml:space="preserve">SELECT * FROM IdentifierFormat</w:t>
      </w:r>
      <w:r>
        <w:t xml:space="preserve"> </w:t>
      </w:r>
      <w:r>
        <w:t xml:space="preserve">from the current Flexware DB at cutover so the full counter list is known and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is seeded for every live sequence (not just the two sampled). Possibly 4+ counters total.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none; any line-specific or shift-specific counter-reset rules MPP wants honored?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four open questions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everywhere (LOT create, serialized-part create, WorkOrder-number minting if confirmed in place, any future counters).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r>
        <w:pict>
          <v:rect style="width:0;height:1.5pt" o:hralign="center" o:hrstd="t" o:hr="t"/>
        </w:pict>
      </w:r>
    </w:p>
    <w:bookmarkEnd w:id="42"/>
    <w:bookmarkStart w:id="43" w:name="Xa37f8e6823beae884d4f154cebd61141124683f"/>
    <w:p>
      <w:pPr>
        <w:pStyle w:val="Heading3"/>
      </w:pPr>
      <w:r>
        <w:t xml:space="preserve">OI-32b — Material Classes — ⬜ Open (new, 2026-04-24,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3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2026-04-24T14:22:01Z</dcterms:created>
  <dcterms:modified xsi:type="dcterms:W3CDTF">2026-04-24T14:22:01Z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