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MPP-PLAN-ARC2-v0.1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0.1 (2026-04-16)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approved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11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11"/>
    <w:bookmarkStart w:id="23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12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12"/>
    <w:bookmarkStart w:id="13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13"/>
    <w:bookmarkStart w:id="14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14"/>
    <w:bookmarkStart w:id="15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t xml:space="preserve">Every external call is bracketed by two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calls: one before the call (Direction=</w:t>
      </w:r>
      <w:r>
        <w:t xml:space="preserve">‘Outbound’</w:t>
      </w:r>
      <w:r>
        <w:t xml:space="preserve">, RequestPayload populated, ResponsePayload NULL), one after (update the same row with ResponsePayload and any error).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No outbox pattern — direct calls with a full audit trail (per OI-01 resolution).</w:t>
      </w:r>
    </w:p>
    <w:bookmarkEnd w:id="15"/>
    <w:bookmarkStart w:id="16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16"/>
    <w:bookmarkStart w:id="17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17"/>
    <w:bookmarkStart w:id="18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18"/>
    <w:bookmarkStart w:id="19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19"/>
    <w:bookmarkStart w:id="20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20"/>
    <w:bookmarkStart w:id="21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21"/>
    <w:bookmarkStart w:id="22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Login itself (clock# + PIN) is orthogonal — the default-screen lookup happens on session start, before or alongside auth, per Phase 0’s auth model outcome.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22"/>
    <w:bookmarkEnd w:id="23"/>
    <w:bookmarkStart w:id="24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1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1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1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1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1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1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24"/>
    <w:bookmarkStart w:id="25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27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27"/>
    <w:bookmarkStart w:id="28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 Its goal is to resolve:</w:t>
      </w:r>
    </w:p>
    <w:p>
      <w:pPr>
        <w:pStyle w:val="BodyText"/>
      </w:pPr>
      <w:r>
        <w:rPr>
          <w:b/>
          <w:bCs/>
        </w:rPr>
        <w:t xml:space="preserve">Gating (must resolve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</w:t>
            </w:r>
          </w:p>
        </w:tc>
        <w:tc>
          <w:tcPr/>
          <w:p>
            <w:pPr>
              <w:pStyle w:val="Compact"/>
            </w:pPr>
            <w:r>
              <w:t xml:space="preserve">Terminal session model — first-action vs shift-start login; inactivity timeout value; re-auth triggers; is zone-based auth substituted for clock# + PIN in some zones?</w:t>
            </w:r>
          </w:p>
        </w:tc>
        <w:tc>
          <w:tcPr/>
          <w:p>
            <w:pPr>
              <w:pStyle w:val="Compact"/>
            </w:pPr>
            <w:r>
              <w:t xml:space="preserve">Phase 1 Login + Home router depend on the answer. Wrong answer forces Phase 1 rebuild.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 boundary rules — how are open downtime events carried across? Partial containers? In-progress LOTs? Are</w:t>
            </w:r>
            <w:r>
              <w:t xml:space="preserve"> </w:t>
            </w:r>
            <w:r>
              <w:rPr>
                <w:rStyle w:val="VerbatimChar"/>
              </w:rPr>
              <w:t xml:space="preserve">Shift.ActualStart</w:t>
            </w:r>
            <w:r>
              <w:t xml:space="preserve">/</w:t>
            </w:r>
            <w:r>
              <w:rPr>
                <w:rStyle w:val="VerbatimChar"/>
              </w:rPr>
              <w:t xml:space="preserve">ActualEnd</w:t>
            </w:r>
            <w:r>
              <w:t xml:space="preserve"> </w:t>
            </w:r>
            <w:r>
              <w:t xml:space="preserve">adjusted for mid-shift breaks/lunch/overtime like the paper forms are?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 (</w:t>
            </w:r>
            <w:r>
              <w:rPr>
                <w:rStyle w:val="VerbatimChar"/>
              </w:rPr>
              <w:t xml:space="preserve">Shift_Start</w:t>
            </w:r>
            <w:r>
              <w:t xml:space="preserve">/</w:t>
            </w:r>
            <w:r>
              <w:rPr>
                <w:rStyle w:val="VerbatimChar"/>
              </w:rPr>
              <w:t xml:space="preserve">_End</w:t>
            </w:r>
            <w:r>
              <w:t xml:space="preserve">) and Phase 8 (boundary ticker) cannot be built without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 location — on</w:t>
            </w:r>
            <w:r>
              <w:t xml:space="preserve"> </w:t>
            </w:r>
            <w:r>
              <w:rPr>
                <w:rStyle w:val="VerbatimChar"/>
              </w:rPr>
              <w:t xml:space="preserve">ContainerSerial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, or on both? What traceability do we need for a bypass?</w:t>
            </w:r>
          </w:p>
        </w:tc>
        <w:tc>
          <w:tcPr/>
          <w:p>
            <w:pPr>
              <w:pStyle w:val="Compact"/>
            </w:pPr>
            <w:r>
              <w:t xml:space="preserve">Phase 6 Assembly depends on where the column lives. A late answer forces a Phase 6 schema + proc rewrite.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Sort Cage serial migration pattern — void-and-recreate (new</w:t>
            </w:r>
            <w:r>
              <w:t xml:space="preserve"> </w:t>
            </w:r>
            <w:r>
              <w:rPr>
                <w:rStyle w:val="VerbatimChar"/>
              </w:rPr>
              <w:t xml:space="preserve">SerializedPart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ContainerSerial</w:t>
            </w:r>
            <w:r>
              <w:t xml:space="preserve">) or update-in-place (mutate</w:t>
            </w:r>
            <w:r>
              <w:t xml:space="preserve"> </w:t>
            </w:r>
            <w:r>
              <w:rPr>
                <w:rStyle w:val="VerbatimChar"/>
              </w:rPr>
              <w:t xml:space="preserve">ContainerSerial</w:t>
            </w:r>
            <w:r>
              <w:t xml:space="preserve"> </w:t>
            </w:r>
            <w:r>
              <w:t xml:space="preserve">with a new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audit table)?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Sort Cage walk depends on the write shape. Update-in-place requires a new table (migration 0011 or similar).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Count-based closure unless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 = 'Weight'</w:t>
            </w:r>
            <w:r>
              <w:t xml:space="preserve"> </w:t>
            </w:r>
            <w:r>
              <w:t xml:space="preserve">(NULL → count).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 confirmation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Barcode canonical; vision mismatch auto-holds LOT, supervisor override (per OI-04).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paper-vs-real-time</w:t>
            </w:r>
          </w:p>
        </w:tc>
        <w:tc>
          <w:tcPr/>
          <w:p>
            <w:pPr>
              <w:pStyle w:val="Compact"/>
            </w:pPr>
            <w:r>
              <w:t xml:space="preserve">Assume real-time at each station; if MPP chooses phased rollout, this is a deployment-order decision, not a design decision.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Deliver minimal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proc with hard-coded rules (same part, same die) in Phase 2; refactor to a configurable rule table post-MVP if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Track shot counts as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values on DieCastMachine-type locations. If MPP escalates, add a dedicated</w:t>
            </w:r>
            <w:r>
              <w:t xml:space="preserve"> </w:t>
            </w:r>
            <w:r>
              <w:rPr>
                <w:rStyle w:val="VerbatimChar"/>
              </w:rPr>
              <w:t xml:space="preserve">Parts.Die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Parts.DieLifeEvent</w:t>
            </w:r>
            <w:r>
              <w:t xml:space="preserve"> </w:t>
            </w:r>
            <w:r>
              <w:t xml:space="preserve">table post-MVP.</w:t>
            </w:r>
          </w:p>
        </w:tc>
      </w:tr>
    </w:tbl>
    <w:bookmarkEnd w:id="28"/>
    <w:bookmarkStart w:id="29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29"/>
    <w:bookmarkStart w:id="30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30"/>
    <w:bookmarkStart w:id="31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31"/>
    <w:bookmarkStart w:id="32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32"/>
    <w:bookmarkStart w:id="33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33"/>
    <w:bookmarkStart w:id="34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03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04"/>
        </w:numPr>
      </w:pPr>
      <w:r>
        <w:t xml:space="preserve">Decision log for OI-06, UJ-10, UJ-16, UJ-05 appended to Open Issues Register with signed-off dates.</w:t>
      </w:r>
    </w:p>
    <w:p>
      <w:pPr>
        <w:pStyle w:val="Compact"/>
        <w:numPr>
          <w:ilvl w:val="0"/>
          <w:numId w:val="1005"/>
        </w:numPr>
      </w:pPr>
      <w:r>
        <w:t xml:space="preserve">B10 convention rewritten with the chosen serial-migration pattern.</w:t>
      </w:r>
    </w:p>
    <w:p>
      <w:pPr>
        <w:pStyle w:val="Compact"/>
        <w:numPr>
          <w:ilvl w:val="0"/>
          <w:numId w:val="1006"/>
        </w:numPr>
      </w:pPr>
      <w:r>
        <w:t xml:space="preserve">Any DDL deltas captured in</w:t>
      </w:r>
      <w:r>
        <w:t xml:space="preserve"> </w:t>
      </w:r>
      <w:r>
        <w:rPr>
          <w:rStyle w:val="VerbatimChar"/>
        </w:rPr>
        <w:t xml:space="preserve">sql/migrations/versioned/0010_phase1_shop_floor_foundation.sql</w:t>
      </w:r>
      <w:r>
        <w:t xml:space="preserve"> </w:t>
      </w:r>
      <w:r>
        <w:t xml:space="preserve">(or a dedicated Phase 0 DDL migration if substantive).</w:t>
      </w:r>
    </w:p>
    <w:p>
      <w:pPr>
        <w:pStyle w:val="Compact"/>
        <w:numPr>
          <w:ilvl w:val="0"/>
          <w:numId w:val="1007"/>
        </w:numPr>
      </w:pPr>
      <w:r>
        <w:t xml:space="preserve">Opportunistic items resolved or explicitly deferred with a documented fallback.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6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36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sql/migrations/versioned/0010_phase1_shop_floor_foundation.sql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Seed new</w:t>
      </w:r>
      <w:r>
        <w:t xml:space="preserve"> </w:t>
      </w:r>
      <w:r>
        <w:rPr>
          <w:rStyle w:val="VerbatimChar"/>
        </w:rPr>
        <w:t xml:space="preserve">Location.LocationAttributeDefinition</w:t>
      </w:r>
      <w:r>
        <w:t xml:space="preserve"> </w:t>
      </w:r>
      <w:r>
        <w:t xml:space="preserve">rows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'/shop-floor/trim-station'</w:t>
      </w:r>
      <w:r>
        <w:t xml:space="preserve">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IdleTimeoutSeconds</w:t>
      </w:r>
      <w:r>
        <w:t xml:space="preserve"> </w:t>
      </w:r>
      <w:r>
        <w:t xml:space="preserve">(INT — inactivity timeout, default 300)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(BIT — default 1 — used by Perspective layer)</w:t>
      </w:r>
    </w:p>
    <w:p>
      <w:pPr>
        <w:pStyle w:val="Compact"/>
        <w:numPr>
          <w:ilvl w:val="0"/>
          <w:numId w:val="1008"/>
        </w:numPr>
      </w:pPr>
      <w:r>
        <w:t xml:space="preserve">Seed any DDL deltas captured in Phase 0. If UJ-10 resolves to a rule-coded approach,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FirstParagraph"/>
      </w:pPr>
      <w:r>
        <w:rPr>
          <w:b/>
          <w:bCs/>
        </w:rPr>
        <w:t xml:space="preserve">Tables used (all exist from Arc 1):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IdleTimeoutSeconds</w:t>
            </w:r>
            <w:r>
              <w:t xml:space="preserve"> </w:t>
            </w:r>
            <w:r>
              <w:t xml:space="preserve">values per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new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Authenticated user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LOT header — minimal CRUD only in this phase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36"/>
    <w:bookmarkStart w:id="37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auth model</w:t>
            </w:r>
          </w:p>
        </w:tc>
        <w:tc>
          <w:tcPr/>
          <w:p>
            <w:pPr>
              <w:pStyle w:val="Compact"/>
            </w:pPr>
            <w:r>
              <w:t xml:space="preserve">Resolved in Phase 0 — the exact values (timeout seconds, re-auth triggers, zone override) feed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seed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Resolved in Phase 0 — carryover rule drives the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/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UJ-01 zone-based auth</w:t>
            </w:r>
          </w:p>
        </w:tc>
        <w:tc>
          <w:tcPr/>
          <w:p>
            <w:pPr>
              <w:pStyle w:val="Compact"/>
            </w:pPr>
            <w:r>
              <w:t xml:space="preserve">If Phase 0 confirms zone-based auth, a</w:t>
            </w:r>
            <w:r>
              <w:t xml:space="preserve"> </w:t>
            </w:r>
            <w:r>
              <w:rPr>
                <w:rStyle w:val="VerbatimChar"/>
              </w:rPr>
              <w:t xml:space="preserve">Terminal.RequiresAuth</w:t>
            </w:r>
            <w:r>
              <w:t xml:space="preserve"> </w:t>
            </w:r>
            <w:r>
              <w:t xml:space="preserve">attribute overrides clock# + PIN prompting. Fallback: always require auth.</w:t>
            </w:r>
          </w:p>
        </w:tc>
      </w:tr>
    </w:tbl>
    <w:bookmarkEnd w:id="37"/>
    <w:bookmarkStart w:id="45" w:name="state-workflow-1"/>
    <w:p>
      <w:pPr>
        <w:pStyle w:val="Heading2"/>
      </w:pPr>
      <w:r>
        <w:t xml:space="preserve">State &amp; Workflow</w:t>
      </w:r>
    </w:p>
    <w:bookmarkStart w:id="38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10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IdleTimeoutSeconds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300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If no Terminal matches the IP, proc returns the fallback Terminal’s attributes (seeded in migration 0010).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Login screen.</w:t>
      </w:r>
    </w:p>
    <w:p>
      <w:pPr>
        <w:pStyle w:val="Compact"/>
        <w:numPr>
          <w:ilvl w:val="0"/>
          <w:numId w:val="1010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38"/>
    <w:bookmarkStart w:id="39" w:name="operator-login-clock-pin"/>
    <w:p>
      <w:pPr>
        <w:pStyle w:val="Heading3"/>
      </w:pPr>
      <w:r>
        <w:t xml:space="preserve">Operator login (clock# + PIN)</w:t>
      </w:r>
    </w:p>
    <w:p>
      <w:pPr>
        <w:pStyle w:val="FirstParagraph"/>
      </w:pPr>
      <w:r>
        <w:t xml:space="preserve">Phase 0 decides whether login happens on first-action or at shift-start, and whether some zones bypass login. Assume for this narrative: first-action login, per OI-06’s 2026-04-09 decision.</w:t>
      </w:r>
    </w:p>
    <w:p>
      <w:pPr>
        <w:pStyle w:val="Compact"/>
        <w:numPr>
          <w:ilvl w:val="0"/>
          <w:numId w:val="1012"/>
        </w:numPr>
      </w:pPr>
      <w:r>
        <w:t xml:space="preserve">Operator touches the Perspective screen’s first action (e.g.,</w:t>
      </w:r>
      <w:r>
        <w:t xml:space="preserve"> </w:t>
      </w:r>
      <w:r>
        <w:t xml:space="preserve">“Scan LTT”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session.custom.user.appUserId</w:t>
      </w:r>
      <w:r>
        <w:t xml:space="preserve"> </w:t>
      </w:r>
      <w:r>
        <w:t xml:space="preserve">is NULL, Perspective navigates to the Login modal.</w:t>
      </w:r>
    </w:p>
    <w:p>
      <w:pPr>
        <w:pStyle w:val="Compact"/>
        <w:numPr>
          <w:ilvl w:val="0"/>
          <w:numId w:val="1012"/>
        </w:numPr>
      </w:pPr>
      <w:r>
        <w:t xml:space="preserve">Operator enters clock# on the numeric pad, then PIN.</w:t>
      </w:r>
    </w:p>
    <w:p>
      <w:pPr>
        <w:pStyle w:val="Compact"/>
        <w:numPr>
          <w:ilvl w:val="0"/>
          <w:numId w:val="1012"/>
        </w:numPr>
      </w:pPr>
      <w:r>
        <w:t xml:space="preserve">Perspective calls the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Named Query.</w:t>
      </w:r>
    </w:p>
    <w:p>
      <w:pPr>
        <w:pStyle w:val="Compact"/>
        <w:numPr>
          <w:ilvl w:val="0"/>
          <w:numId w:val="1012"/>
        </w:numPr>
      </w:pPr>
      <w:r>
        <w:t xml:space="preserve">Proc</w:t>
      </w:r>
      <w:r>
        <w:t xml:space="preserve"> </w:t>
      </w:r>
      <w:r>
        <w:rPr>
          <w:rStyle w:val="VerbatimChar"/>
        </w:rPr>
        <w:t xml:space="preserve">Location.AppUser_AuthenticateByClockAndPin</w:t>
      </w:r>
      <w:r>
        <w:t xml:space="preserve"> </w:t>
      </w:r>
      <w:r>
        <w:t xml:space="preserve">validates:</w:t>
      </w:r>
    </w:p>
    <w:p>
      <w:pPr>
        <w:pStyle w:val="Compact"/>
        <w:numPr>
          <w:ilvl w:val="1"/>
          <w:numId w:val="1013"/>
        </w:numPr>
      </w:pPr>
      <w:r>
        <w:t xml:space="preserve">Clock# exists on an active (non-deprecated)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PIN matches (Phase 0 may select AD-managed vs MES-managed PIN storage; assume hashed local storage as fallback).</w:t>
      </w:r>
    </w:p>
    <w:p>
      <w:pPr>
        <w:pStyle w:val="Compact"/>
        <w:numPr>
          <w:ilvl w:val="0"/>
          <w:numId w:val="1012"/>
        </w:numPr>
      </w:pPr>
      <w:r>
        <w:t xml:space="preserve">On success, proc returns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 and the user’s role list. No audit log — authentication events are logged by Ignition’s own audit system.</w:t>
      </w:r>
    </w:p>
    <w:p>
      <w:pPr>
        <w:pStyle w:val="Compact"/>
        <w:numPr>
          <w:ilvl w:val="0"/>
          <w:numId w:val="1012"/>
        </w:numPr>
      </w:pPr>
      <w:r>
        <w:t xml:space="preserve">On failure, proc returns</w:t>
      </w:r>
      <w:r>
        <w:t xml:space="preserve"> </w:t>
      </w:r>
      <w:r>
        <w:rPr>
          <w:rStyle w:val="VerbatimChar"/>
        </w:rPr>
        <w:t xml:space="preserve">Status=0, Message='Invalid clock number or PIN'</w:t>
      </w:r>
      <w:r>
        <w:t xml:space="preserve"> </w:t>
      </w:r>
      <w:r>
        <w:t xml:space="preserve">and logs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 = 'LoginRejected'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and resumes the originally-attempted action.</w:t>
      </w:r>
    </w:p>
    <w:bookmarkEnd w:id="39"/>
    <w:bookmarkStart w:id="40" w:name="session-inactivity-timeout"/>
    <w:p>
      <w:pPr>
        <w:pStyle w:val="Heading3"/>
      </w:pPr>
      <w:r>
        <w:t xml:space="preserve">Session inactivity timeout</w:t>
      </w:r>
    </w:p>
    <w:p>
      <w:pPr>
        <w:pStyle w:val="FirstParagraph"/>
      </w:pPr>
      <w:r>
        <w:t xml:space="preserve">Every Perspective action (touch, scan, key) resets a session-level timer. If the timer exceeds</w:t>
      </w:r>
      <w:r>
        <w:t xml:space="preserve"> </w:t>
      </w:r>
      <w:r>
        <w:rPr>
          <w:rStyle w:val="VerbatimChar"/>
        </w:rPr>
        <w:t xml:space="preserve">session.custom.terminal.idleTimeoutSeconds</w:t>
      </w:r>
      <w:r>
        <w:t xml:space="preserve"> </w:t>
      </w:r>
      <w:r>
        <w:t xml:space="preserve">without activity, Perspective clears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and routes back to the Home router (which may or may not immediately prompt login, depending on the screen and Phase 0 decisions).</w:t>
      </w:r>
    </w:p>
    <w:bookmarkEnd w:id="40"/>
    <w:bookmarkStart w:id="41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Actions marked high-security in Perspective (place hold, release hold, scrap LOT, void shipping label) trigger a modal re-authentication before the action proceeds. On success, the action continues with the same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; the session is not</w:t>
      </w:r>
      <w:r>
        <w:t xml:space="preserve"> </w:t>
      </w:r>
      <w:r>
        <w:t xml:space="preserve">“re-opened,”</w:t>
      </w:r>
      <w:r>
        <w:t xml:space="preserve"> </w:t>
      </w:r>
      <w:r>
        <w:t xml:space="preserve">it’s a per-action authentication confirmation. No DB state change from re-auth — the Perspective layer enforces it.</w:t>
      </w:r>
    </w:p>
    <w:bookmarkEnd w:id="41"/>
    <w:bookmarkStart w:id="42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14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14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14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14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14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42"/>
    <w:bookmarkStart w:id="43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here):</w:t>
      </w:r>
    </w:p>
    <w:p>
      <w:pPr>
        <w:pStyle w:val="Compact"/>
        <w:numPr>
          <w:ilvl w:val="0"/>
          <w:numId w:val="1015"/>
        </w:numPr>
      </w:pPr>
      <w:r>
        <w:t xml:space="preserve">Operator scans a fresh LTT barcode. Perspective builds the parameter set:</w:t>
      </w:r>
      <w:r>
        <w:t xml:space="preserve"> </w:t>
      </w:r>
      <w:r>
        <w:rPr>
          <w:rStyle w:val="VerbatimChar"/>
        </w:rPr>
        <w:t xml:space="preserve">@LotName</w:t>
      </w:r>
      <w:r>
        <w:t xml:space="preserve"> </w:t>
      </w:r>
      <w:r>
        <w:t xml:space="preserve">(barcode),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 </w:t>
      </w:r>
      <w:r>
        <w:t xml:space="preserve">(Manufactured),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(machine),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Proc validates parameters (no NULLs, FKs resolve).</w:t>
      </w:r>
    </w:p>
    <w:p>
      <w:pPr>
        <w:pStyle w:val="Compact"/>
        <w:numPr>
          <w:ilvl w:val="0"/>
          <w:numId w:val="1015"/>
        </w:numPr>
      </w:pPr>
      <w:r>
        <w:t xml:space="preserve">Proc validates business rules:</w:t>
      </w:r>
      <w:r>
        <w:t xml:space="preserve"> </w:t>
      </w:r>
      <w:r>
        <w:rPr>
          <w:rStyle w:val="VerbatimChar"/>
        </w:rPr>
        <w:t xml:space="preserve">@LotName</w:t>
      </w:r>
      <w:r>
        <w:t xml:space="preserve"> </w:t>
      </w:r>
      <w:r>
        <w:t xml:space="preserve">is unique across all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@Item</w:t>
      </w:r>
      <w:r>
        <w:t xml:space="preserve"> </w:t>
      </w:r>
      <w:r>
        <w:t xml:space="preserve">is 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(joins to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); 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LotStatusId</w:t>
      </w:r>
      <w:r>
        <w:t xml:space="preserve"> </w:t>
      </w:r>
      <w:r>
        <w:t xml:space="preserve">=</w:t>
      </w:r>
      <w:r>
        <w:t xml:space="preserve"> </w:t>
      </w:r>
      <w:r>
        <w:t xml:space="preserve">‘Good’</w:t>
      </w:r>
      <w:r>
        <w:t xml:space="preserve"> </w:t>
      </w:r>
      <w:r>
        <w:t xml:space="preserve">and returns the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parameters, and the proc returns early.</w:t>
      </w:r>
    </w:p>
    <w:bookmarkEnd w:id="43"/>
    <w:bookmarkStart w:id="44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44"/>
    <w:bookmarkEnd w:id="45"/>
    <w:bookmarkStart w:id="51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46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46"/>
    <w:bookmarkStart w:id="47" w:name="appuser-operator-authentication"/>
    <w:p>
      <w:pPr>
        <w:pStyle w:val="Heading3"/>
      </w:pPr>
      <w:r>
        <w:t xml:space="preserve">AppUser — operator authentication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Location.AppUser_AuthenticateByClockAndPin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@ClockNumber NVARCHAR(20)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@Pin NVARCHAR(20)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Validates against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rows. Hashed PIN compare. On failure, logs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LogEventType='LoginRejected'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  <w:r>
              <w:t xml:space="preserve"> </w:t>
            </w:r>
            <w:r>
              <w:t xml:space="preserve">in AttemptedParameters. No audit on success (Ignition audits logins separately).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/>
          <w:p>
            <w:pPr>
              <w:pStyle w:val="Compact"/>
            </w:pPr>
            <w:r>
              <w:t xml:space="preserve">First-action login at terminal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BIGINT, FullName NVARCHAR(200)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 </w:t>
            </w:r>
            <w:r>
              <w:t xml:space="preserve">NULL on failure.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role list for this user. If Phase 0 selects AD-sourced roles, the proc delegates to a cached AD snapshot table populated by a Gateway script; if Phase 0 selects local roles, the proc reads directly from</w:t>
            </w:r>
            <w:r>
              <w:t xml:space="preserve"> </w:t>
            </w:r>
            <w:r>
              <w:rPr>
                <w:rStyle w:val="VerbatimChar"/>
              </w:rPr>
              <w:t xml:space="preserve">Location.AppUser</w:t>
            </w:r>
            <w:r>
              <w:t xml:space="preserve">-linked role tables. Used by Perspective to gate screen visibility.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 AD cache (if applicable)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successful auth, cached in session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role names</w:t>
            </w:r>
          </w:p>
        </w:tc>
      </w:tr>
    </w:tbl>
    <w:bookmarkEnd w:id="47"/>
    <w:bookmarkStart w:id="48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48"/>
    <w:bookmarkStart w:id="49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Validates uniqueness of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),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Phase 2 expands for origin-specific validation.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49"/>
    <w:bookmarkStart w:id="50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50"/>
    <w:bookmarkEnd w:id="51"/>
    <w:bookmarkStart w:id="52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Terminal/Zone/DefaultScreen/IdleTimeout/RequiresReauth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Per-view inactivity detector. Resets on any interaction. On timeout,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navigates to Home.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AdAuthenticator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Phase 0 selects AD-based PIN storage, this script validates clock# + PIN against AD LDAP; otherwise local hashed storage via the proc. Returns the AD user’s roles.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AppUser_AuthenticateByClockAndPin</w:t>
            </w:r>
            <w:r>
              <w:t xml:space="preserve"> </w:t>
            </w:r>
            <w:r>
              <w:t xml:space="preserve">call (indirect)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 Directory (optional)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SystemName='AD'</w:t>
            </w:r>
          </w:p>
        </w:tc>
      </w:tr>
    </w:tbl>
    <w:bookmarkEnd w:id="52"/>
    <w:bookmarkStart w:id="53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(modal)</w:t>
            </w:r>
          </w:p>
        </w:tc>
        <w:tc>
          <w:tcPr/>
          <w:p>
            <w:pPr>
              <w:pStyle w:val="Compact"/>
            </w:pPr>
            <w:r>
              <w:t xml:space="preserve">Clock# numeric pad + PIN pad.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AppUser_AuthenticateByClockAndPin</w:t>
            </w:r>
            <w:r>
              <w:t xml:space="preserve">. Shows inline error on failure. Logout button persistent in session header.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Session Timeout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 inactivity timeout. Offers</w:t>
            </w:r>
            <w:r>
              <w:t xml:space="preserve"> </w:t>
            </w:r>
            <w:r>
              <w:t xml:space="preserve">“Continue”</w:t>
            </w:r>
            <w:r>
              <w:t xml:space="preserve"> </w:t>
            </w:r>
            <w:r>
              <w:t xml:space="preserve">(requires re-auth) or</w:t>
            </w:r>
            <w:r>
              <w:t xml:space="preserve"> </w:t>
            </w:r>
            <w:r>
              <w:t xml:space="preserve">“Logout”</w:t>
            </w:r>
            <w:r>
              <w:t xml:space="preserve"> </w:t>
            </w:r>
            <w:r>
              <w:t xml:space="preserve">(clears session).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Re-Auth Modal</w:t>
            </w:r>
          </w:p>
        </w:tc>
        <w:tc>
          <w:tcPr/>
          <w:p>
            <w:pPr>
              <w:pStyle w:val="Compact"/>
            </w:pPr>
            <w:r>
              <w:t xml:space="preserve">Triggered by high-security actions. Clock# + PIN inline, confirms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for the specific action; does not change the outer session.</w:t>
            </w:r>
          </w:p>
        </w:tc>
      </w:tr>
    </w:tbl>
    <w:bookmarkEnd w:id="53"/>
    <w:bookmarkStart w:id="54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020_AppUser_Authenticate.sql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clock+PIN returns AppUserId; invalid PIN rejects with FailureLog entry; deprecated AppUser rejects; missing clock#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LotStatusHistory; duplicate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rejects;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60–80 passing tests in suite 0013.</w:t>
      </w:r>
    </w:p>
    <w:bookmarkEnd w:id="54"/>
    <w:bookmarkStart w:id="55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1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0010_phase1_shop_floor_foundation.sql</w:t>
      </w:r>
      <w:r>
        <w:t xml:space="preserve"> </w:t>
      </w:r>
      <w:r>
        <w:t xml:space="preserve">applied to dev; new LocationAttributeDefinition rows seeded on Terminal type.</w:t>
      </w:r>
    </w:p>
    <w:p>
      <w:pPr>
        <w:pStyle w:val="Compact"/>
        <w:numPr>
          <w:ilvl w:val="0"/>
          <w:numId w:val="1017"/>
        </w:numPr>
      </w:pPr>
      <w:r>
        <w:t xml:space="preserve">All repeatable procs under</w:t>
      </w:r>
      <w:r>
        <w:t xml:space="preserve"> </w:t>
      </w:r>
      <w:r>
        <w:rPr>
          <w:rStyle w:val="VerbatimChar"/>
        </w:rPr>
        <w:t xml:space="preserve">sql/migrations/repeatable/R__Location_Terminal_*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 </w:t>
      </w:r>
      <w:r>
        <w:t xml:space="preserve">present and up-to-date.</w:t>
      </w:r>
    </w:p>
    <w:p>
      <w:pPr>
        <w:pStyle w:val="Compact"/>
        <w:numPr>
          <w:ilvl w:val="0"/>
          <w:numId w:val="101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60–80).</w:t>
      </w:r>
    </w:p>
    <w:p>
      <w:pPr>
        <w:pStyle w:val="Compact"/>
        <w:numPr>
          <w:ilvl w:val="0"/>
          <w:numId w:val="1019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migration 0010 and runs the new test suite.</w:t>
      </w:r>
    </w:p>
    <w:p>
      <w:pPr>
        <w:pStyle w:val="Compact"/>
        <w:numPr>
          <w:ilvl w:val="0"/>
          <w:numId w:val="1020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21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22"/>
        </w:numPr>
      </w:pPr>
      <w:r>
        <w:t xml:space="preserve">Perspective Home Router view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LogEventType='ShiftStarted'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; any missing rows seeded in migration 0010.</w:t>
      </w:r>
    </w:p>
    <w:p>
      <w:pPr>
        <w:pStyle w:val="Compact"/>
        <w:numPr>
          <w:ilvl w:val="0"/>
          <w:numId w:val="1024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25"/>
        </w:numPr>
      </w:pPr>
      <w:r>
        <w:t xml:space="preserve">Integration check: a dev operator logs in at a dev Terminal, gets routed to the correct default screen, and can successfully perform a stub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end-to-end through Perspective.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3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57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 DDL changes expected. 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 Index additions roll into migration</w:t>
      </w:r>
      <w:r>
        <w:t xml:space="preserve"> </w:t>
      </w:r>
      <w:r>
        <w:rPr>
          <w:rStyle w:val="VerbatimChar"/>
        </w:rPr>
        <w:t xml:space="preserve">0011_phase2_lot_lifecycle.sql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Tables used (all exist from Arc 1):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Lots.GeneologyRelationshipType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</w:tbl>
    <w:bookmarkEnd w:id="57"/>
    <w:bookmarkStart w:id="58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UJ-08 merge rules</w:t>
            </w:r>
          </w:p>
        </w:tc>
        <w:tc>
          <w:tcPr/>
          <w:p>
            <w:pPr>
              <w:pStyle w:val="Compact"/>
            </w:pPr>
            <w:r>
              <w:t xml:space="preserve">Ship with hard-coded rule: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requires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and same</w:t>
            </w:r>
            <w:r>
              <w:t xml:space="preserve"> </w:t>
            </w:r>
            <w:r>
              <w:rPr>
                <w:rStyle w:val="VerbatimChar"/>
              </w:rPr>
              <w:t xml:space="preserve">DieNumber</w:t>
            </w:r>
            <w:r>
              <w:t xml:space="preserve">. If MPP demands configurability, a</w:t>
            </w:r>
            <w:r>
              <w:t xml:space="preserve"> </w:t>
            </w:r>
            <w:r>
              <w:rPr>
                <w:rStyle w:val="VerbatimChar"/>
              </w:rPr>
              <w:t xml:space="preserve">Lots.MergeRule</w:t>
            </w:r>
            <w:r>
              <w:t xml:space="preserve"> </w:t>
            </w:r>
            <w:r>
              <w:t xml:space="preserve">table is added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B10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Not yet relevant — Phase 6 consumes this. Confirm B10 is finalized before Phase 6 starts.</w:t>
            </w:r>
          </w:p>
        </w:tc>
      </w:tr>
    </w:tbl>
    <w:bookmarkEnd w:id="58"/>
    <w:bookmarkStart w:id="64" w:name="state-workflow-2"/>
    <w:p>
      <w:pPr>
        <w:pStyle w:val="Heading2"/>
      </w:pPr>
      <w:r>
        <w:t xml:space="preserve">State &amp; Workflow</w:t>
      </w:r>
    </w:p>
    <w:bookmarkStart w:id="59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26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26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26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27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26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59"/>
    <w:bookmarkStart w:id="60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28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28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28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29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29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29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28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30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30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30"/>
        </w:numPr>
      </w:pPr>
      <w:r>
        <w:t xml:space="preserve">For each source:</w:t>
      </w:r>
    </w:p>
    <w:p>
      <w:pPr>
        <w:pStyle w:val="Compact"/>
        <w:numPr>
          <w:ilvl w:val="1"/>
          <w:numId w:val="1031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30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60"/>
    <w:bookmarkStart w:id="61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61"/>
    <w:bookmarkStart w:id="62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62"/>
    <w:bookmarkStart w:id="63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63"/>
    <w:bookmarkEnd w:id="64"/>
    <w:bookmarkStart w:id="68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65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65"/>
    <w:bookmarkStart w:id="66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66"/>
    <w:bookmarkStart w:id="67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67"/>
    <w:bookmarkEnd w:id="68"/>
    <w:bookmarkStart w:id="69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69"/>
    <w:bookmarkStart w:id="70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70"/>
    <w:bookmarkStart w:id="71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</w:tbl>
    <w:p>
      <w:pPr>
        <w:pStyle w:val="BodyText"/>
      </w:pPr>
      <w:r>
        <w:t xml:space="preserve">Target: 80–100 passing tests in suite 0014.</w:t>
      </w:r>
    </w:p>
    <w:bookmarkEnd w:id="71"/>
    <w:bookmarkStart w:id="72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3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0011_phase2_lot_lifecycle.sql</w:t>
      </w:r>
      <w:r>
        <w:t xml:space="preserve"> </w:t>
      </w:r>
      <w:r>
        <w:t xml:space="preserve">applied (indexes for genealogy hot paths if needed).</w:t>
      </w:r>
    </w:p>
    <w:p>
      <w:pPr>
        <w:pStyle w:val="Compact"/>
        <w:numPr>
          <w:ilvl w:val="0"/>
          <w:numId w:val="1034"/>
        </w:numPr>
      </w:pPr>
      <w:r>
        <w:t xml:space="preserve">All repeatable procs for Lot full mutations, genealogy, and labels present and current.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pass (target 80–100).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37"/>
        </w:numPr>
      </w:pPr>
      <w:r>
        <w:t xml:space="preserve">Perspective LOT Search, Detail, Genealogy Tree Viewer, and Reprint Dialog implemented and manually smoke-tested.</w:t>
      </w:r>
    </w:p>
    <w:p>
      <w:pPr>
        <w:pStyle w:val="Compact"/>
        <w:numPr>
          <w:ilvl w:val="0"/>
          <w:numId w:val="103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7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74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sql/migrations/versioned/0012_phase3_die_cast.sql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3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representing a minimal Die Cast operation (</w:t>
      </w:r>
      <w:r>
        <w:rPr>
          <w:rStyle w:val="VerbatimChar"/>
        </w:rPr>
        <w:t xml:space="preserve">DieCastShot</w:t>
      </w:r>
      <w:r>
        <w:t xml:space="preserve">) with required DataCollectionFields: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(UJ-14).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If OI-10 tool life is resolved Phase 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DieCastMachine type, seed the attribute definition (</w:t>
      </w:r>
      <w:r>
        <w:rPr>
          <w:rStyle w:val="VerbatimChar"/>
        </w:rPr>
        <w:t xml:space="preserve">ShotsSinceLastChange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MaxShotsPerTool</w:t>
      </w:r>
      <w:r>
        <w:t xml:space="preserve">). Otherwise, no-op.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74"/>
    <w:bookmarkStart w:id="75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</w:t>
            </w:r>
          </w:p>
        </w:tc>
        <w:tc>
          <w:tcPr/>
          <w:p>
            <w:pPr>
              <w:pStyle w:val="Compact"/>
            </w:pPr>
            <w:r>
              <w:t xml:space="preserve">If unresolved, shot counts captured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as a DataCollectionField; no running total maintained; supervisor queries history on demand. If Phase 0 chose LocationAttribute approach,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increments the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 </w:t>
            </w:r>
            <w:r>
              <w:t xml:space="preserve">attribute.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Warm-up shots captured as a</w:t>
            </w:r>
            <w:r>
              <w:t xml:space="preserve"> </w:t>
            </w:r>
            <w:r>
              <w:rPr>
                <w:rStyle w:val="VerbatimChar"/>
              </w:rPr>
              <w:t xml:space="preserve">DataCollectionField</w:t>
            </w:r>
            <w:r>
              <w:t xml:space="preserve"> </w:t>
            </w:r>
            <w:r>
              <w:t xml:space="preserve">on the DieCastShot operation template (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field value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). Separately, when a setup-type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is closed,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accumulated warm-up shots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/>
          <w:p>
            <w:pPr>
              <w:pStyle w:val="Compact"/>
            </w:pPr>
            <w:r>
              <w:t xml:space="preserve">Assume real-time. If MPP phases rollout, this station ships first; others follow. Design unchanged.</w:t>
            </w:r>
          </w:p>
        </w:tc>
      </w:tr>
    </w:tbl>
    <w:bookmarkEnd w:id="75"/>
    <w:bookmarkStart w:id="81" w:name="state-workflow-3"/>
    <w:p>
      <w:pPr>
        <w:pStyle w:val="Heading2"/>
      </w:pPr>
      <w:r>
        <w:t xml:space="preserve">State &amp; Workflow</w:t>
      </w:r>
    </w:p>
    <w:bookmarkStart w:id="76" w:name="die-cast-lot-creation-walkthrough"/>
    <w:p>
      <w:pPr>
        <w:pStyle w:val="Heading3"/>
      </w:pPr>
      <w:r>
        <w:t xml:space="preserve">Die Cast LOT creation walkthrough</w:t>
      </w:r>
    </w:p>
    <w:p>
      <w:pPr>
        <w:pStyle w:val="FirstParagraph"/>
      </w:pPr>
      <w:r>
        <w:t xml:space="preserve">Carlos is running DC machine #7, part 5G0, die #42, cavity B. The basket has 48 good parts and 3 rejects from the last shot cycle.</w:t>
      </w:r>
    </w:p>
    <w:p>
      <w:pPr>
        <w:pStyle w:val="Compact"/>
        <w:numPr>
          <w:ilvl w:val="0"/>
          <w:numId w:val="1040"/>
        </w:numPr>
      </w:pPr>
      <w:r>
        <w:t xml:space="preserve">Perspective session is already on the Die Cast LOT Entry screen (DefaultScreen for this terminal, set by Phase 1 routing).</w:t>
      </w:r>
    </w:p>
    <w:p>
      <w:pPr>
        <w:pStyle w:val="Compact"/>
        <w:numPr>
          <w:ilvl w:val="0"/>
          <w:numId w:val="1040"/>
        </w:numPr>
      </w:pPr>
      <w:r>
        <w:t xml:space="preserve">Carlos peels a pre-printed LTT sticker off the stack. It has a barcode, e.g.,</w:t>
      </w:r>
      <w:r>
        <w:t xml:space="preserve"> </w:t>
      </w:r>
      <w:r>
        <w:rPr>
          <w:rStyle w:val="VerbatimChar"/>
        </w:rPr>
        <w:t xml:space="preserve">2026-04-06-0001</w:t>
      </w:r>
      <w:r>
        <w:t xml:space="preserve">, already printed. He sticks it on the basket.</w:t>
      </w:r>
    </w:p>
    <w:p>
      <w:pPr>
        <w:pStyle w:val="Compact"/>
        <w:numPr>
          <w:ilvl w:val="0"/>
          <w:numId w:val="1040"/>
        </w:numPr>
      </w:pPr>
      <w:r>
        <w:t xml:space="preserve">He taps the barcode input on the screen and scans the LTT with the station’s USB scanner. Perspective’s scan binding sets a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 </w:t>
      </w:r>
      <w:r>
        <w:t xml:space="preserve">input field.</w:t>
      </w:r>
    </w:p>
    <w:p>
      <w:pPr>
        <w:pStyle w:val="Compact"/>
        <w:numPr>
          <w:ilvl w:val="0"/>
          <w:numId w:val="1040"/>
        </w:numPr>
      </w:pPr>
      <w:r>
        <w:t xml:space="preserve">The screen reveals the data entry form. It pulls the active OperationTemplate for Die Cast at this machine (Perspective calls</w:t>
      </w:r>
      <w:r>
        <w:t xml:space="preserve"> </w:t>
      </w:r>
      <w:r>
        <w:rPr>
          <w:rStyle w:val="VerbatimChar"/>
        </w:rPr>
        <w:t xml:space="preserve">OperationTemplate_GetActiveForLocation(@LocationId)</w:t>
      </w:r>
      <w:r>
        <w:t xml:space="preserve"> </w:t>
      </w:r>
      <w:r>
        <w:t xml:space="preserve">— a read proc from Arc 1). The form dynamically renders the fields configured on the template: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DieIdentifier</w:t>
      </w:r>
      <w:r>
        <w:t xml:space="preserve"> </w:t>
      </w:r>
      <w:r>
        <w:t xml:space="preserve">(text, required)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CavityNumber</w:t>
      </w:r>
      <w:r>
        <w:t xml:space="preserve"> </w:t>
      </w:r>
      <w:r>
        <w:t xml:space="preserve">(int, required)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NoGoodCount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WarmupShotCount</w:t>
      </w:r>
      <w:r>
        <w:t xml:space="preserve"> </w:t>
      </w:r>
      <w:r>
        <w:t xml:space="preserve">(int, optional, default 0)</w:t>
      </w:r>
    </w:p>
    <w:p>
      <w:pPr>
        <w:pStyle w:val="Compact"/>
        <w:numPr>
          <w:ilvl w:val="0"/>
          <w:numId w:val="1040"/>
        </w:numPr>
      </w:pPr>
      <w:r>
        <w:t xml:space="preserve">Carlos enters</w:t>
      </w:r>
      <w:r>
        <w:t xml:space="preserve"> </w:t>
      </w:r>
      <w:r>
        <w:rPr>
          <w:rStyle w:val="VerbatimChar"/>
        </w:rPr>
        <w:t xml:space="preserve">Die=42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Cavity=B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NoGoodCount=0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 the full payload.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(narrative below) creates the Lot, writes the ProductionEvent, writes any ProductionEventValue children, and returns</w:t>
      </w:r>
      <w:r>
        <w:t xml:space="preserve"> </w:t>
      </w:r>
      <w:r>
        <w:rPr>
          <w:rStyle w:val="VerbatimChar"/>
        </w:rPr>
        <w:t xml:space="preserve">Status=1, Message='OK', NewLotId=&lt;id&gt;, NewProductionEventId=&lt;id&gt;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pre-rendered ZPL for the LTT, which logs the label and returns a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Perspective hands the ZPL + LotLabelId to the</w:t>
      </w:r>
      <w:r>
        <w:t xml:space="preserve"> </w:t>
      </w: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script. Script dispatches to the station’s Zebra printer. On success, script calls</w:t>
      </w:r>
      <w:r>
        <w:t xml:space="preserve"> </w:t>
      </w:r>
      <w:r>
        <w:rPr>
          <w:rStyle w:val="VerbatimChar"/>
        </w:rPr>
        <w:t xml:space="preserve">LotLabel_ConfirmPrint(@LotLabelId)</w:t>
      </w:r>
      <w:r>
        <w:t xml:space="preserve"> </w:t>
      </w:r>
      <w:r>
        <w:t xml:space="preserve">(internal — may just update</w:t>
      </w:r>
      <w:r>
        <w:t xml:space="preserve"> </w:t>
      </w:r>
      <w:r>
        <w:rPr>
          <w:rStyle w:val="VerbatimChar"/>
        </w:rPr>
        <w:t xml:space="preserve">PrintedAt</w:t>
      </w:r>
      <w:r>
        <w:t xml:space="preserve"> </w:t>
      </w:r>
      <w:r>
        <w:t xml:space="preserve">on the row).</w:t>
      </w:r>
    </w:p>
    <w:p>
      <w:pPr>
        <w:pStyle w:val="Compact"/>
        <w:numPr>
          <w:ilvl w:val="0"/>
          <w:numId w:val="1040"/>
        </w:numPr>
      </w:pPr>
      <w:r>
        <w:t xml:space="preserve">The LTT prints beside Carlos. He sticks it on the basket next to the fresh LTT and wheels it out of die cast.</w:t>
      </w:r>
    </w:p>
    <w:bookmarkEnd w:id="76"/>
    <w:bookmarkStart w:id="77" w:name="productionevent_record-the-contract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t xml:space="preserve">Signature (conceptual):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NULL =&gt; create Lot first</w:t>
      </w:r>
      <w:r>
        <w:br/>
      </w:r>
      <w:r>
        <w:rPr>
          <w:rStyle w:val="NormalTok"/>
        </w:rPr>
        <w:t xml:space="preserve">    @LotName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@ItemId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@LotOriginTypeCode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Required if @LotId is NULL; typically 'Manufactured'</w:t>
      </w:r>
      <w:r>
        <w:br/>
      </w:r>
      <w:r>
        <w:rPr>
          <w:rStyle w:val="NormalTok"/>
        </w:rPr>
        <w:t xml:space="preserve">    @LocationId BIGINT,              </w:t>
      </w:r>
      <w:r>
        <w:rPr>
          <w:rStyle w:val="CommentTok"/>
        </w:rPr>
        <w:t xml:space="preserve">-- Machine where event occurred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</w:t>
      </w:r>
      <w:r>
        <w:br/>
      </w:r>
      <w:r>
        <w:rPr>
          <w:rStyle w:val="NormalTok"/>
        </w:rPr>
        <w:t xml:space="preserve">    @DieIdentifier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@CavityNumber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@NoGoodCount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42"/>
        </w:numPr>
      </w:pPr>
      <w:r>
        <w:t xml:space="preserve">Parameter validation:</w:t>
      </w:r>
    </w:p>
    <w:p>
      <w:pPr>
        <w:pStyle w:val="Compact"/>
        <w:numPr>
          <w:ilvl w:val="1"/>
          <w:numId w:val="104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must all be present (creating a new LOT).</w:t>
      </w:r>
    </w:p>
    <w:p>
      <w:pPr>
        <w:pStyle w:val="Compact"/>
        <w:numPr>
          <w:ilvl w:val="1"/>
          <w:numId w:val="104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NOT NULL</w:t>
      </w:r>
      <w:r>
        <w:t xml:space="preserve">, the LOT must exist and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 </w:t>
      </w:r>
      <w:r>
        <w:t xml:space="preserve">must match (or be NULL for identity check).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@LocationId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42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@Item</w:t>
      </w:r>
      <w:r>
        <w:t xml:space="preserve"> </w:t>
      </w:r>
      <w:r>
        <w:t xml:space="preserve">is eligible at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 and its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’s Area (or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meaning universal).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is provided.</w:t>
      </w:r>
    </w:p>
    <w:p>
      <w:pPr>
        <w:pStyle w:val="Compact"/>
        <w:numPr>
          <w:ilvl w:val="0"/>
          <w:numId w:val="1042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Parse the JSON.</w:t>
      </w:r>
    </w:p>
    <w:p>
      <w:pPr>
        <w:pStyle w:val="Compact"/>
        <w:numPr>
          <w:ilvl w:val="1"/>
          <w:numId w:val="104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4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 (</w:t>
      </w:r>
      <w:r>
        <w:rPr>
          <w:rStyle w:val="VerbatimChar"/>
        </w:rPr>
        <w:t xml:space="preserve">Parts.OperationTemplateField</w:t>
      </w:r>
      <w:r>
        <w:t xml:space="preserve">). Otherwise reject.</w:t>
      </w:r>
    </w:p>
    <w:p>
      <w:pPr>
        <w:pStyle w:val="Compact"/>
        <w:numPr>
          <w:ilvl w:val="1"/>
          <w:numId w:val="104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44"/>
        </w:numPr>
      </w:pPr>
      <w:r>
        <w:t xml:space="preserve">A JSON field that duplicates a hot column (e.g., JSON contains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 the LOT parameters. Capture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from the returned</w:t>
      </w:r>
      <w:r>
        <w:t xml:space="preserve"> </w:t>
      </w:r>
      <w:r>
        <w:rPr>
          <w:rStyle w:val="VerbatimChar"/>
        </w:rPr>
        <w:t xml:space="preserve">NewId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with hot columns +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RecordedAt = SYSDATETIME()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4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 </w:t>
      </w:r>
      <w:r>
        <w:t xml:space="preserve">and no corresponding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was passed explicitly, mirror pattern: Phase 3 lets the operator enter rejects in a separate call (</w:t>
      </w:r>
      <w:r>
        <w:rPr>
          <w:rStyle w:val="VerbatimChar"/>
        </w:rPr>
        <w:t xml:space="preserve">RejectEvent_Record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count but does NOT create a RejectEvent automatically. The operator enters defect codes in a follow-on action.</w:t>
      </w:r>
    </w:p>
    <w:p>
      <w:pPr>
        <w:pStyle w:val="Compact"/>
        <w:numPr>
          <w:ilvl w:val="0"/>
          <w:numId w:val="1042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increments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(or is set to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for a newly-created Lot),</w:t>
      </w:r>
      <w:r>
        <w:t xml:space="preserve"> </w:t>
      </w:r>
      <w:r>
        <w:rPr>
          <w:rStyle w:val="VerbatimChar"/>
        </w:rPr>
        <w:t xml:space="preserve">CurrentLocationId = @LocationId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and LotName.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@NewLotId, @NewProductionEventId</w:t>
      </w:r>
      <w:r>
        <w:t xml:space="preserve">.</w:t>
      </w:r>
    </w:p>
    <w:bookmarkEnd w:id="77"/>
    <w:bookmarkStart w:id="78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4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4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4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78"/>
    <w:bookmarkStart w:id="79" w:name="die-cast-shot-counts-uj-14"/>
    <w:p>
      <w:pPr>
        <w:pStyle w:val="Heading3"/>
      </w:pPr>
      <w:r>
        <w:t xml:space="preserve">Die Cast shot counts (UJ-14)</w:t>
      </w:r>
    </w:p>
    <w:p>
      <w:pPr>
        <w:pStyle w:val="FirstParagraph"/>
      </w:pPr>
      <w:r>
        <w:t xml:space="preserve">Warm-up shots are captured via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DataCollectionField on the DieCastShot template. The value lands on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. A separate warm-up shots accumulator on</w:t>
      </w:r>
      <w:r>
        <w:t xml:space="preserve"> </w:t>
      </w:r>
      <w:r>
        <w:rPr>
          <w:rStyle w:val="VerbatimChar"/>
        </w:rPr>
        <w:t xml:space="preserve">DowntimeEvent.ShotCount</w:t>
      </w:r>
      <w:r>
        <w:t xml:space="preserve"> </w:t>
      </w:r>
      <w:r>
        <w:t xml:space="preserve">— populated in Phase 8 when a Setup-type downtime event closes — captures the total per setup episode, useful for OEE.</w:t>
      </w:r>
    </w:p>
    <w:bookmarkEnd w:id="79"/>
    <w:bookmarkStart w:id="80" w:name="tool-life-tracking-oi-10-contingent"/>
    <w:p>
      <w:pPr>
        <w:pStyle w:val="Heading3"/>
      </w:pPr>
      <w:r>
        <w:t xml:space="preserve">Tool life tracking (OI-10 contingent)</w:t>
      </w:r>
    </w:p>
    <w:p>
      <w:pPr>
        <w:pStyle w:val="FirstParagraph"/>
      </w:pPr>
      <w:r>
        <w:t xml:space="preserve">If Phase 0 resolves OI-10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approach: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optionally increments</w:t>
      </w:r>
      <w:r>
        <w:t xml:space="preserve"> </w:t>
      </w:r>
      <w:r>
        <w:rPr>
          <w:rStyle w:val="VerbatimChar"/>
        </w:rPr>
        <w:t xml:space="preserve">ShotsSinceLastChange</w:t>
      </w:r>
      <w:r>
        <w:t xml:space="preserve"> </w:t>
      </w:r>
      <w:r>
        <w:t xml:space="preserve">on the machine’s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row after a successful production event (if the attribute exists for this machine type). If threshold crossed (</w:t>
      </w:r>
      <w:r>
        <w:rPr>
          <w:rStyle w:val="VerbatimChar"/>
        </w:rPr>
        <w:t xml:space="preserve">&gt;= MaxShotsPerTool</w:t>
      </w:r>
      <w:r>
        <w:t xml:space="preserve">), Perspective shows a tool-change alert. No new proc needed — a helper call to the Arc 1</w:t>
      </w:r>
      <w:r>
        <w:t xml:space="preserve"> </w:t>
      </w:r>
      <w:r>
        <w:rPr>
          <w:rStyle w:val="VerbatimChar"/>
        </w:rPr>
        <w:t xml:space="preserve">LocationAttribute_SetValue</w:t>
      </w:r>
      <w:r>
        <w:t xml:space="preserve"> </w:t>
      </w:r>
      <w:r>
        <w:t xml:space="preserve">proc does the increment.</w:t>
      </w:r>
    </w:p>
    <w:p>
      <w:pPr>
        <w:pStyle w:val="BodyText"/>
      </w:pPr>
      <w:r>
        <w:t xml:space="preserve">If Phase 0 chose a dedicated</w:t>
      </w:r>
      <w:r>
        <w:t xml:space="preserve"> </w:t>
      </w:r>
      <w:r>
        <w:rPr>
          <w:rStyle w:val="VerbatimChar"/>
        </w:rPr>
        <w:t xml:space="preserve">Parts.Die</w:t>
      </w:r>
      <w:r>
        <w:t xml:space="preserve"> </w:t>
      </w:r>
      <w:r>
        <w:t xml:space="preserve">table, that work is scoped as a separate mini-phase post-MVP; Phase 3 ships unchanged.</w:t>
      </w:r>
    </w:p>
    <w:bookmarkEnd w:id="80"/>
    <w:bookmarkEnd w:id="81"/>
    <w:bookmarkStart w:id="82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Creates a LOT if needed, writes the event + values, increments piece count, audits. Optional tool-life increment.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 </w:t>
            </w:r>
            <w:r>
              <w:t xml:space="preserve">(tool life optional),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82"/>
    <w:bookmarkStart w:id="83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83"/>
    <w:bookmarkStart w:id="84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84"/>
    <w:bookmarkStart w:id="85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85"/>
    <w:bookmarkStart w:id="86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4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0012_phase3_die_cast.sql</w:t>
      </w:r>
      <w:r>
        <w:t xml:space="preserve"> </w:t>
      </w:r>
      <w:r>
        <w:t xml:space="preserve">applied; seed operation template + fields for DieCastShot present.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Workorder.ProductionEvent_Record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Workorder.RejectEvent_Record</w:t>
      </w:r>
      <w:r>
        <w:t xml:space="preserve">, and read procs delivered and pass tests.</w:t>
      </w:r>
    </w:p>
    <w:p>
      <w:pPr>
        <w:pStyle w:val="Compact"/>
        <w:numPr>
          <w:ilvl w:val="0"/>
          <w:numId w:val="104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49"/>
        </w:numPr>
      </w:pPr>
      <w:r>
        <w:t xml:space="preserve">Perspective Die Cast LOT Entry screen implemented; dynamic field render from OperationTemplate verified.</w:t>
      </w:r>
    </w:p>
    <w:p>
      <w:pPr>
        <w:pStyle w:val="Compact"/>
        <w:numPr>
          <w:ilvl w:val="0"/>
          <w:numId w:val="1050"/>
        </w:numPr>
      </w:pPr>
      <w:r>
        <w:t xml:space="preserve">End-to-end walkthrough: operator scans LTT → fills form → submits → Lot created → event written → LTT prints on dev Zebra → LOT Detail shows the event and its values.</w:t>
      </w:r>
    </w:p>
    <w:p>
      <w:pPr>
        <w:pStyle w:val="Compact"/>
        <w:numPr>
          <w:ilvl w:val="0"/>
          <w:numId w:val="1051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52"/>
        </w:numPr>
      </w:pPr>
      <w:r>
        <w:t xml:space="preserve">If OI-10 resolved as LocationAttribute: tool-life increment wired and verified.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0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88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sql/migrations/versioned/0013_phase4_movement_trim_receiving.sql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53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 appropriate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3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53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88"/>
    <w:bookmarkStart w:id="89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closure weight on containers</w:t>
            </w:r>
          </w:p>
        </w:tc>
        <w:tc>
          <w:tcPr/>
          <w:p>
            <w:pPr>
              <w:pStyle w:val="Compact"/>
            </w:pPr>
            <w:r>
              <w:t xml:space="preserve">Not consumed at Trim directly; Trim reads weight but does not close containers. Deferred to Phase 6.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Real-time assumed.</w:t>
            </w:r>
          </w:p>
        </w:tc>
      </w:tr>
    </w:tbl>
    <w:bookmarkEnd w:id="89"/>
    <w:bookmarkStart w:id="94" w:name="state-workflow-4"/>
    <w:p>
      <w:pPr>
        <w:pStyle w:val="Heading2"/>
      </w:pPr>
      <w:r>
        <w:t xml:space="preserve">State &amp; Workflow</w:t>
      </w:r>
    </w:p>
    <w:bookmarkStart w:id="90" w:name="movement-scan-screen-reusable-pattern"/>
    <w:p>
      <w:pPr>
        <w:pStyle w:val="Heading3"/>
      </w:pPr>
      <w:r>
        <w:t xml:space="preserve">Movement Scan Screen — reusable pattern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54"/>
        </w:numPr>
      </w:pPr>
      <w:r>
        <w:t xml:space="preserve">Scan LTT barcode.</w:t>
      </w:r>
    </w:p>
    <w:p>
      <w:pPr>
        <w:pStyle w:val="Compact"/>
        <w:numPr>
          <w:ilvl w:val="0"/>
          <w:numId w:val="1054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On found: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, then call</w:t>
      </w:r>
      <w:r>
        <w:t xml:space="preserve"> </w:t>
      </w:r>
      <w:r>
        <w:rPr>
          <w:rStyle w:val="VerbatimChar"/>
        </w:rPr>
        <w:t xml:space="preserve">Lot_MoveTo(@LotId, @ToLocationId = session.custom.terminal.terminalLocationId,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54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54"/>
        </w:numPr>
      </w:pPr>
      <w:r>
        <w:t xml:space="preserve">On not-found or blocked: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90"/>
    <w:bookmarkStart w:id="91" w:name="trim-shop-weight-based-piece-count"/>
    <w:p>
      <w:pPr>
        <w:pStyle w:val="Heading3"/>
      </w:pPr>
      <w:r>
        <w:t xml:space="preserve">Trim Shop — weight-based piece count</w:t>
      </w:r>
    </w:p>
    <w:p>
      <w:pPr>
        <w:pStyle w:val="FirstParagraph"/>
      </w:pPr>
      <w:r>
        <w:t xml:space="preserve">The operator sets the basket on the scale.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A Gateway script reads the tag on a debounced-stable signal and posts the weight to the Perspective session as a live binding.</w:t>
      </w:r>
    </w:p>
    <w:p>
      <w:pPr>
        <w:pStyle w:val="Compact"/>
        <w:numPr>
          <w:ilvl w:val="0"/>
          <w:numId w:val="1055"/>
        </w:numPr>
      </w:pPr>
      <w:r>
        <w:t xml:space="preserve">Operator scans 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opens.</w:t>
      </w:r>
    </w:p>
    <w:p>
      <w:pPr>
        <w:pStyle w:val="Compact"/>
        <w:numPr>
          <w:ilvl w:val="0"/>
          <w:numId w:val="1055"/>
        </w:numPr>
      </w:pPr>
      <w:r>
        <w:t xml:space="preserve">UI shows: current LOT’s piece count, current item’s</w:t>
      </w:r>
      <w:r>
        <w:t xml:space="preserve"> </w:t>
      </w:r>
      <w:r>
        <w:rPr>
          <w:rStyle w:val="VerbatimChar"/>
        </w:rPr>
        <w:t xml:space="preserve">UnitWeight</w:t>
      </w:r>
      <w:r>
        <w:t xml:space="preserve">, the live scale weight.</w:t>
      </w:r>
    </w:p>
    <w:p>
      <w:pPr>
        <w:pStyle w:val="Compact"/>
        <w:numPr>
          <w:ilvl w:val="0"/>
          <w:numId w:val="1055"/>
        </w:numPr>
      </w:pPr>
      <w:r>
        <w:t xml:space="preserve">UI computes:</w:t>
      </w:r>
      <w:r>
        <w:t xml:space="preserve"> </w:t>
      </w:r>
      <w:r>
        <w:rPr>
          <w:rStyle w:val="VerbatimChar"/>
        </w:rPr>
        <w:t xml:space="preserve">derivedPieceCount = round(netWeight / unitWeight)</w:t>
      </w:r>
      <w:r>
        <w:t xml:space="preserve">. Operator reviews the derived count vs. current piece count. Per FRS 2.2.3, they can update the count; MES takes no further action on the discrepancy but logs the change.</w:t>
      </w:r>
    </w:p>
    <w:p>
      <w:pPr>
        <w:pStyle w:val="Compact"/>
        <w:numPr>
          <w:ilvl w:val="0"/>
          <w:numId w:val="1055"/>
        </w:numPr>
      </w:pPr>
      <w:r>
        <w:t xml:space="preserve">Operator submits the trim-out action.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@LotId = existingLotId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@LocationId = trimStationLocationId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@OperationTemplateId = TrimShopOperation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@WeightValue = 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 = LB or KG uom Id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@GoodCount = derivedPieceCount</w:t>
      </w:r>
      <w:r>
        <w:t xml:space="preserve"> </w:t>
      </w:r>
      <w:r>
        <w:t xml:space="preserve">(or operator-overridden)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@NoGoodCount = 0</w:t>
      </w:r>
      <w:r>
        <w:t xml:space="preserve"> </w:t>
      </w:r>
      <w:r>
        <w:t xml:space="preserve">(Trim does not reject in MVP — sorter cage is separate)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@DataCollectionValuesJson</w:t>
      </w:r>
      <w:r>
        <w:t xml:space="preserve"> </w:t>
      </w:r>
      <w:r>
        <w:t xml:space="preserve">includes any TrimShopOperation-specific fields (e.g.,</w:t>
      </w:r>
      <w:r>
        <w:t xml:space="preserve"> </w:t>
      </w:r>
      <w:r>
        <w:rPr>
          <w:rStyle w:val="VerbatimChar"/>
        </w:rPr>
        <w:t xml:space="preserve">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TareWeight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event, writes ProductionEventValue rows, updates the Lot’s piece count to the new count (which records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for the before/after), and moves the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to the Trim station.</w:t>
      </w:r>
    </w:p>
    <w:p>
      <w:pPr>
        <w:pStyle w:val="FirstParagraph"/>
      </w:pPr>
      <w:r>
        <w:t xml:space="preserve">The weight-to-count helper is a small proc used by the UI for its live binding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bookmarkEnd w:id="91"/>
    <w:bookmarkStart w:id="92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57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57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58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58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58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58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92"/>
    <w:bookmarkStart w:id="93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93"/>
    <w:bookmarkEnd w:id="94"/>
    <w:bookmarkStart w:id="95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95"/>
    <w:bookmarkStart w:id="96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96"/>
    <w:bookmarkStart w:id="97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97"/>
    <w:bookmarkStart w:id="98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98"/>
    <w:bookmarkStart w:id="99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5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6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62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63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64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15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01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sql/migrations/versioned/0014_phase5_machining.sql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appropriate DataCollectionFields (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</w:t>
      </w:r>
    </w:p>
    <w:p>
      <w:pPr>
        <w:pStyle w:val="Compact"/>
        <w:numPr>
          <w:ilvl w:val="0"/>
          <w:numId w:val="1065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(already from Phase 2 likely),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01"/>
    <w:bookmarkStart w:id="102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/>
          <w:p>
            <w:pPr>
              <w:pStyle w:val="Compact"/>
            </w:pPr>
            <w:r>
              <w:t xml:space="preserve">Phase 0 resolved to auto-split with operator override. Fallback if unresolved: auto-split at</w:t>
            </w:r>
            <w:r>
              <w:t xml:space="preserve"> </w:t>
            </w:r>
            <w:r>
              <w:rPr>
                <w:rStyle w:val="VerbatimChar"/>
              </w:rPr>
              <w:t xml:space="preserve">DefaultSubLotQty</w:t>
            </w:r>
            <w:r>
              <w:t xml:space="preserve">, operator confirms or edits.</w:t>
            </w:r>
          </w:p>
        </w:tc>
      </w:tr>
    </w:tbl>
    <w:bookmarkEnd w:id="102"/>
    <w:bookmarkStart w:id="109" w:name="state-workflow-5"/>
    <w:p>
      <w:pPr>
        <w:pStyle w:val="Heading2"/>
      </w:pPr>
      <w:r>
        <w:t xml:space="preserve">State &amp; Workflow</w:t>
      </w:r>
    </w:p>
    <w:bookmarkStart w:id="103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03"/>
    <w:bookmarkStart w:id="104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66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66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66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66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04"/>
    <w:bookmarkStart w:id="105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67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67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67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Operator reviews. They can: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67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executes:</w:t>
      </w:r>
    </w:p>
    <w:p>
      <w:pPr>
        <w:pStyle w:val="Compact"/>
        <w:numPr>
          <w:ilvl w:val="1"/>
          <w:numId w:val="107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operation. This writes the event + values, increments the parent’s piece count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— wait, clarification: at Machining,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is a through-count, the piece is already in the LOT and being processed. Treat the Machining out event as a pass-through, not an increment: set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 </w:t>
      </w:r>
      <w:r>
        <w:t xml:space="preserve">behavior on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based on the OperationTemplate type. Option: a flag on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IsPieceCountIncrement</w:t>
      </w:r>
      <w:r>
        <w:t xml:space="preserve">) that says whether this template adds pieces (Die Cast = yes) or passes them through (Machining = no). Phase 3’s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honors this flag; Phase 5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, record is captured on the event; operator can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as Die Cast).</w:t>
      </w:r>
    </w:p>
    <w:p>
      <w:pPr>
        <w:pStyle w:val="Compact"/>
        <w:numPr>
          <w:ilvl w:val="1"/>
          <w:numId w:val="107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Closed.</w:t>
      </w:r>
    </w:p>
    <w:p>
      <w:pPr>
        <w:pStyle w:val="Compact"/>
        <w:numPr>
          <w:ilvl w:val="0"/>
          <w:numId w:val="1069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69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05"/>
    <w:bookmarkStart w:id="106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06"/>
    <w:bookmarkStart w:id="107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07"/>
    <w:bookmarkStart w:id="108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08"/>
    <w:bookmarkEnd w:id="109"/>
    <w:bookmarkStart w:id="110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receives a small upgrade in Phase 5: honors</w:t>
      </w:r>
      <w:r>
        <w:t xml:space="preserve"> </w:t>
      </w:r>
      <w:r>
        <w:rPr>
          <w:rStyle w:val="VerbatimChar"/>
        </w:rPr>
        <w:t xml:space="preserve">Parts.OperationTemplate.IsPieceCountIncrement</w:t>
      </w:r>
      <w:r>
        <w:t xml:space="preserve"> </w:t>
      </w:r>
      <w:r>
        <w:t xml:space="preserve">flag. If 0,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on the parent. Phase 3 deliverable gets this flag added in the Phase 3 proc source; migration 0012 (Phase 3) seeds</w:t>
      </w:r>
      <w:r>
        <w:t xml:space="preserve"> </w:t>
      </w:r>
      <w:r>
        <w:rPr>
          <w:rStyle w:val="VerbatimChar"/>
        </w:rPr>
        <w:t xml:space="preserve">DieCastShot.IsPieceCountIncrement=1</w:t>
      </w:r>
      <w:r>
        <w:t xml:space="preserve">; migration 0014 (Phase 5)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BodyText"/>
      </w:pPr>
      <w:r>
        <w:t xml:space="preserve">That flag needs a column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— which means a retroactive DDL addition:</w:t>
      </w:r>
    </w:p>
    <w:p>
      <w:pPr>
        <w:pStyle w:val="BodyText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0014_phase5_machining.sql</w:t>
      </w:r>
      <w:r>
        <w:rPr>
          <w:b/>
          <w:bCs/>
        </w:rPr>
        <w:t xml:space="preserve"> </w:t>
      </w:r>
      <w:r>
        <w:rPr>
          <w:b/>
          <w:bCs/>
        </w:rPr>
        <w:t xml:space="preserve">also adds: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Parts.OperationTemplate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IsPieceCountIncrement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backfills seed rows (</w:t>
      </w:r>
      <w:r>
        <w:rPr>
          <w:rStyle w:val="VerbatimChar"/>
        </w:rPr>
        <w:t xml:space="preserve">DieCastShot</w:t>
      </w:r>
      <w:r>
        <w:t xml:space="preserve">=1,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=0,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=0,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=0).</w:t>
      </w:r>
    </w:p>
    <w:bookmarkEnd w:id="110"/>
    <w:bookmarkStart w:id="111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11"/>
    <w:bookmarkStart w:id="112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12"/>
    <w:bookmarkStart w:id="113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13"/>
    <w:bookmarkStart w:id="114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7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74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75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30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16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76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07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076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07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07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16"/>
    <w:bookmarkStart w:id="117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17"/>
    <w:bookmarkStart w:id="124" w:name="state-workflow-6"/>
    <w:p>
      <w:pPr>
        <w:pStyle w:val="Heading2"/>
      </w:pPr>
      <w:r>
        <w:t xml:space="preserve">State &amp; Workflow</w:t>
      </w:r>
    </w:p>
    <w:bookmarkStart w:id="118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079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079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080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079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079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079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18"/>
    <w:bookmarkStart w:id="119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082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082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082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19"/>
    <w:bookmarkStart w:id="120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20"/>
    <w:bookmarkStart w:id="121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083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21"/>
    <w:bookmarkStart w:id="122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22"/>
    <w:bookmarkStart w:id="123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084"/>
        </w:numPr>
      </w:pPr>
      <w:r>
        <w:t xml:space="preserve">Validate params.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084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8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084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084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23"/>
    <w:bookmarkEnd w:id="124"/>
    <w:bookmarkStart w:id="125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25"/>
    <w:bookmarkStart w:id="126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26"/>
    <w:bookmarkStart w:id="127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27"/>
    <w:bookmarkStart w:id="128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28"/>
    <w:bookmarkStart w:id="129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08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086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08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089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090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091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092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8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31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093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31"/>
    <w:bookmarkStart w:id="132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32"/>
    <w:bookmarkStart w:id="138" w:name="state-workflow-7"/>
    <w:p>
      <w:pPr>
        <w:pStyle w:val="Heading2"/>
      </w:pPr>
      <w:r>
        <w:t xml:space="preserve">State &amp; Workflow</w:t>
      </w:r>
    </w:p>
    <w:bookmarkStart w:id="133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094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094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094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095"/>
        </w:numPr>
      </w:pPr>
      <w:r>
        <w:t xml:space="preserve">Each call: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09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096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Result screen shows: 12 LOTs held, 3 containers flagged, AIM acknowledgements logged.</w:t>
      </w:r>
    </w:p>
    <w:bookmarkEnd w:id="133"/>
    <w:bookmarkStart w:id="134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097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09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98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098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34"/>
    <w:bookmarkStart w:id="135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099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099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00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00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00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00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00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099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099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099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35"/>
    <w:bookmarkStart w:id="136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03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03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04"/>
        </w:numPr>
      </w:pPr>
      <w:r>
        <w:t xml:space="preserve">Proc validates:</w:t>
      </w:r>
    </w:p>
    <w:p>
      <w:pPr>
        <w:pStyle w:val="Compact"/>
        <w:numPr>
          <w:ilvl w:val="1"/>
          <w:numId w:val="1105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05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05"/>
        </w:numPr>
      </w:pPr>
      <w:r>
        <w:t xml:space="preserve">Not already Shipped.</w:t>
      </w:r>
    </w:p>
    <w:p>
      <w:pPr>
        <w:pStyle w:val="Compact"/>
        <w:numPr>
          <w:ilvl w:val="0"/>
          <w:numId w:val="1104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04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36"/>
    <w:bookmarkStart w:id="137" w:name="re-auth-for-high-security-actions-1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37"/>
    <w:bookmarkEnd w:id="138"/>
    <w:bookmarkStart w:id="143" w:name="api-layer-2"/>
    <w:p>
      <w:pPr>
        <w:pStyle w:val="Heading2"/>
      </w:pPr>
      <w:r>
        <w:t xml:space="preserve">API Layer</w:t>
      </w:r>
    </w:p>
    <w:bookmarkStart w:id="139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39"/>
    <w:bookmarkStart w:id="140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0"/>
    <w:bookmarkStart w:id="141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41"/>
    <w:bookmarkStart w:id="142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2"/>
    <w:bookmarkEnd w:id="143"/>
    <w:bookmarkStart w:id="144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44"/>
    <w:bookmarkStart w:id="145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45"/>
    <w:bookmarkStart w:id="146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46"/>
    <w:bookmarkStart w:id="147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0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07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0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09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10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11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12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6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49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13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49"/>
    <w:bookmarkStart w:id="150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50"/>
    <w:bookmarkStart w:id="157" w:name="state-workflow-8"/>
    <w:p>
      <w:pPr>
        <w:pStyle w:val="Heading2"/>
      </w:pPr>
      <w:r>
        <w:t xml:space="preserve">State &amp; Workflow</w:t>
      </w:r>
    </w:p>
    <w:bookmarkStart w:id="151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14"/>
        </w:numPr>
      </w:pPr>
      <w:r>
        <w:t xml:space="preserve">Modal opens with:</w:t>
      </w:r>
    </w:p>
    <w:p>
      <w:pPr>
        <w:pStyle w:val="Compact"/>
        <w:numPr>
          <w:ilvl w:val="1"/>
          <w:numId w:val="1115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15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15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15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15"/>
        </w:numPr>
      </w:pPr>
      <w:r>
        <w:t xml:space="preserve">Notes textarea.</w:t>
      </w:r>
    </w:p>
    <w:p>
      <w:pPr>
        <w:pStyle w:val="Compact"/>
        <w:numPr>
          <w:ilvl w:val="0"/>
          <w:numId w:val="1114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16"/>
        </w:numPr>
      </w:pPr>
      <w:r>
        <w:t xml:space="preserve">Proc validates: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17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17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16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51"/>
    <w:bookmarkStart w:id="152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18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18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18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52"/>
    <w:bookmarkStart w:id="153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19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19"/>
        </w:numPr>
      </w:pPr>
      <w:r>
        <w:t xml:space="preserve">Insert event. Audit.</w:t>
      </w:r>
    </w:p>
    <w:p>
      <w:pPr>
        <w:pStyle w:val="Compact"/>
        <w:numPr>
          <w:ilvl w:val="0"/>
          <w:numId w:val="1119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19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19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53"/>
    <w:bookmarkStart w:id="154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54"/>
    <w:bookmarkStart w:id="155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21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21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21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55"/>
    <w:bookmarkStart w:id="156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22"/>
        </w:numPr>
      </w:pPr>
      <w:r>
        <w:t xml:space="preserve">Open downtime events.</w:t>
      </w:r>
    </w:p>
    <w:p>
      <w:pPr>
        <w:pStyle w:val="Compact"/>
        <w:numPr>
          <w:ilvl w:val="0"/>
          <w:numId w:val="1122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22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22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56"/>
    <w:bookmarkEnd w:id="157"/>
    <w:bookmarkStart w:id="158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58"/>
    <w:bookmarkStart w:id="159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59"/>
    <w:bookmarkStart w:id="160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60"/>
    <w:bookmarkStart w:id="161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61"/>
    <w:bookmarkStart w:id="162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2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25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26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2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28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29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62"/>
    <w:bookmarkStart w:id="163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63"/>
    <w:bookmarkStart w:id="164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64"/>
    <w:bookmarkStart w:id="165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0">
    <w:abstractNumId w:val="991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1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2026-04-16T18:23:58Z</dcterms:created>
  <dcterms:modified xsi:type="dcterms:W3CDTF">2026-04-16T18:23:58Z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