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5"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0.11i — Working Draft</w:t>
      </w:r>
      <w:r>
        <w:t xml:space="preserve"> </w:t>
      </w:r>
      <w:r>
        <w:rPr>
          <w:b/>
          <w:bCs/>
        </w:rPr>
        <w:t xml:space="preserve">Date:</w:t>
      </w:r>
      <w:r>
        <w:t xml:space="preserve"> </w:t>
      </w:r>
      <w:r>
        <w:t xml:space="preserve">2026-04-27</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§7.2 / §7.4 UJ-04 — AIM Shipper ID local pool (zero-latency container closure).</w:t>
            </w:r>
            <w:r>
              <w:t xml:space="preserve"> </w:t>
            </w:r>
            <w:r>
              <w:t xml:space="preserve">Per Jacques’s 2026-04-27 design lock:</w:t>
            </w:r>
            <w:r>
              <w:t xml:space="preserve"> </w:t>
            </w:r>
            <w:r>
              <w:rPr>
                <w:rStyle w:val="VerbatimChar"/>
              </w:rPr>
              <w:t xml:space="preserve">Container_Complete</w:t>
            </w:r>
            <w:r>
              <w:t xml:space="preserve"> </w:t>
            </w:r>
            <w:r>
              <w:t xml:space="preserve">SHALL claim a pre-fetched AIM Shipper ID from a local FIFO pool synchronously inside its own transaction — never inline call to AIM, never deferred async assignment. AIM Shipper IDs attach to Containers only (never sub-assemblies). Empty pool =</w:t>
            </w:r>
            <w:r>
              <w:t xml:space="preserve"> </w:t>
            </w:r>
            <w:r>
              <w:rPr>
                <w:b/>
                <w:bCs/>
              </w:rPr>
              <w:t xml:space="preserve">hard fail</w:t>
            </w:r>
            <w:r>
              <w:t xml:space="preserve">:</w:t>
            </w:r>
            <w:r>
              <w:t xml:space="preserve"> </w:t>
            </w:r>
            <w:r>
              <w:rPr>
                <w:rStyle w:val="VerbatimChar"/>
              </w:rPr>
              <w:t xml:space="preserve">Container_Complete</w:t>
            </w:r>
            <w:r>
              <w:t xml:space="preserve"> </w:t>
            </w:r>
            <w:r>
              <w:t xml:space="preserve">rejects, operator sees error, line stops. Pool topup is a background Gateway timer script that calls</w:t>
            </w:r>
            <w:r>
              <w:t xml:space="preserve"> </w:t>
            </w:r>
            <w:r>
              <w:rPr>
                <w:rStyle w:val="VerbatimChar"/>
              </w:rPr>
              <w:t xml:space="preserve">AIM.GetNextNumber</w:t>
            </w:r>
            <w:r>
              <w:t xml:space="preserve"> </w:t>
            </w:r>
            <w:r>
              <w:t xml:space="preserve">to refill toward a configurable target depth (default 50) when below the topup threshold (default 30). Two new threshold-driven escalations: warning at depth &lt; 20 (supervisor wallboard tile), critical at depth &lt; 10 (supervisor alarm + IT notification). Once consumed, an AIM Shipper ID NEVER returns to the pool — Honda treats every issued ID as permanently consumed; voided / re-packed containers draw a fresh ID. Honda does not expire IDs; no TTL handling needed.</w:t>
            </w:r>
            <w:r>
              <w:t xml:space="preserve"> </w:t>
            </w:r>
            <w:r>
              <w:rPr>
                <w:b/>
                <w:bCs/>
              </w:rPr>
              <w:t xml:space="preserve">FDS-07-005 rewritten</w:t>
            </w:r>
            <w:r>
              <w:t xml:space="preserve"> </w:t>
            </w:r>
            <w:r>
              <w:t xml:space="preserve">— container closure is synchronous and atomic with pool claim (no AIM call inline).</w:t>
            </w:r>
            <w:r>
              <w:t xml:space="preserve"> </w:t>
            </w:r>
            <w:r>
              <w:rPr>
                <w:b/>
                <w:bCs/>
              </w:rPr>
              <w:t xml:space="preserve">FDS-07-008 amended</w:t>
            </w:r>
            <w:r>
              <w:t xml:space="preserve"> </w:t>
            </w:r>
            <w:r>
              <w:t xml:space="preserve">— voided containers do not return ID to pool.</w:t>
            </w:r>
            <w:r>
              <w:t xml:space="preserve"> </w:t>
            </w:r>
            <w:r>
              <w:rPr>
                <w:b/>
                <w:bCs/>
              </w:rPr>
              <w:t xml:space="preserve">FDS-07-010 fully rewritten</w:t>
            </w:r>
            <w:r>
              <w:t xml:space="preserve"> </w:t>
            </w:r>
            <w:r>
              <w:t xml:space="preserve">— pool model, topup state machine, drain script cadence (~30s timer), claim ordering.</w:t>
            </w:r>
            <w:r>
              <w:t xml:space="preserve"> </w:t>
            </w:r>
            <w:r>
              <w:rPr>
                <w:b/>
                <w:bCs/>
              </w:rPr>
              <w:t xml:space="preserve">FDS-07-010a NEW</w:t>
            </w:r>
            <w:r>
              <w:t xml:space="preserve"> </w:t>
            </w:r>
            <w:r>
              <w:t xml:space="preserve">— empty-pool hard-fail behavior.</w:t>
            </w:r>
            <w:r>
              <w:t xml:space="preserve"> </w:t>
            </w:r>
            <w:r>
              <w:rPr>
                <w:b/>
                <w:bCs/>
              </w:rPr>
              <w:t xml:space="preserve">FDS-07-010b NEW</w:t>
            </w:r>
            <w:r>
              <w:t xml:space="preserve"> </w:t>
            </w:r>
            <w:r>
              <w:t xml:space="preserve">— alarm thresholds + IT notification routing.</w:t>
            </w:r>
            <w:r>
              <w:t xml:space="preserve"> </w:t>
            </w:r>
            <w:r>
              <w:rPr>
                <w:b/>
                <w:bCs/>
              </w:rPr>
              <w:t xml:space="preserve">FDS-07-010c NEW</w:t>
            </w:r>
            <w:r>
              <w:t xml:space="preserve"> </w:t>
            </w:r>
            <w:r>
              <w:t xml:space="preserve">— Configuration Tool exposure of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Data Model v1.9h carries new tables</w:t>
            </w:r>
            <w:r>
              <w:t xml:space="preserve"> </w:t>
            </w:r>
            <w:r>
              <w:rPr>
                <w:rStyle w:val="VerbatimChar"/>
              </w:rPr>
              <w:t xml:space="preserve">Lots.AimShipperIdPool</w:t>
            </w:r>
            <w:r>
              <w:t xml:space="preserve"> </w:t>
            </w:r>
            <w:r>
              <w:t xml:space="preserve">and</w:t>
            </w:r>
            <w:r>
              <w:t xml:space="preserve"> </w:t>
            </w:r>
            <w:r>
              <w:rPr>
                <w:rStyle w:val="VerbatimChar"/>
              </w:rPr>
              <w:t xml:space="preserve">Lots.AimPoolConfig</w:t>
            </w:r>
            <w:r>
              <w:t xml:space="preserve">. SQL deferred to Arc 2 Phase 7.</w:t>
            </w:r>
          </w:p>
        </w:tc>
      </w:tr>
      <w:tr>
        <w:tc>
          <w:tcPr/>
          <w:p>
            <w:pPr>
              <w:pStyle w:val="Compact"/>
            </w:pPr>
            <w:r>
              <w:t xml:space="preserve">0.11h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§5.3 OI-21 — Pausable LOT at Workstation,</w:t>
            </w:r>
            <w:r>
              <w:rPr>
                <w:b/>
                <w:bCs/>
              </w:rPr>
              <w:t xml:space="preserve"> </w:t>
            </w:r>
            <w:r>
              <w:rPr>
                <w:rStyle w:val="VerbatimChar"/>
                <w:b/>
                <w:bCs/>
              </w:rPr>
              <w:t xml:space="preserve">Lots.PauseEvent</w:t>
            </w:r>
            <w:r>
              <w:rPr>
                <w:b/>
                <w:bCs/>
              </w:rPr>
              <w:t xml:space="preserve"> </w:t>
            </w:r>
            <w:r>
              <w:rPr>
                <w:b/>
                <w:bCs/>
              </w:rPr>
              <w:t xml:space="preserve">(FDS-05-038 NEW).</w:t>
            </w:r>
            <w:r>
              <w:t xml:space="preserve"> </w:t>
            </w:r>
            <w:r>
              <w:t xml:space="preserve">Per Jacques’s 2026-04-27 design lock: pause is a</w:t>
            </w:r>
            <w:r>
              <w:t xml:space="preserve"> </w:t>
            </w:r>
            <w:r>
              <w:rPr>
                <w:rStyle w:val="VerbatimChar"/>
              </w:rPr>
              <w:t xml:space="preserve">(Lot, Location)</w:t>
            </w:r>
            <w:r>
              <w:t xml:space="preserve"> </w:t>
            </w:r>
            <w:r>
              <w:t xml:space="preserve">lifecycle event, not a</w:t>
            </w:r>
            <w:r>
              <w:t xml:space="preserve"> </w:t>
            </w:r>
            <w:r>
              <w:rPr>
                <w:rStyle w:val="VerbatimChar"/>
              </w:rPr>
              <w:t xml:space="preserve">Workorder.WorkOrderStatus</w:t>
            </w:r>
            <w:r>
              <w:t xml:space="preserve"> </w:t>
            </w:r>
            <w:r>
              <w:t xml:space="preserve">extension. New</w:t>
            </w:r>
            <w:r>
              <w:t xml:space="preserve"> </w:t>
            </w:r>
            <w:r>
              <w:rPr>
                <w:rStyle w:val="VerbatimChar"/>
              </w:rPr>
              <w:t xml:space="preserve">Lots.PauseEvent</w:t>
            </w:r>
            <w:r>
              <w:t xml:space="preserve"> </w:t>
            </w:r>
            <w:r>
              <w:t xml:space="preserve">append-only place/close-lifecycle table (mirrors</w:t>
            </w:r>
            <w:r>
              <w:t xml:space="preserve"> </w:t>
            </w:r>
            <w:r>
              <w:rPr>
                <w:rStyle w:val="VerbatimChar"/>
              </w:rPr>
              <w:t xml:space="preserve">Quality.HoldEvent</w:t>
            </w:r>
            <w:r>
              <w:t xml:space="preserve">). Same LOT MAY be paused at multiple Cells simultaneously (Machining + Assembly partial-progress); no auto-prompt on starting another LOT at a Cell with paused work — every workstation screen instead surfaces a</w:t>
            </w:r>
            <w:r>
              <w:t xml:space="preserve"> </w:t>
            </w:r>
            <w:r>
              <w:rPr>
                <w:b/>
                <w:bCs/>
              </w:rPr>
              <w:t xml:space="preserve">Paused-LOT indicator</w:t>
            </w:r>
            <w:r>
              <w:t xml:space="preserve"> </w:t>
            </w:r>
            <w:r>
              <w:t xml:space="preserve">(count + tap-through detail list). No TTL — paused LOTs persist across shifts and operators (different operator MAY resume someone else’s pause). PausedReason and ResumedRemarks both optional. Pause does NOT transition</w:t>
            </w:r>
            <w:r>
              <w:t xml:space="preserve"> </w:t>
            </w:r>
            <w:r>
              <w:rPr>
                <w:rStyle w:val="VerbatimChar"/>
              </w:rPr>
              <w:t xml:space="preserve">WorkOrderStatus</w:t>
            </w:r>
            <w:r>
              <w:t xml:space="preserve">,</w:t>
            </w:r>
            <w:r>
              <w:t xml:space="preserve"> </w:t>
            </w:r>
            <w:r>
              <w:rPr>
                <w:rStyle w:val="VerbatimChar"/>
              </w:rPr>
              <w:t xml:space="preserve">OperationStatus</w:t>
            </w:r>
            <w:r>
              <w:t xml:space="preserve">, or</w:t>
            </w:r>
            <w:r>
              <w:t xml:space="preserve"> </w:t>
            </w:r>
            <w:r>
              <w:rPr>
                <w:rStyle w:val="VerbatimChar"/>
              </w:rPr>
              <w:t xml:space="preserve">LotStatusCode</w:t>
            </w:r>
            <w:r>
              <w:t xml:space="preserve"> </w:t>
            </w:r>
            <w:r>
              <w:t xml:space="preserve">and does NOT write a</w:t>
            </w:r>
            <w:r>
              <w:t xml:space="preserve"> </w:t>
            </w:r>
            <w:r>
              <w:rPr>
                <w:rStyle w:val="VerbatimChar"/>
              </w:rPr>
              <w:t xml:space="preserve">DowntimeEvent</w:t>
            </w:r>
            <w:r>
              <w:t xml:space="preserve"> </w:t>
            </w:r>
            <w:r>
              <w:t xml:space="preserve">— pause is a LOT-Location operator-focus state record only. Procs land in Arc 2 Phase 1 alongside</w:t>
            </w:r>
            <w:r>
              <w:t xml:space="preserve"> </w:t>
            </w:r>
            <w:r>
              <w:rPr>
                <w:rStyle w:val="VerbatimChar"/>
              </w:rPr>
              <w:t xml:space="preserve">Lots.Lot</w:t>
            </w:r>
            <w:r>
              <w:t xml:space="preserve">:</w:t>
            </w:r>
            <w:r>
              <w:t xml:space="preserve"> </w:t>
            </w:r>
            <w:r>
              <w:rPr>
                <w:rStyle w:val="VerbatimChar"/>
              </w:rPr>
              <w:t xml:space="preserve">Lots.LotPause_Place</w:t>
            </w:r>
            <w:r>
              <w:t xml:space="preserve">,</w:t>
            </w:r>
            <w:r>
              <w:t xml:space="preserve"> </w:t>
            </w:r>
            <w:r>
              <w:rPr>
                <w:rStyle w:val="VerbatimChar"/>
              </w:rPr>
              <w:t xml:space="preserve">_Resume</w:t>
            </w:r>
            <w:r>
              <w:t xml:space="preserve">,</w:t>
            </w:r>
            <w:r>
              <w:t xml:space="preserve"> </w:t>
            </w:r>
            <w:r>
              <w:rPr>
                <w:rStyle w:val="VerbatimChar"/>
              </w:rPr>
              <w:t xml:space="preserve">_GetByLocation</w:t>
            </w:r>
            <w:r>
              <w:t xml:space="preserve">,</w:t>
            </w:r>
            <w:r>
              <w:t xml:space="preserve"> </w:t>
            </w:r>
            <w:r>
              <w:rPr>
                <w:rStyle w:val="VerbatimChar"/>
              </w:rPr>
              <w:t xml:space="preserve">_GetCountsByLocation</w:t>
            </w:r>
            <w:r>
              <w:t xml:space="preserve">. Data Model v1.9g. OIR v2.11 (OI-21 design locked).</w:t>
            </w:r>
          </w:p>
        </w:tc>
      </w:tr>
      <w:tr>
        <w:tc>
          <w:tcPr>
            <w:shd w:val="clear" w:color="auto" w:fill="F2F2F2"/>
          </w:tcPr>
          <w:tcPr/>
          <w:p>
            <w:pPr>
              <w:pStyle w:val="Compact"/>
            </w:pPr>
            <w:r>
              <w:t xml:space="preserve">0.11g</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OI-16 — PLC confirmation BIT +</w:t>
            </w:r>
            <w:r>
              <w:rPr>
                <w:b/>
                <w:bCs/>
              </w:rPr>
              <w:t xml:space="preserve"> </w:t>
            </w:r>
            <w:r>
              <w:rPr>
                <w:rStyle w:val="VerbatimChar"/>
                <w:b/>
                <w:bCs/>
              </w:rPr>
              <w:t xml:space="preserve">RequiresCompletionConfirm</w:t>
            </w:r>
            <w:r>
              <w:rPr>
                <w:b/>
                <w:bCs/>
              </w:rPr>
              <w:t xml:space="preserve"> </w:t>
            </w:r>
            <w:r>
              <w:rPr>
                <w:b/>
                <w:bCs/>
              </w:rPr>
              <w:t xml:space="preserve">LocationAttribute.</w:t>
            </w:r>
            <w:r>
              <w:t xml:space="preserve"> </w:t>
            </w:r>
            <w:r>
              <w:t xml:space="preserve">Per Jacques’s 2026-04-24 OIR review, Auto-Finish on Target (FDS-06-028) gains two additions: (1) a PLC confirmation BIT that must fire before the WO-close event — belt-and-suspenders with the cumulative-count threshold (count crosses target AND PLC confirms, not either-or); (2) a per-Terminal</w:t>
            </w:r>
            <w:r>
              <w:t xml:space="preserve"> </w:t>
            </w:r>
            <w:r>
              <w:rPr>
                <w:rStyle w:val="VerbatimChar"/>
              </w:rPr>
              <w:t xml:space="preserve">RequiresCompletionConfirm</w:t>
            </w:r>
            <w:r>
              <w:t xml:space="preserve"> </w:t>
            </w:r>
            <w:r>
              <w:t xml:space="preserve">LocationAttribute that toggles a large</w:t>
            </w:r>
            <w:r>
              <w:t xml:space="preserve"> </w:t>
            </w:r>
            <w:r>
              <w:t xml:space="preserve">“Confirm Completion”</w:t>
            </w:r>
            <w:r>
              <w:t xml:space="preserve"> </w:t>
            </w:r>
            <w:r>
              <w:t xml:space="preserve">button UX vs a passive popup (</w:t>
            </w:r>
            <w:r>
              <w:t xml:space="preserve">“WorkOrder/Tray/Container Completed”</w:t>
            </w:r>
            <w:r>
              <w:t xml:space="preserve">). Some lines require physical operator acknowledgement at a fixed 1:1 terminal, others don’t. FDS-06-028 extended. New</w:t>
            </w:r>
            <w:r>
              <w:t xml:space="preserve"> </w:t>
            </w:r>
            <w:r>
              <w:rPr>
                <w:rStyle w:val="VerbatimChar"/>
              </w:rPr>
              <w:t xml:space="preserve">LocationAttributeDefinition</w:t>
            </w:r>
            <w:r>
              <w:t xml:space="preserve"> </w:t>
            </w:r>
            <w:r>
              <w:t xml:space="preserve">seed row on</w:t>
            </w:r>
            <w:r>
              <w:t xml:space="preserve"> </w:t>
            </w:r>
            <w:r>
              <w:rPr>
                <w:rStyle w:val="VerbatimChar"/>
              </w:rPr>
              <w:t xml:space="preserve">Terminal</w:t>
            </w:r>
            <w:r>
              <w:t xml:space="preserve"> </w:t>
            </w:r>
            <w:r>
              <w:t xml:space="preserve">LocationTypeDefinition. ERD + Arc 2 Plan Phase 6 updated.</w:t>
            </w:r>
          </w:p>
        </w:tc>
      </w:tr>
      <w:tr>
        <w:tc>
          <w:tcPr/>
          <w:p>
            <w:pPr>
              <w:pStyle w:val="Compact"/>
            </w:pPr>
            <w:r>
              <w:t xml:space="preserve">0.11f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§5.1 OI-23 — LOT derived quantities implemented as a view, not materialized columns.</w:t>
            </w:r>
            <w:r>
              <w:t xml:space="preserve"> </w:t>
            </w:r>
            <w:r>
              <w:t xml:space="preserve">Per Jacques’s 2026-04-24 OIR review: use a SQL view (</w:t>
            </w:r>
            <w:r>
              <w:rPr>
                <w:rStyle w:val="VerbatimChar"/>
              </w:rPr>
              <w:t xml:space="preserve">Lots.v_LotDerivedQuantities</w:t>
            </w:r>
            <w:r>
              <w:t xml:space="preserve">) computing</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no update-on-write. FDS-05-031 rewritten to specify the view-backed derivation and drop the</w:t>
            </w:r>
            <w:r>
              <w:t xml:space="preserve"> </w:t>
            </w:r>
            <w:r>
              <w:t xml:space="preserve">“may be materialized in a future phase”</w:t>
            </w:r>
            <w:r>
              <w:t xml:space="preserve"> </w:t>
            </w:r>
            <w:r>
              <w:t xml:space="preserve">option. Data Model v1.9e documents the view. Arc 2 Plan Phase 2 migration gains the view creation.</w:t>
            </w:r>
          </w:p>
        </w:tc>
      </w:tr>
      <w:tr>
        <w:tc>
          <w:tcPr>
            <w:shd w:val="clear" w:color="auto" w:fill="F2F2F2"/>
          </w:tcPr>
          <w:tcPr/>
          <w:p>
            <w:pPr>
              <w:pStyle w:val="Compact"/>
            </w:pPr>
            <w:r>
              <w:t xml:space="preserve">0.11e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 §4 OI-08 terminal-mode-by-assignment rule.</w:t>
            </w:r>
            <w:r>
              <w:t xml:space="preserve"> </w:t>
            </w:r>
            <w:r>
              <w:t xml:space="preserve">Per Jacques’s 2026-04-24 OIR review: the Terminal’s</w:t>
            </w:r>
            <w:r>
              <w:t xml:space="preserve"> </w:t>
            </w:r>
            <w:r>
              <w:rPr>
                <w:b/>
                <w:bCs/>
              </w:rPr>
              <w:t xml:space="preserve">parent Location tier determines its mode</w:t>
            </w:r>
            <w:r>
              <w:t xml:space="preserve"> </w:t>
            </w:r>
            <w:r>
              <w:t xml:space="preserve">— no separate</w:t>
            </w:r>
            <w:r>
              <w:t xml:space="preserve"> </w:t>
            </w:r>
            <w:r>
              <w:rPr>
                <w:rStyle w:val="VerbatimChar"/>
              </w:rPr>
              <w:t xml:space="preserve">TerminalMode</w:t>
            </w:r>
            <w:r>
              <w:t xml:space="preserve"> </w:t>
            </w:r>
            <w:r>
              <w:t xml:space="preserve">LocationAttribute needed. A Terminal whose parent Location is a WorkCenter (or Cell) is Dedicated; a Terminal whose parent Location is an Area is Shared. FDS-02-010 rewritten with the parent-tier-derived rule. FDS-04-003 rewritten to match (same Dedicated/Shared semantics, different derivation). The</w:t>
            </w:r>
            <w:r>
              <w:t xml:space="preserve"> </w:t>
            </w:r>
            <w:r>
              <w:rPr>
                <w:rStyle w:val="VerbatimChar"/>
              </w:rPr>
              <w:t xml:space="preserve">TerminalMode</w:t>
            </w:r>
            <w:r>
              <w:t xml:space="preserve"> </w:t>
            </w:r>
            <w:r>
              <w:t xml:space="preserve">LocationAttribute is superseded; the</w:t>
            </w:r>
            <w:r>
              <w:t xml:space="preserve"> </w:t>
            </w:r>
            <w:r>
              <w:rPr>
                <w:rStyle w:val="VerbatimChar"/>
              </w:rPr>
              <w:t xml:space="preserve">DedicatedMachineLocationId</w:t>
            </w:r>
            <w:r>
              <w:t xml:space="preserve"> </w:t>
            </w:r>
            <w:r>
              <w:t xml:space="preserve">attribute is also retired (the machine context IS the parent when Dedicated). FDS-02-011 machine-context-lock rule unchanged. Arc 2 Plan Phase 1</w:t>
            </w:r>
            <w:r>
              <w:t xml:space="preserve"> </w:t>
            </w:r>
            <w:r>
              <w:rPr>
                <w:rStyle w:val="VerbatimChar"/>
              </w:rPr>
              <w:t xml:space="preserve">Terminal_ResolveFromSession</w:t>
            </w:r>
            <w:r>
              <w:t xml:space="preserve"> </w:t>
            </w:r>
            <w:r>
              <w:t xml:space="preserve">proc spec already updated. ERD Location tab scope notes follow. No data-model schema change.</w:t>
            </w:r>
          </w:p>
        </w:tc>
      </w:tr>
      <w:tr>
        <w:tc>
          <w:tcPr/>
          <w:p>
            <w:pPr>
              <w:pStyle w:val="Compact"/>
            </w:pPr>
            <w:r>
              <w:t xml:space="preserve">0.11d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§3.5 OI-18 extension — ItemLocation hierarchy cascade.</w:t>
            </w:r>
            <w:r>
              <w:t xml:space="preserve"> </w:t>
            </w:r>
            <w:r>
              <w:t xml:space="preserve">Per Jacques’s 2026-04-24 OIR review,</w:t>
            </w:r>
            <w:r>
              <w:t xml:space="preserve"> </w:t>
            </w:r>
            <w:r>
              <w:rPr>
                <w:rStyle w:val="VerbatimChar"/>
              </w:rPr>
              <w:t xml:space="preserve">Parts.ItemLocation.LocationId</w:t>
            </w:r>
            <w:r>
              <w:t xml:space="preserve"> </w:t>
            </w:r>
            <w:r>
              <w:t xml:space="preserve">is broadened to support Area / WorkCenter / Cell tiers. Eligibility at a specific Cell = exact-match row OR any ancestor row. FDS-03-014 (Eligibility Map) rewritten with the cascade algorithm. FDS-03-015 (Eligibility Management) extended with Config Tool UI note for tier selection. FDS-03-018 (Consumption Metadata) clarified — metadata lives on the ItemLocation row at whatever tier is declared; when a Cell scan-in resolves to an ancestor ItemLocation row, that row’s consumption metadata applies. New helper proc</w:t>
            </w:r>
            <w:r>
              <w:t xml:space="preserve"> </w:t>
            </w:r>
            <w:r>
              <w:rPr>
                <w:rStyle w:val="VerbatimChar"/>
              </w:rPr>
              <w:t xml:space="preserve">Parts.ItemLocation_IsEligible</w:t>
            </w:r>
            <w:r>
              <w:t xml:space="preserve"> </w:t>
            </w:r>
            <w:r>
              <w:t xml:space="preserve">specified. No column changes — the existing generic</w:t>
            </w:r>
            <w:r>
              <w:t xml:space="preserve"> </w:t>
            </w:r>
            <w:r>
              <w:rPr>
                <w:rStyle w:val="VerbatimChar"/>
              </w:rPr>
              <w:t xml:space="preserve">LocationId</w:t>
            </w:r>
            <w:r>
              <w:t xml:space="preserve"> </w:t>
            </w:r>
            <w:r>
              <w:t xml:space="preserve">FK already supports any tier.</w:t>
            </w:r>
          </w:p>
        </w:tc>
      </w:tr>
      <w:tr>
        <w:tc>
          <w:tcPr>
            <w:shd w:val="clear" w:color="auto" w:fill="F2F2F2"/>
          </w:tcPr>
          <w:tcPr/>
          <w:p>
            <w:pPr>
              <w:pStyle w:val="Compact"/>
            </w:pPr>
            <w:r>
              <w:t xml:space="preserve">0.11c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OI-12 correction —</w:t>
            </w:r>
            <w:r>
              <w:rPr>
                <w:b/>
                <w:bCs/>
              </w:rPr>
              <w:t xml:space="preserve"> </w:t>
            </w:r>
            <w:r>
              <w:rPr>
                <w:rStyle w:val="VerbatimChar"/>
                <w:b/>
                <w:bCs/>
              </w:rPr>
              <w:t xml:space="preserve">MaxParts</w:t>
            </w:r>
            <w:r>
              <w:rPr>
                <w:b/>
                <w:bCs/>
              </w:rPr>
              <w:t xml:space="preserve"> </w:t>
            </w:r>
            <w:r>
              <w:rPr>
                <w:b/>
                <w:bCs/>
              </w:rPr>
              <w:t xml:space="preserve">reclassified as a Part attribute.</w:t>
            </w:r>
            <w:r>
              <w:t xml:space="preserve"> </w:t>
            </w:r>
            <w:r>
              <w:t xml:space="preserve">Per Jacques’s 2026-04-24 OIR review, the</w:t>
            </w:r>
            <w:r>
              <w:t xml:space="preserve"> </w:t>
            </w:r>
            <w:r>
              <w:rPr>
                <w:rStyle w:val="VerbatimChar"/>
              </w:rPr>
              <w:t xml:space="preserve">MaxParts</w:t>
            </w:r>
            <w:r>
              <w:t xml:space="preserve"> </w:t>
            </w:r>
            <w:r>
              <w:t xml:space="preserve">cap belongs on</w:t>
            </w:r>
            <w:r>
              <w:t xml:space="preserve"> </w:t>
            </w:r>
            <w:r>
              <w:rPr>
                <w:rStyle w:val="VerbatimChar"/>
              </w:rPr>
              <w:t xml:space="preserve">Parts.Item</w:t>
            </w:r>
            <w:r>
              <w:t xml:space="preserve">, not on</w:t>
            </w:r>
            <w:r>
              <w:t xml:space="preserve"> </w:t>
            </w:r>
            <w:r>
              <w:rPr>
                <w:rStyle w:val="VerbatimChar"/>
              </w:rPr>
              <w:t xml:space="preserve">Parts.ContainerConfig</w:t>
            </w:r>
            <w:r>
              <w:t xml:space="preserve"> </w:t>
            </w:r>
            <w:r>
              <w:t xml:space="preserve">— it’s evaluated when inventory is checked into a Location, against the Part identity. FDS-03-019 rewritten: target is</w:t>
            </w:r>
            <w:r>
              <w:t xml:space="preserve"> </w:t>
            </w:r>
            <w:r>
              <w:rPr>
                <w:rStyle w:val="VerbatimChar"/>
              </w:rPr>
              <w:t xml:space="preserve">Parts.Item.MaxParts</w:t>
            </w:r>
            <w:r>
              <w:t xml:space="preserve"> </w:t>
            </w:r>
            <w:r>
              <w:t xml:space="preserve">(per-Item per-Location cap); validation fires on</w:t>
            </w:r>
            <w:r>
              <w:t xml:space="preserve"> </w:t>
            </w:r>
            <w:r>
              <w:rPr>
                <w:rStyle w:val="VerbatimChar"/>
              </w:rPr>
              <w:t xml:space="preserve">LotMovement</w:t>
            </w:r>
            <w:r>
              <w:t xml:space="preserve"> </w:t>
            </w:r>
            <w:r>
              <w:t xml:space="preserve">to a Cell, summing existing pieces of this Item already at the destination Location + incoming quantity. Complementary FDS-03-020 (Location-scoped</w:t>
            </w:r>
            <w:r>
              <w:t xml:space="preserve"> </w:t>
            </w:r>
            <w:r>
              <w:rPr>
                <w:rStyle w:val="VerbatimChar"/>
              </w:rPr>
              <w:t xml:space="preserve">LinesideLimit</w:t>
            </w:r>
            <w:r>
              <w:t xml:space="preserve">) unchanged; the two caps are orthogonal. Data Model v1.9c carries the column relocation.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test 0019 update).</w:t>
            </w:r>
          </w:p>
        </w:tc>
      </w:tr>
      <w:tr>
        <w:tc>
          <w:tcPr/>
          <w:p>
            <w:pPr>
              <w:pStyle w:val="Compact"/>
            </w:pPr>
            <w:r>
              <w:t xml:space="preserve">0.11b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4"/>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4"/>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5"/>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5"/>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5"/>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5"/>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4"/>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4"/>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6"/>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6"/>
        </w:numPr>
      </w:pPr>
      <w:r>
        <w:t xml:space="preserve">If none, check at the Cell’s parent WorkCenter (if a WorkCenter tier exists between Cell and Area).</w:t>
      </w:r>
    </w:p>
    <w:p>
      <w:pPr>
        <w:pStyle w:val="Compact"/>
        <w:numPr>
          <w:ilvl w:val="0"/>
          <w:numId w:val="1006"/>
        </w:numPr>
      </w:pPr>
      <w:r>
        <w:t xml:space="preserve">If none, check at the parent Area.</w:t>
      </w:r>
    </w:p>
    <w:p>
      <w:pPr>
        <w:pStyle w:val="Compact"/>
        <w:numPr>
          <w:ilvl w:val="0"/>
          <w:numId w:val="1006"/>
        </w:numPr>
      </w:pPr>
      <w:r>
        <w:t xml:space="preserve">If none, check at the Site.</w:t>
      </w:r>
    </w:p>
    <w:p>
      <w:pPr>
        <w:pStyle w:val="Compact"/>
        <w:numPr>
          <w:ilvl w:val="0"/>
          <w:numId w:val="1006"/>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7"/>
    <w:bookmarkStart w:id="78"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8"/>
    <w:bookmarkStart w:id="79"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7"/>
        </w:numPr>
      </w:pPr>
      <w:r>
        <w:t xml:space="preserve">Sum existing pieces of this Item across all non-Closed LOTs currently at the destination Location.</w:t>
      </w:r>
    </w:p>
    <w:p>
      <w:pPr>
        <w:pStyle w:val="Compact"/>
        <w:numPr>
          <w:ilvl w:val="0"/>
          <w:numId w:val="1007"/>
        </w:numPr>
      </w:pPr>
      <w:r>
        <w:t xml:space="preserve">Add the incoming LOT’s piece count.</w:t>
      </w:r>
    </w:p>
    <w:p>
      <w:pPr>
        <w:pStyle w:val="Compact"/>
        <w:numPr>
          <w:ilvl w:val="0"/>
          <w:numId w:val="1007"/>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8"/>
        </w:numPr>
      </w:pPr>
      <w:r>
        <w:t xml:space="preserve">another operator enters different initials, or</w:t>
      </w:r>
    </w:p>
    <w:p>
      <w:pPr>
        <w:pStyle w:val="Compact"/>
        <w:numPr>
          <w:ilvl w:val="0"/>
          <w:numId w:val="1008"/>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09"/>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09"/>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0"/>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0"/>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1"/>
        </w:numPr>
      </w:pPr>
      <w:r>
        <w:t xml:space="preserve">Place a LOT on hold</w:t>
      </w:r>
    </w:p>
    <w:p>
      <w:pPr>
        <w:pStyle w:val="Compact"/>
        <w:numPr>
          <w:ilvl w:val="0"/>
          <w:numId w:val="1011"/>
        </w:numPr>
      </w:pPr>
      <w:r>
        <w:t xml:space="preserve">Release a LOT from hold</w:t>
      </w:r>
    </w:p>
    <w:p>
      <w:pPr>
        <w:pStyle w:val="Compact"/>
        <w:numPr>
          <w:ilvl w:val="0"/>
          <w:numId w:val="1011"/>
        </w:numPr>
      </w:pPr>
      <w:r>
        <w:t xml:space="preserve">Override a vision or interlock failure</w:t>
      </w:r>
    </w:p>
    <w:p>
      <w:pPr>
        <w:pStyle w:val="Compact"/>
        <w:numPr>
          <w:ilvl w:val="0"/>
          <w:numId w:val="1011"/>
        </w:numPr>
      </w:pPr>
      <w:r>
        <w:t xml:space="preserve">Scrap a LOT or container</w:t>
      </w:r>
    </w:p>
    <w:p>
      <w:pPr>
        <w:pStyle w:val="Compact"/>
        <w:numPr>
          <w:ilvl w:val="0"/>
          <w:numId w:val="1011"/>
        </w:numPr>
      </w:pPr>
      <w:r>
        <w:t xml:space="preserve">Void or reprint a shipping label</w:t>
      </w:r>
    </w:p>
    <w:p>
      <w:pPr>
        <w:pStyle w:val="Compact"/>
        <w:numPr>
          <w:ilvl w:val="0"/>
          <w:numId w:val="1011"/>
        </w:numPr>
      </w:pPr>
      <w:r>
        <w:t xml:space="preserve">Merge or split LOTs outside of the normal sort workflow</w:t>
      </w:r>
    </w:p>
    <w:p>
      <w:pPr>
        <w:pStyle w:val="Compact"/>
        <w:numPr>
          <w:ilvl w:val="0"/>
          <w:numId w:val="1011"/>
        </w:numPr>
      </w:pPr>
      <w:r>
        <w:t xml:space="preserve">Issue or close a maintenance work order against a tool</w:t>
      </w:r>
    </w:p>
    <w:p>
      <w:pPr>
        <w:pStyle w:val="Compact"/>
        <w:numPr>
          <w:ilvl w:val="0"/>
          <w:numId w:val="1011"/>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1"/>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2"/>
        </w:numPr>
      </w:pPr>
      <w:r>
        <w:t xml:space="preserve">Shop-floor terminal screens SHALL be accessible without interactive authentication; operator presence is sufficient.</w:t>
      </w:r>
    </w:p>
    <w:p>
      <w:pPr>
        <w:pStyle w:val="Compact"/>
        <w:numPr>
          <w:ilvl w:val="0"/>
          <w:numId w:val="1012"/>
        </w:numPr>
      </w:pPr>
      <w:r>
        <w:t xml:space="preserve">Shop-floor screens SHALL NOT expose Configuration Tool or master-data functions.</w:t>
      </w:r>
    </w:p>
    <w:p>
      <w:pPr>
        <w:pStyle w:val="Compact"/>
        <w:numPr>
          <w:ilvl w:val="0"/>
          <w:numId w:val="1012"/>
        </w:numPr>
      </w:pPr>
      <w:r>
        <w:t xml:space="preserve">Configuration Tool, Supervisor dashboards, and Engineering screens SHALL require AD-backed authentication on page entry.</w:t>
      </w:r>
    </w:p>
    <w:p>
      <w:pPr>
        <w:pStyle w:val="Compact"/>
        <w:numPr>
          <w:ilvl w:val="0"/>
          <w:numId w:val="1012"/>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50"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3"/>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3"/>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3"/>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e99039f4cd1e6342dc2c780fee51f659d6668eb"/>
    <w:p>
      <w:pPr>
        <w:pStyle w:val="Heading4"/>
      </w:pPr>
      <w:r>
        <w:t xml:space="preserve">FDS-05-031 — LOT Computed Quantities (TotalInProcess, InventoryAvailable) —</w:t>
      </w:r>
      <w:r>
        <w:t xml:space="preserve"> </w:t>
      </w:r>
      <w:r>
        <w:rPr>
          <w:rStyle w:val="VerbatimChar"/>
        </w:rPr>
        <w:t xml:space="preserve">MVP</w:t>
      </w:r>
      <w:r>
        <w:t xml:space="preserve"> </w:t>
      </w:r>
      <w:r>
        <w:t xml:space="preserve">(revised v0.11f)</w:t>
      </w:r>
    </w:p>
    <w:p>
      <w:pPr>
        <w:pStyle w:val="FirstParagraph"/>
      </w:pPr>
      <w:r>
        <w:rPr>
          <w:b/>
          <w:bCs/>
        </w:rPr>
        <w:t xml:space="preserve">OI-23 (revised 2026-04-24):</w:t>
      </w:r>
      <w:r>
        <w:t xml:space="preserve"> </w:t>
      </w:r>
      <w:r>
        <w:t xml:space="preserve">The Lot Details screen SHALL surface two derived quantities in the header:</w:t>
      </w:r>
    </w:p>
    <w:p>
      <w:pPr>
        <w:pStyle w:val="Compact"/>
        <w:numPr>
          <w:ilvl w:val="0"/>
          <w:numId w:val="1014"/>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4"/>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9"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Start w:id="118" w:name="Xa6b20c4fee3ee7ad89444c4d96ccdc0913b856c"/>
    <w:p>
      <w:pPr>
        <w:pStyle w:val="Heading4"/>
      </w:pPr>
      <w:r>
        <w:t xml:space="preserve">FDS-05-038 — Pausable LOT at Workstation —</w:t>
      </w:r>
      <w:r>
        <w:t xml:space="preserve"> </w:t>
      </w:r>
      <w:r>
        <w:rPr>
          <w:rStyle w:val="VerbatimChar"/>
        </w:rPr>
        <w:t xml:space="preserve">MVP</w:t>
      </w:r>
      <w:r>
        <w:t xml:space="preserve"> </w:t>
      </w:r>
      <w:r>
        <w:t xml:space="preserve">(v0.11h, OI-21)</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Arc 2 Phase 1 SHALL deliver:</w:t>
      </w:r>
      <w:r>
        <w:t xml:space="preserve"> </w:t>
      </w:r>
      <w:r>
        <w:t xml:space="preserve">-</w:t>
      </w:r>
      <w:r>
        <w:t xml:space="preserve"> </w:t>
      </w: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r>
        <w:t xml:space="preserve"> </w:t>
      </w:r>
      <w:r>
        <w:t xml:space="preserve">-</w:t>
      </w:r>
      <w:r>
        <w:t xml:space="preserve"> </w:t>
      </w:r>
      <w:r>
        <w:rPr>
          <w:rStyle w:val="VerbatimChar"/>
        </w:rPr>
        <w:t xml:space="preserve">Lots.LotPause_Resume(@LotId, @LocationId, @ResumedByUserId, @ResumedRemarks NVARCHAR(500) = NULL)</w:t>
      </w:r>
      <w:r>
        <w:t xml:space="preserve"> </w:t>
      </w:r>
      <w:r>
        <w:t xml:space="preserve">— closes the open pause; rejects if no open pause exists.</w:t>
      </w:r>
      <w:r>
        <w:t xml:space="preserve"> </w:t>
      </w:r>
      <w:r>
        <w:t xml:space="preserve">-</w:t>
      </w:r>
      <w:r>
        <w:t xml:space="preserve"> </w:t>
      </w: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r>
        <w:t xml:space="preserve"> </w:t>
      </w:r>
      <w:r>
        <w:t xml:space="preserve">-</w:t>
      </w:r>
      <w:r>
        <w:t xml:space="preserve"> </w:t>
      </w: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BodyText"/>
      </w:pPr>
      <w:r>
        <w:t xml:space="preserve">All four procs follow the FDS-11-011 single-result-set convention. Mutations write to</w:t>
      </w:r>
      <w:r>
        <w:t xml:space="preserve"> </w:t>
      </w:r>
      <w:r>
        <w:rPr>
          <w:rStyle w:val="VerbatimChar"/>
        </w:rPr>
        <w:t xml:space="preserve">Audit.OperationLog</w:t>
      </w:r>
      <w:r>
        <w:t xml:space="preserve">; the new</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in the Arc 2 Phase 1 migration.</w:t>
      </w:r>
    </w:p>
    <w:p>
      <w:pPr>
        <w:pStyle w:val="BodyText"/>
      </w:pPr>
      <w:r>
        <w:rPr>
          <w:b/>
          <w:bCs/>
        </w:rPr>
        <w:t xml:space="preserve">Implementation deferred.</w:t>
      </w:r>
      <w:r>
        <w:t xml:space="preserve"> </w:t>
      </w:r>
      <w:r>
        <w:t xml:space="preserve">Like the rest of the Lots schema,</w:t>
      </w:r>
      <w:r>
        <w:t xml:space="preserve"> </w:t>
      </w:r>
      <w:r>
        <w:rPr>
          <w:rStyle w:val="VerbatimChar"/>
        </w:rPr>
        <w:t xml:space="preserve">Lots.PauseEvent</w:t>
      </w:r>
      <w:r>
        <w:t xml:space="preserve"> </w:t>
      </w:r>
      <w:r>
        <w:t xml:space="preserve">and its procs CREATE in Arc 2 Phase 1 — they do not exist in the Phase 1–8 codebase. Data model contract: §3 PauseEvent.</w:t>
      </w:r>
    </w:p>
    <w:bookmarkEnd w:id="118"/>
    <w:bookmarkEnd w:id="119"/>
    <w:bookmarkStart w:id="126"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20"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0"/>
    <w:bookmarkStart w:id="121"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1"/>
    <w:bookmarkStart w:id="12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2"/>
    <w:bookmarkStart w:id="123"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3"/>
    <w:bookmarkStart w:id="124"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4"/>
    <w:bookmarkStart w:id="12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5"/>
    <w:bookmarkEnd w:id="126"/>
    <w:bookmarkStart w:id="134"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7"/>
    <w:bookmarkStart w:id="12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8"/>
    <w:bookmarkStart w:id="12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9"/>
    <w:bookmarkStart w:id="13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6"/>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6"/>
        </w:numPr>
      </w:pPr>
      <w:r>
        <w:t xml:space="preserve">If all source LOTs share the same die, the compatibility check is bypassed; proceed to FDS-05-028 (Quality Status Gating).</w:t>
      </w:r>
    </w:p>
    <w:p>
      <w:pPr>
        <w:pStyle w:val="Compact"/>
        <w:numPr>
          <w:ilvl w:val="0"/>
          <w:numId w:val="1016"/>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6"/>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6"/>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30"/>
    <w:bookmarkStart w:id="13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1"/>
    <w:bookmarkStart w:id="13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2"/>
    <w:bookmarkStart w:id="133"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3"/>
    <w:bookmarkEnd w:id="134"/>
    <w:bookmarkStart w:id="138" w:name="lot-status-transitions"/>
    <w:p>
      <w:pPr>
        <w:pStyle w:val="Heading3"/>
      </w:pPr>
      <w:r>
        <w:t xml:space="preserve">5.6 LOT Status Transitions</w:t>
      </w:r>
    </w:p>
    <w:bookmarkStart w:id="13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5"/>
    <w:bookmarkStart w:id="13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6"/>
    <w:bookmarkStart w:id="13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7"/>
    <w:bookmarkEnd w:id="138"/>
    <w:bookmarkStart w:id="142" w:name="genealogy"/>
    <w:p>
      <w:pPr>
        <w:pStyle w:val="Heading3"/>
      </w:pPr>
      <w:r>
        <w:t xml:space="preserve">5.7 Genealogy</w:t>
      </w:r>
    </w:p>
    <w:bookmarkStart w:id="13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9"/>
    <w:bookmarkStart w:id="14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0"/>
    <w:bookmarkStart w:id="14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1"/>
    <w:bookmarkEnd w:id="142"/>
    <w:bookmarkStart w:id="145" w:name="lot-label-management"/>
    <w:p>
      <w:pPr>
        <w:pStyle w:val="Heading3"/>
      </w:pPr>
      <w:r>
        <w:t xml:space="preserve">5.8 LOT Label Management</w:t>
      </w:r>
    </w:p>
    <w:bookmarkStart w:id="14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3"/>
    <w:bookmarkStart w:id="14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4"/>
    <w:bookmarkEnd w:id="145"/>
    <w:bookmarkStart w:id="147" w:name="lot-attribute-auditing"/>
    <w:p>
      <w:pPr>
        <w:pStyle w:val="Heading3"/>
      </w:pPr>
      <w:r>
        <w:t xml:space="preserve">5.9 LOT Attribute Auditing</w:t>
      </w:r>
    </w:p>
    <w:bookmarkStart w:id="14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6"/>
    <w:bookmarkEnd w:id="147"/>
    <w:bookmarkStart w:id="149"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8"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7"/>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7"/>
        </w:numPr>
      </w:pPr>
      <w:r>
        <w:t xml:space="preserve">For each such item, check whether its BOM’s single line references the scanned LOT’s Item. The matching finished item is the destination part.</w:t>
      </w:r>
    </w:p>
    <w:p>
      <w:pPr>
        <w:pStyle w:val="Compact"/>
        <w:numPr>
          <w:ilvl w:val="0"/>
          <w:numId w:val="1017"/>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7"/>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7"/>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8"/>
    <w:bookmarkEnd w:id="149"/>
    <w:bookmarkEnd w:id="150"/>
    <w:bookmarkStart w:id="191" w:name="production-execution-mvp-expanded"/>
    <w:p>
      <w:pPr>
        <w:pStyle w:val="Heading2"/>
      </w:pPr>
      <w:r>
        <w:t xml:space="preserve">6. Production Execution —</w:t>
      </w:r>
      <w:r>
        <w:t xml:space="preserve"> </w:t>
      </w:r>
      <w:r>
        <w:rPr>
          <w:rStyle w:val="VerbatimChar"/>
        </w:rPr>
        <w:t xml:space="preserve">MVP-EXPANDED</w:t>
      </w:r>
    </w:p>
    <w:bookmarkStart w:id="15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1"/>
    <w:bookmarkStart w:id="155" w:name="die-cast-workflow"/>
    <w:p>
      <w:pPr>
        <w:pStyle w:val="Heading3"/>
      </w:pPr>
      <w:r>
        <w:t xml:space="preserve">6.2 Die Cast Workflow</w:t>
      </w:r>
    </w:p>
    <w:bookmarkStart w:id="15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2"/>
    <w:bookmarkStart w:id="15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3"/>
    <w:bookmarkStart w:id="154"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4"/>
    <w:bookmarkEnd w:id="155"/>
    <w:bookmarkStart w:id="159" w:name="trim-shop-workflow"/>
    <w:p>
      <w:pPr>
        <w:pStyle w:val="Heading3"/>
      </w:pPr>
      <w:r>
        <w:t xml:space="preserve">6.3 Trim Shop Workflow</w:t>
      </w:r>
    </w:p>
    <w:bookmarkStart w:id="156"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6"/>
    <w:bookmarkStart w:id="15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7"/>
    <w:bookmarkStart w:id="158"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8"/>
    <w:bookmarkEnd w:id="159"/>
    <w:bookmarkStart w:id="163" w:name="machining-workflow"/>
    <w:p>
      <w:pPr>
        <w:pStyle w:val="Heading3"/>
      </w:pPr>
      <w:r>
        <w:t xml:space="preserve">6.4 Machining Workflow</w:t>
      </w:r>
    </w:p>
    <w:bookmarkStart w:id="160"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60"/>
    <w:bookmarkStart w:id="161"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1"/>
    <w:bookmarkStart w:id="16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2"/>
    <w:bookmarkEnd w:id="163"/>
    <w:bookmarkStart w:id="167" w:name="assembly-workflow-serialized-lines"/>
    <w:p>
      <w:pPr>
        <w:pStyle w:val="Heading3"/>
      </w:pPr>
      <w:r>
        <w:t xml:space="preserve">6.5 Assembly Workflow — Serialized Lines</w:t>
      </w:r>
    </w:p>
    <w:bookmarkStart w:id="16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4"/>
    <w:bookmarkStart w:id="16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5"/>
    <w:bookmarkStart w:id="16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6"/>
    <w:bookmarkEnd w:id="167"/>
    <w:bookmarkStart w:id="170" w:name="assembly-workflow-non-serialized-lines"/>
    <w:p>
      <w:pPr>
        <w:pStyle w:val="Heading3"/>
      </w:pPr>
      <w:r>
        <w:t xml:space="preserve">6.6 Assembly Workflow — Non-Serialized Lines</w:t>
      </w:r>
    </w:p>
    <w:bookmarkStart w:id="16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8"/>
    <w:bookmarkStart w:id="169"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9"/>
    <w:bookmarkEnd w:id="170"/>
    <w:bookmarkStart w:id="173" w:name="production-events"/>
    <w:p>
      <w:pPr>
        <w:pStyle w:val="Heading3"/>
      </w:pPr>
      <w:r>
        <w:t xml:space="preserve">6.7 Production Events</w:t>
      </w:r>
    </w:p>
    <w:bookmarkStart w:id="17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1"/>
    <w:bookmarkStart w:id="17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2"/>
    <w:bookmarkEnd w:id="173"/>
    <w:bookmarkStart w:id="178" w:name="reject-events-and-scrap-handling"/>
    <w:p>
      <w:pPr>
        <w:pStyle w:val="Heading3"/>
      </w:pPr>
      <w:r>
        <w:t xml:space="preserve">6.8 Reject Events and Scrap Handling</w:t>
      </w:r>
    </w:p>
    <w:bookmarkStart w:id="17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4"/>
    <w:bookmarkStart w:id="17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5"/>
    <w:bookmarkStart w:id="17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8"/>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8"/>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9"/>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9"/>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6"/>
    <w:bookmarkStart w:id="17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0"/>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0"/>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7"/>
    <w:bookmarkEnd w:id="178"/>
    <w:bookmarkStart w:id="181" w:name="consumption-events"/>
    <w:p>
      <w:pPr>
        <w:pStyle w:val="Heading3"/>
      </w:pPr>
      <w:r>
        <w:t xml:space="preserve">6.9 Consumption Events</w:t>
      </w:r>
    </w:p>
    <w:bookmarkStart w:id="17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9"/>
    <w:bookmarkStart w:id="18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0"/>
    <w:bookmarkEnd w:id="181"/>
    <w:bookmarkStart w:id="19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2"/>
    <w:bookmarkStart w:id="18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1"/>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1"/>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1"/>
        </w:numPr>
      </w:pPr>
      <w:r>
        <w:rPr>
          <w:rStyle w:val="VerbatimChar"/>
        </w:rPr>
        <w:t xml:space="preserve">RouteTemplateId</w:t>
      </w:r>
      <w:r>
        <w:t xml:space="preserve"> </w:t>
      </w:r>
      <w:r>
        <w:t xml:space="preserve">— FK to the route template version active at creation</w:t>
      </w:r>
    </w:p>
    <w:p>
      <w:pPr>
        <w:pStyle w:val="Compact"/>
        <w:numPr>
          <w:ilvl w:val="0"/>
          <w:numId w:val="1021"/>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1"/>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3"/>
    <w:bookmarkStart w:id="18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4"/>
    <w:bookmarkStart w:id="18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5"/>
    <w:bookmarkStart w:id="18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2"/>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2"/>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6"/>
    <w:bookmarkStart w:id="187" w:name="X28af8f132e1d57f9bbd54bc5c048a761ded9c44"/>
    <w:p>
      <w:pPr>
        <w:pStyle w:val="Heading4"/>
      </w:pPr>
      <w:r>
        <w:t xml:space="preserve">FDS-06-028 — Auto-Finish on Target (Camera / Scale) —</w:t>
      </w:r>
      <w:r>
        <w:t xml:space="preserve"> </w:t>
      </w:r>
      <w:r>
        <w:rPr>
          <w:rStyle w:val="VerbatimChar"/>
        </w:rPr>
        <w:t xml:space="preserve">MVP</w:t>
      </w:r>
      <w:r>
        <w:t xml:space="preserve"> </w:t>
      </w:r>
      <w:r>
        <w:t xml:space="preserve">(extended v0.11g)</w:t>
      </w:r>
    </w:p>
    <w:p>
      <w:pPr>
        <w:pStyle w:val="FirstParagraph"/>
      </w:pPr>
      <w:r>
        <w:rPr>
          <w:b/>
          <w:bCs/>
        </w:rPr>
        <w:t xml:space="preserve">OI-16 (Jacques additions, 2026-04-24):</w:t>
      </w:r>
      <w:r>
        <w:t xml:space="preserve"> </w:t>
      </w:r>
      <w:r>
        <w:t xml:space="preserve">Production Work Orders SHALL support two automatic-finish modes, configurable per WO:</w:t>
      </w:r>
    </w:p>
    <w:p>
      <w:pPr>
        <w:pStyle w:val="Compact"/>
        <w:numPr>
          <w:ilvl w:val="0"/>
          <w:numId w:val="1023"/>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3"/>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8"/>
    <w:bookmarkStart w:id="189"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21"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6"/>
    <w:bookmarkStart w:id="197" w:name="X4008380834e3f3259df3bad309e2fed8c6bcfc1"/>
    <w:p>
      <w:pPr>
        <w:pStyle w:val="Heading4"/>
      </w:pPr>
      <w:r>
        <w:t xml:space="preserve">FDS-07-005 — Container Closure — revised v0.11i (UJ-04)</w:t>
      </w:r>
    </w:p>
    <w:p>
      <w:pPr>
        <w:pStyle w:val="FirstParagraph"/>
      </w:pPr>
      <w:r>
        <w:t xml:space="preserve">When a container reaches capacity, the system SHALL, in</w:t>
      </w:r>
      <w:r>
        <w:t xml:space="preserve"> </w:t>
      </w:r>
      <w:r>
        <w:rPr>
          <w:b/>
          <w:bCs/>
        </w:rPr>
        <w:t xml:space="preserve">one synchronous transaction</w:t>
      </w:r>
      <w:r>
        <w:t xml:space="preserve">:</w:t>
      </w:r>
      <w:r>
        <w:t xml:space="preserve"> </w:t>
      </w:r>
      <w:r>
        <w:t xml:space="preserve">1. Set container status to COMPLETE.</w:t>
      </w:r>
      <w:r>
        <w:t xml:space="preserve"> </w:t>
      </w:r>
      <w:r>
        <w:t xml:space="preserve">2. 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This is a sub-millisecond local DB operation — it SHALL NOT call AIM inline. (See FDS-07-010 for the pool model and FDS-07-010a for empty-pool behavior.)</w:t>
      </w:r>
      <w:r>
        <w:t xml:space="preserve"> </w:t>
      </w:r>
      <w:r>
        <w:t xml:space="preserve">3. Store the claimed</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and</w:t>
      </w:r>
      <w:r>
        <w:t xml:space="preserve"> </w:t>
      </w:r>
      <w:r>
        <w:rPr>
          <w:rStyle w:val="VerbatimChar"/>
        </w:rPr>
        <w:t xml:space="preserve">AimShipperIdPool.FetchedInterfaceLogId</w:t>
      </w:r>
      <w:r>
        <w:t xml:space="preserve"> </w:t>
      </w:r>
      <w:r>
        <w:t xml:space="preserve">carries the FK back to that record for end-to-end provenance.)</w:t>
      </w:r>
    </w:p>
    <w:p>
      <w:pPr>
        <w:pStyle w:val="BodyText"/>
      </w:pPr>
      <w:r>
        <w:t xml:space="preserve">The entire close transaction succeeds or fails atomically — there is no in-between state where a container is COMPLETE without an</w:t>
      </w:r>
      <w:r>
        <w:t xml:space="preserve"> </w:t>
      </w:r>
      <w:r>
        <w:rPr>
          <w:rStyle w:val="VerbatimChar"/>
        </w:rPr>
        <w:t xml:space="preserve">AimShipperId</w:t>
      </w:r>
      <w:r>
        <w:t xml:space="preserve">. The synchronous claim model means container closure has zero AIM latency in the steady state.</w:t>
      </w:r>
    </w:p>
    <w:bookmarkEnd w:id="197"/>
    <w:bookmarkEnd w:id="198"/>
    <w:bookmarkStart w:id="203"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X2b853052753a10d16569222b5916e044356986e"/>
    <w:p>
      <w:pPr>
        <w:pStyle w:val="Heading4"/>
      </w:pPr>
      <w:r>
        <w:t xml:space="preserve">FDS-07-008 — Shipping Label Void — amended v0.11i (UJ-04)</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p>
      <w:pPr>
        <w:pStyle w:val="BodyText"/>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End w:id="203"/>
    <w:bookmarkStart w:id="210" w:name="aim-integration"/>
    <w:p>
      <w:pPr>
        <w:pStyle w:val="Heading3"/>
      </w:pPr>
      <w:r>
        <w:t xml:space="preserve">7.4 AIM Integration</w:t>
      </w:r>
    </w:p>
    <w:bookmarkStart w:id="204" w:name="Xfb06b06aaac0e514759e8bc20551b998d333128"/>
    <w:p>
      <w:pPr>
        <w:pStyle w:val="Heading4"/>
      </w:pPr>
      <w:r>
        <w:t xml:space="preserve">FDS-07-010 — AIM Shipper ID Local Pool — revised v0.11i (UJ-04)</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24"/>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24"/>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24"/>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25"/>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25"/>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25"/>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4"/>
    <w:bookmarkStart w:id="205" w:name="X16bd0e0f979c563869eee1471d8ddad0ac5b4a6"/>
    <w:p>
      <w:pPr>
        <w:pStyle w:val="Heading4"/>
      </w:pPr>
      <w:r>
        <w:t xml:space="preserve">FDS-07-010a — Empty Pool Hard Fail —</w:t>
      </w:r>
      <w:r>
        <w:t xml:space="preserve"> </w:t>
      </w:r>
      <w:r>
        <w:rPr>
          <w:rStyle w:val="VerbatimChar"/>
        </w:rPr>
        <w:t xml:space="preserve">MVP</w:t>
      </w:r>
      <w:r>
        <w:t xml:space="preserve"> </w:t>
      </w:r>
      <w:r>
        <w:t xml:space="preserve">(v0.11i, UJ-04)</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5"/>
    <w:bookmarkStart w:id="206" w:name="X67519dcb194017da1236790c598688c25b867e5"/>
    <w:p>
      <w:pPr>
        <w:pStyle w:val="Heading4"/>
      </w:pPr>
      <w:r>
        <w:t xml:space="preserve">FDS-07-010b — Pool Depth Alarms —</w:t>
      </w:r>
      <w:r>
        <w:t xml:space="preserve"> </w:t>
      </w:r>
      <w:r>
        <w:rPr>
          <w:rStyle w:val="VerbatimChar"/>
        </w:rPr>
        <w:t xml:space="preserve">MVP</w:t>
      </w:r>
      <w:r>
        <w:t xml:space="preserve"> </w:t>
      </w:r>
      <w:r>
        <w:t xml:space="preserve">(v0.11i, UJ-04)</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26"/>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26"/>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26"/>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6"/>
    <w:bookmarkStart w:id="207" w:name="X88cb8c41df6dffb8adac23a287c6e418a3eebf3"/>
    <w:p>
      <w:pPr>
        <w:pStyle w:val="Heading4"/>
      </w:pPr>
      <w:r>
        <w:t xml:space="preserve">FDS-07-010c — Pool Configuration via Configuration Tool —</w:t>
      </w:r>
      <w:r>
        <w:t xml:space="preserve"> </w:t>
      </w:r>
      <w:r>
        <w:rPr>
          <w:rStyle w:val="VerbatimChar"/>
        </w:rPr>
        <w:t xml:space="preserve">MVP</w:t>
      </w:r>
      <w:r>
        <w:t xml:space="preserve"> </w:t>
      </w:r>
      <w:r>
        <w:t xml:space="preserve">(v0.11i, UJ-04)</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27"/>
        </w:numPr>
      </w:pPr>
      <w:r>
        <w:rPr>
          <w:rStyle w:val="VerbatimChar"/>
        </w:rPr>
        <w:t xml:space="preserve">TargetBufferDepth</w:t>
      </w:r>
      <w:r>
        <w:t xml:space="preserve"> </w:t>
      </w:r>
      <w:r>
        <w:t xml:space="preserve">(default 50) — the buffer size the topup script aims for.</w:t>
      </w:r>
    </w:p>
    <w:p>
      <w:pPr>
        <w:pStyle w:val="Compact"/>
        <w:numPr>
          <w:ilvl w:val="0"/>
          <w:numId w:val="1027"/>
        </w:numPr>
      </w:pPr>
      <w:r>
        <w:rPr>
          <w:rStyle w:val="VerbatimChar"/>
        </w:rPr>
        <w:t xml:space="preserve">TopupThreshold</w:t>
      </w:r>
      <w:r>
        <w:t xml:space="preserve"> </w:t>
      </w:r>
      <w:r>
        <w:t xml:space="preserve">(default 30) — the trigger for topup runs.</w:t>
      </w:r>
    </w:p>
    <w:p>
      <w:pPr>
        <w:pStyle w:val="Compact"/>
        <w:numPr>
          <w:ilvl w:val="0"/>
          <w:numId w:val="1027"/>
        </w:numPr>
      </w:pPr>
      <w:r>
        <w:rPr>
          <w:rStyle w:val="VerbatimChar"/>
        </w:rPr>
        <w:t xml:space="preserve">AlarmWarningDepth</w:t>
      </w:r>
      <w:r>
        <w:t xml:space="preserve"> </w:t>
      </w:r>
      <w:r>
        <w:t xml:space="preserve">(default 20).</w:t>
      </w:r>
    </w:p>
    <w:p>
      <w:pPr>
        <w:pStyle w:val="Compact"/>
        <w:numPr>
          <w:ilvl w:val="0"/>
          <w:numId w:val="1027"/>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Arc 2 Phase 7 migration seed and reflect Jacques’s initial sizing target — they are tunable post-deployment based on actual peak container throughput and observed AIM responsiveness.</w:t>
      </w:r>
    </w:p>
    <w:bookmarkEnd w:id="207"/>
    <w:bookmarkStart w:id="208"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8"/>
    <w:bookmarkStart w:id="209"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9"/>
    <w:bookmarkEnd w:id="210"/>
    <w:bookmarkStart w:id="213" w:name="shipping-dock-workflow"/>
    <w:p>
      <w:pPr>
        <w:pStyle w:val="Heading3"/>
      </w:pPr>
      <w:r>
        <w:t xml:space="preserve">7.5 Shipping Dock Workflow</w:t>
      </w:r>
    </w:p>
    <w:bookmarkStart w:id="211"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1"/>
    <w:bookmarkStart w:id="212"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12"/>
    <w:bookmarkEnd w:id="213"/>
    <w:bookmarkStart w:id="216" w:name="container-holds"/>
    <w:p>
      <w:pPr>
        <w:pStyle w:val="Heading3"/>
      </w:pPr>
      <w:r>
        <w:t xml:space="preserve">7.6 Container Holds</w:t>
      </w:r>
    </w:p>
    <w:bookmarkStart w:id="214"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4"/>
    <w:bookmarkStart w:id="215"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5"/>
    <w:bookmarkEnd w:id="216"/>
    <w:bookmarkStart w:id="220" w:name="sort-cage-mvp-expanded"/>
    <w:p>
      <w:pPr>
        <w:pStyle w:val="Heading3"/>
      </w:pPr>
      <w:r>
        <w:t xml:space="preserve">7.7 Sort Cage —</w:t>
      </w:r>
      <w:r>
        <w:t xml:space="preserve"> </w:t>
      </w:r>
      <w:r>
        <w:rPr>
          <w:rStyle w:val="VerbatimChar"/>
        </w:rPr>
        <w:t xml:space="preserve">MVP-EXPANDED</w:t>
      </w:r>
    </w:p>
    <w:bookmarkStart w:id="217"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7"/>
    <w:bookmarkStart w:id="218"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8"/>
    <w:bookmarkStart w:id="219"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8"/>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8"/>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8"/>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9"/>
    <w:bookmarkEnd w:id="220"/>
    <w:bookmarkEnd w:id="221"/>
    <w:bookmarkStart w:id="247" w:name="quality-hold-management-mixed-scope"/>
    <w:p>
      <w:pPr>
        <w:pStyle w:val="Heading2"/>
      </w:pPr>
      <w:r>
        <w:t xml:space="preserve">8. Quality &amp; Hold Management — MIXED SCOPE</w:t>
      </w:r>
    </w:p>
    <w:bookmarkStart w:id="222"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2"/>
    <w:bookmarkStart w:id="231" w:name="hold-management-mvp-expanded"/>
    <w:p>
      <w:pPr>
        <w:pStyle w:val="Heading3"/>
      </w:pPr>
      <w:r>
        <w:t xml:space="preserve">8.2 Hold Management —</w:t>
      </w:r>
      <w:r>
        <w:t xml:space="preserve"> </w:t>
      </w:r>
      <w:r>
        <w:rPr>
          <w:rStyle w:val="VerbatimChar"/>
        </w:rPr>
        <w:t xml:space="preserve">MVP-EXPANDED</w:t>
      </w:r>
    </w:p>
    <w:bookmarkStart w:id="223"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3"/>
    <w:bookmarkStart w:id="224"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4"/>
    <w:bookmarkStart w:id="225"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5"/>
    <w:bookmarkStart w:id="226"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6"/>
    <w:bookmarkStart w:id="227"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7"/>
    <w:bookmarkStart w:id="228"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8"/>
    <w:bookmarkStart w:id="229"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9"/>
    <w:bookmarkStart w:id="230"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9"/>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9"/>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9"/>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9"/>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9"/>
        </w:numPr>
      </w:pPr>
      <w:r>
        <w:rPr>
          <w:b/>
          <w:bCs/>
        </w:rPr>
        <w:t xml:space="preserve">Bulk Hold / Bulk Release</w:t>
      </w:r>
      <w:r>
        <w:t xml:space="preserve"> </w:t>
      </w:r>
      <w:r>
        <w:t xml:space="preserve">— follows FDS-08-006 search + multi-select semantics.</w:t>
      </w:r>
    </w:p>
    <w:p>
      <w:pPr>
        <w:pStyle w:val="Compact"/>
        <w:numPr>
          <w:ilvl w:val="0"/>
          <w:numId w:val="1029"/>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0"/>
    <w:bookmarkEnd w:id="231"/>
    <w:bookmarkStart w:id="238" w:name="inspections-mvp"/>
    <w:p>
      <w:pPr>
        <w:pStyle w:val="Heading3"/>
      </w:pPr>
      <w:r>
        <w:t xml:space="preserve">8.3 Inspections —</w:t>
      </w:r>
      <w:r>
        <w:t xml:space="preserve"> </w:t>
      </w:r>
      <w:r>
        <w:rPr>
          <w:rStyle w:val="VerbatimChar"/>
        </w:rPr>
        <w:t xml:space="preserve">MVP</w:t>
      </w:r>
    </w:p>
    <w:bookmarkStart w:id="232"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2"/>
    <w:bookmarkStart w:id="233"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3"/>
    <w:bookmarkStart w:id="234"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4"/>
    <w:bookmarkStart w:id="235"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5"/>
    <w:bookmarkStart w:id="236"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6"/>
    <w:bookmarkStart w:id="237"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7"/>
    <w:bookmarkEnd w:id="238"/>
    <w:bookmarkStart w:id="241" w:name="sampling-workflows-conditional"/>
    <w:p>
      <w:pPr>
        <w:pStyle w:val="Heading3"/>
      </w:pPr>
      <w:r>
        <w:t xml:space="preserve">8.4 Sampling Workflows —</w:t>
      </w:r>
      <w:r>
        <w:t xml:space="preserve"> </w:t>
      </w:r>
      <w:r>
        <w:rPr>
          <w:rStyle w:val="VerbatimChar"/>
        </w:rPr>
        <w:t xml:space="preserve">CONDITIONAL</w:t>
      </w:r>
    </w:p>
    <w:bookmarkStart w:id="239"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9"/>
    <w:bookmarkStart w:id="240"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0"/>
    <w:bookmarkEnd w:id="241"/>
    <w:bookmarkStart w:id="244" w:name="defect-codes-mvp"/>
    <w:p>
      <w:pPr>
        <w:pStyle w:val="Heading3"/>
      </w:pPr>
      <w:r>
        <w:t xml:space="preserve">8.5 Defect Codes —</w:t>
      </w:r>
      <w:r>
        <w:t xml:space="preserve"> </w:t>
      </w:r>
      <w:r>
        <w:rPr>
          <w:rStyle w:val="VerbatimChar"/>
        </w:rPr>
        <w:t xml:space="preserve">MVP</w:t>
      </w:r>
    </w:p>
    <w:bookmarkStart w:id="242"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2"/>
    <w:bookmarkStart w:id="243"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3"/>
    <w:bookmarkEnd w:id="244"/>
    <w:bookmarkStart w:id="246" w:name="non-conformance-management-future"/>
    <w:p>
      <w:pPr>
        <w:pStyle w:val="Heading3"/>
      </w:pPr>
      <w:r>
        <w:t xml:space="preserve">8.6 Non-Conformance Management —</w:t>
      </w:r>
      <w:r>
        <w:t xml:space="preserve"> </w:t>
      </w:r>
      <w:r>
        <w:rPr>
          <w:rStyle w:val="VerbatimChar"/>
        </w:rPr>
        <w:t xml:space="preserve">FUTURE</w:t>
      </w:r>
    </w:p>
    <w:bookmarkStart w:id="245"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5"/>
    <w:bookmarkEnd w:id="246"/>
    <w:bookmarkEnd w:id="247"/>
    <w:bookmarkStart w:id="267" w:name="downtime-tracking-mixed-scope"/>
    <w:p>
      <w:pPr>
        <w:pStyle w:val="Heading2"/>
      </w:pPr>
      <w:r>
        <w:t xml:space="preserve">9. Downtime Tracking — MIXED SCOPE</w:t>
      </w:r>
    </w:p>
    <w:bookmarkStart w:id="248"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8"/>
    <w:bookmarkStart w:id="254" w:name="downtime-events-mvp"/>
    <w:p>
      <w:pPr>
        <w:pStyle w:val="Heading3"/>
      </w:pPr>
      <w:r>
        <w:t xml:space="preserve">9.2 Downtime Events —</w:t>
      </w:r>
      <w:r>
        <w:t xml:space="preserve"> </w:t>
      </w:r>
      <w:r>
        <w:rPr>
          <w:rStyle w:val="VerbatimChar"/>
        </w:rPr>
        <w:t xml:space="preserve">MVP</w:t>
      </w:r>
    </w:p>
    <w:bookmarkStart w:id="249"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9"/>
    <w:bookmarkStart w:id="250"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0"/>
    <w:bookmarkStart w:id="251"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1"/>
    <w:bookmarkStart w:id="252"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2"/>
    <w:bookmarkStart w:id="253"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53"/>
    <w:bookmarkEnd w:id="254"/>
    <w:bookmarkStart w:id="257" w:name="downtime-reason-codes-mvp"/>
    <w:p>
      <w:pPr>
        <w:pStyle w:val="Heading3"/>
      </w:pPr>
      <w:r>
        <w:t xml:space="preserve">9.3 Downtime Reason Codes —</w:t>
      </w:r>
      <w:r>
        <w:t xml:space="preserve"> </w:t>
      </w:r>
      <w:r>
        <w:rPr>
          <w:rStyle w:val="VerbatimChar"/>
        </w:rPr>
        <w:t xml:space="preserve">MVP</w:t>
      </w:r>
    </w:p>
    <w:bookmarkStart w:id="255"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5"/>
    <w:bookmarkStart w:id="256"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6"/>
    <w:bookmarkEnd w:id="257"/>
    <w:bookmarkStart w:id="264"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8"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8"/>
    <w:bookmarkStart w:id="259"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30"/>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30"/>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30"/>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9"/>
    <w:bookmarkStart w:id="260"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60"/>
    <w:bookmarkStart w:id="261"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1"/>
    <w:bookmarkStart w:id="262"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62"/>
    <w:bookmarkStart w:id="263"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3"/>
    <w:bookmarkEnd w:id="264"/>
    <w:bookmarkStart w:id="266" w:name="oee-future"/>
    <w:p>
      <w:pPr>
        <w:pStyle w:val="Heading3"/>
      </w:pPr>
      <w:r>
        <w:t xml:space="preserve">9.5 OEE —</w:t>
      </w:r>
      <w:r>
        <w:t xml:space="preserve"> </w:t>
      </w:r>
      <w:r>
        <w:rPr>
          <w:rStyle w:val="VerbatimChar"/>
        </w:rPr>
        <w:t xml:space="preserve">FUTURE</w:t>
      </w:r>
    </w:p>
    <w:bookmarkStart w:id="265"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5"/>
    <w:bookmarkEnd w:id="266"/>
    <w:bookmarkEnd w:id="267"/>
    <w:bookmarkStart w:id="285" w:name="plcopc-integration-mvp"/>
    <w:p>
      <w:pPr>
        <w:pStyle w:val="Heading2"/>
      </w:pPr>
      <w:r>
        <w:t xml:space="preserve">10. PLC/OPC Integration —</w:t>
      </w:r>
      <w:r>
        <w:t xml:space="preserve"> </w:t>
      </w:r>
      <w:r>
        <w:rPr>
          <w:rStyle w:val="VerbatimChar"/>
        </w:rPr>
        <w:t xml:space="preserve">MVP</w:t>
      </w:r>
    </w:p>
    <w:bookmarkStart w:id="268"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8"/>
    <w:bookmarkStart w:id="272" w:name="mip-handshake-protocol-serialized-lines"/>
    <w:p>
      <w:pPr>
        <w:pStyle w:val="Heading3"/>
      </w:pPr>
      <w:r>
        <w:t xml:space="preserve">10.2 MIP Handshake Protocol — Serialized Lines</w:t>
      </w:r>
    </w:p>
    <w:bookmarkStart w:id="269"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9"/>
    <w:bookmarkStart w:id="270"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70"/>
    <w:bookmarkStart w:id="271"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1"/>
    <w:bookmarkEnd w:id="272"/>
    <w:bookmarkStart w:id="279"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73"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3"/>
    <w:bookmarkStart w:id="274"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31"/>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31"/>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31"/>
        </w:numPr>
      </w:pPr>
      <w:r>
        <w:t xml:space="preserve">Route to escalation per FDS-10-009 / FDS-10-010 based on failure count and failure type.</w:t>
      </w:r>
    </w:p>
    <w:p>
      <w:pPr>
        <w:pStyle w:val="Compact"/>
        <w:numPr>
          <w:ilvl w:val="0"/>
          <w:numId w:val="1031"/>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31"/>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4"/>
    <w:bookmarkStart w:id="275"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32"/>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32"/>
        </w:numPr>
      </w:pPr>
      <w:r>
        <w:t xml:space="preserve">Require supervisor AD elevation (FDS-04-007) before production can resume on that cell.</w:t>
      </w:r>
    </w:p>
    <w:p>
      <w:pPr>
        <w:pStyle w:val="Compact"/>
        <w:numPr>
          <w:ilvl w:val="0"/>
          <w:numId w:val="1032"/>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5"/>
    <w:bookmarkStart w:id="276"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6"/>
    <w:bookmarkStart w:id="277"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33"/>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33"/>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7"/>
    <w:bookmarkStart w:id="278"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34"/>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34"/>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34"/>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34"/>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34"/>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8"/>
    <w:bookmarkEnd w:id="279"/>
    <w:bookmarkStart w:id="281" w:name="scale-integration"/>
    <w:p>
      <w:pPr>
        <w:pStyle w:val="Heading3"/>
      </w:pPr>
      <w:r>
        <w:t xml:space="preserve">10.4 Scale Integration</w:t>
      </w:r>
    </w:p>
    <w:bookmarkStart w:id="280"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0"/>
    <w:bookmarkEnd w:id="281"/>
    <w:bookmarkStart w:id="284" w:name="barcode-integration"/>
    <w:p>
      <w:pPr>
        <w:pStyle w:val="Heading3"/>
      </w:pPr>
      <w:r>
        <w:t xml:space="preserve">10.5 Barcode Integration</w:t>
      </w:r>
    </w:p>
    <w:bookmarkStart w:id="282"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2"/>
    <w:bookmarkStart w:id="283"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83"/>
    <w:bookmarkEnd w:id="284"/>
    <w:bookmarkEnd w:id="285"/>
    <w:bookmarkStart w:id="301" w:name="audit-logging-mvp"/>
    <w:p>
      <w:pPr>
        <w:pStyle w:val="Heading2"/>
      </w:pPr>
      <w:r>
        <w:t xml:space="preserve">11. Audit &amp; Logging —</w:t>
      </w:r>
      <w:r>
        <w:t xml:space="preserve"> </w:t>
      </w:r>
      <w:r>
        <w:rPr>
          <w:rStyle w:val="VerbatimChar"/>
        </w:rPr>
        <w:t xml:space="preserve">MVP</w:t>
      </w:r>
    </w:p>
    <w:bookmarkStart w:id="286"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6"/>
    <w:bookmarkStart w:id="292" w:name="log-types"/>
    <w:p>
      <w:pPr>
        <w:pStyle w:val="Heading3"/>
      </w:pPr>
      <w:r>
        <w:t xml:space="preserve">11.2 Log Types</w:t>
      </w:r>
    </w:p>
    <w:bookmarkStart w:id="287"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7"/>
    <w:bookmarkStart w:id="288"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8"/>
    <w:bookmarkStart w:id="289"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9"/>
    <w:bookmarkStart w:id="290"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0"/>
    <w:bookmarkStart w:id="291"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1"/>
    <w:bookmarkEnd w:id="292"/>
    <w:bookmarkStart w:id="297" w:name="normalized-vocabularies"/>
    <w:p>
      <w:pPr>
        <w:pStyle w:val="Heading3"/>
      </w:pPr>
      <w:r>
        <w:t xml:space="preserve">11.3 Normalized Vocabularies</w:t>
      </w:r>
    </w:p>
    <w:bookmarkStart w:id="293"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3"/>
    <w:bookmarkStart w:id="294"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4"/>
    <w:bookmarkStart w:id="295"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5"/>
    <w:bookmarkStart w:id="296"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5"/>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5"/>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5"/>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5"/>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6"/>
    <w:bookmarkEnd w:id="297"/>
    <w:bookmarkStart w:id="300" w:name="data-retention"/>
    <w:p>
      <w:pPr>
        <w:pStyle w:val="Heading3"/>
      </w:pPr>
      <w:r>
        <w:t xml:space="preserve">11.4 Data Retention</w:t>
      </w:r>
    </w:p>
    <w:bookmarkStart w:id="298"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8"/>
    <w:bookmarkStart w:id="299"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9"/>
    <w:bookmarkEnd w:id="300"/>
    <w:bookmarkEnd w:id="301"/>
    <w:bookmarkStart w:id="321" w:name="reporting-mvp"/>
    <w:p>
      <w:pPr>
        <w:pStyle w:val="Heading2"/>
      </w:pPr>
      <w:r>
        <w:t xml:space="preserve">12. Reporting —</w:t>
      </w:r>
      <w:r>
        <w:t xml:space="preserve"> </w:t>
      </w:r>
      <w:r>
        <w:rPr>
          <w:rStyle w:val="VerbatimChar"/>
        </w:rPr>
        <w:t xml:space="preserve">MVP</w:t>
      </w:r>
    </w:p>
    <w:bookmarkStart w:id="302"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2"/>
    <w:bookmarkStart w:id="307" w:name="traceability-reports"/>
    <w:p>
      <w:pPr>
        <w:pStyle w:val="Heading3"/>
      </w:pPr>
      <w:r>
        <w:t xml:space="preserve">12.2 Traceability Reports</w:t>
      </w:r>
    </w:p>
    <w:bookmarkStart w:id="303"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3"/>
    <w:bookmarkStart w:id="304"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4"/>
    <w:bookmarkStart w:id="305"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5"/>
    <w:bookmarkStart w:id="306"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6"/>
    <w:bookmarkEnd w:id="307"/>
    <w:bookmarkStart w:id="312" w:name="X20e5703298e30073c8ffa1040c87c727e57d853"/>
    <w:p>
      <w:pPr>
        <w:pStyle w:val="Heading3"/>
      </w:pPr>
      <w:r>
        <w:t xml:space="preserve">12.3 Production Reports (Replacing Productivity DB)</w:t>
      </w:r>
    </w:p>
    <w:bookmarkStart w:id="308"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8"/>
    <w:bookmarkStart w:id="309"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9"/>
    <w:bookmarkStart w:id="310"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0"/>
    <w:bookmarkStart w:id="311"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1"/>
    <w:bookmarkEnd w:id="312"/>
    <w:bookmarkStart w:id="316" w:name="operational-reports"/>
    <w:p>
      <w:pPr>
        <w:pStyle w:val="Heading3"/>
      </w:pPr>
      <w:r>
        <w:t xml:space="preserve">12.4 Operational Reports</w:t>
      </w:r>
    </w:p>
    <w:bookmarkStart w:id="313"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3"/>
    <w:bookmarkStart w:id="314"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4"/>
    <w:bookmarkStart w:id="315"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5"/>
    <w:bookmarkEnd w:id="316"/>
    <w:bookmarkStart w:id="320"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7"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7"/>
    <w:bookmarkStart w:id="318"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6"/>
        </w:numPr>
      </w:pPr>
      <w:r>
        <w:t xml:space="preserve">LOT</w:t>
      </w:r>
      <w:r>
        <w:t xml:space="preserve"> </w:t>
      </w:r>
      <w:r>
        <w:rPr>
          <w:rStyle w:val="VerbatimChar"/>
        </w:rPr>
        <w:t xml:space="preserve">LotName</w:t>
      </w:r>
      <w:r>
        <w:t xml:space="preserve"> </w:t>
      </w:r>
      <w:r>
        <w:t xml:space="preserve">(LTT barcode)</w:t>
      </w:r>
    </w:p>
    <w:p>
      <w:pPr>
        <w:pStyle w:val="Compact"/>
        <w:numPr>
          <w:ilvl w:val="0"/>
          <w:numId w:val="1036"/>
        </w:numPr>
      </w:pPr>
      <w:r>
        <w:t xml:space="preserve">Sub-LOT</w:t>
      </w:r>
      <w:r>
        <w:t xml:space="preserve"> </w:t>
      </w:r>
      <w:r>
        <w:rPr>
          <w:rStyle w:val="VerbatimChar"/>
        </w:rPr>
        <w:t xml:space="preserve">LotName</w:t>
      </w:r>
    </w:p>
    <w:p>
      <w:pPr>
        <w:pStyle w:val="Compact"/>
        <w:numPr>
          <w:ilvl w:val="0"/>
          <w:numId w:val="1036"/>
        </w:numPr>
      </w:pPr>
      <w:r>
        <w:t xml:space="preserve">Serialized part serial number (</w:t>
      </w:r>
      <w:r>
        <w:rPr>
          <w:rStyle w:val="VerbatimChar"/>
        </w:rPr>
        <w:t xml:space="preserve">SerializedPart.SerialNumber</w:t>
      </w:r>
      <w:r>
        <w:t xml:space="preserve">)</w:t>
      </w:r>
    </w:p>
    <w:p>
      <w:pPr>
        <w:pStyle w:val="Compact"/>
        <w:numPr>
          <w:ilvl w:val="0"/>
          <w:numId w:val="1036"/>
        </w:numPr>
      </w:pPr>
      <w:r>
        <w:t xml:space="preserve">Container</w:t>
      </w:r>
      <w:r>
        <w:t xml:space="preserve"> </w:t>
      </w:r>
      <w:r>
        <w:rPr>
          <w:rStyle w:val="VerbatimChar"/>
        </w:rPr>
        <w:t xml:space="preserve">ContainerName</w:t>
      </w:r>
    </w:p>
    <w:p>
      <w:pPr>
        <w:pStyle w:val="Compact"/>
        <w:numPr>
          <w:ilvl w:val="0"/>
          <w:numId w:val="1036"/>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8"/>
    <w:bookmarkStart w:id="319"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7"/>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7"/>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7"/>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7"/>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7"/>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7"/>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9"/>
    <w:bookmarkEnd w:id="320"/>
    <w:bookmarkEnd w:id="321"/>
    <w:bookmarkStart w:id="332" w:name="external-system-interfaces-mixed-scope"/>
    <w:p>
      <w:pPr>
        <w:pStyle w:val="Heading2"/>
      </w:pPr>
      <w:r>
        <w:t xml:space="preserve">13. External System Interfaces — MIXED SCOPE</w:t>
      </w:r>
    </w:p>
    <w:bookmarkStart w:id="325" w:name="aim-honda-edi-mvp"/>
    <w:p>
      <w:pPr>
        <w:pStyle w:val="Heading3"/>
      </w:pPr>
      <w:r>
        <w:t xml:space="preserve">13.1 AIM (Honda EDI) —</w:t>
      </w:r>
      <w:r>
        <w:t xml:space="preserve"> </w:t>
      </w:r>
      <w:r>
        <w:rPr>
          <w:rStyle w:val="VerbatimChar"/>
        </w:rPr>
        <w:t xml:space="preserve">MVP</w:t>
      </w:r>
    </w:p>
    <w:bookmarkStart w:id="322"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2"/>
    <w:bookmarkStart w:id="323"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23"/>
    <w:bookmarkStart w:id="324"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4"/>
    <w:bookmarkEnd w:id="325"/>
    <w:bookmarkStart w:id="327" w:name="macola-erp-future"/>
    <w:p>
      <w:pPr>
        <w:pStyle w:val="Heading3"/>
      </w:pPr>
      <w:r>
        <w:t xml:space="preserve">13.2 Macola ERP —</w:t>
      </w:r>
      <w:r>
        <w:t xml:space="preserve"> </w:t>
      </w:r>
      <w:r>
        <w:rPr>
          <w:rStyle w:val="VerbatimChar"/>
        </w:rPr>
        <w:t xml:space="preserve">FUTURE</w:t>
      </w:r>
    </w:p>
    <w:bookmarkStart w:id="326"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6"/>
    <w:bookmarkEnd w:id="327"/>
    <w:bookmarkStart w:id="329" w:name="intelex-quality-management-future"/>
    <w:p>
      <w:pPr>
        <w:pStyle w:val="Heading3"/>
      </w:pPr>
      <w:r>
        <w:t xml:space="preserve">13.3 Intelex (Quality Management) —</w:t>
      </w:r>
      <w:r>
        <w:t xml:space="preserve"> </w:t>
      </w:r>
      <w:r>
        <w:rPr>
          <w:rStyle w:val="VerbatimChar"/>
        </w:rPr>
        <w:t xml:space="preserve">FUTURE</w:t>
      </w:r>
    </w:p>
    <w:bookmarkStart w:id="328"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8"/>
    <w:bookmarkEnd w:id="329"/>
    <w:bookmarkStart w:id="331" w:name="scada-process-dashboards-future"/>
    <w:p>
      <w:pPr>
        <w:pStyle w:val="Heading3"/>
      </w:pPr>
      <w:r>
        <w:t xml:space="preserve">13.4 SCADA / Process Dashboards —</w:t>
      </w:r>
      <w:r>
        <w:t xml:space="preserve"> </w:t>
      </w:r>
      <w:r>
        <w:rPr>
          <w:rStyle w:val="VerbatimChar"/>
        </w:rPr>
        <w:t xml:space="preserve">FUTURE</w:t>
      </w:r>
    </w:p>
    <w:bookmarkStart w:id="330"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0"/>
    <w:bookmarkEnd w:id="331"/>
    <w:bookmarkEnd w:id="332"/>
    <w:bookmarkStart w:id="339" w:name="data-migration-conditional"/>
    <w:p>
      <w:pPr>
        <w:pStyle w:val="Heading2"/>
      </w:pPr>
      <w:r>
        <w:t xml:space="preserve">14. Data Migration —</w:t>
      </w:r>
      <w:r>
        <w:t xml:space="preserve"> </w:t>
      </w:r>
      <w:r>
        <w:rPr>
          <w:rStyle w:val="VerbatimChar"/>
        </w:rPr>
        <w:t xml:space="preserve">CONDITIONAL</w:t>
      </w:r>
    </w:p>
    <w:bookmarkStart w:id="338"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3"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3"/>
    <w:bookmarkStart w:id="334"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4"/>
    <w:bookmarkStart w:id="335"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5"/>
    <w:bookmarkStart w:id="336"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6"/>
    <w:bookmarkStart w:id="337"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8"/>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8"/>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8"/>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8"/>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7"/>
    <w:bookmarkEnd w:id="338"/>
    <w:bookmarkEnd w:id="339"/>
    <w:bookmarkStart w:id="350" w:name="deployment-commissioning-mvp"/>
    <w:p>
      <w:pPr>
        <w:pStyle w:val="Heading2"/>
      </w:pPr>
      <w:r>
        <w:t xml:space="preserve">15. Deployment &amp; Commissioning —</w:t>
      </w:r>
      <w:r>
        <w:t xml:space="preserve"> </w:t>
      </w:r>
      <w:r>
        <w:rPr>
          <w:rStyle w:val="VerbatimChar"/>
        </w:rPr>
        <w:t xml:space="preserve">MVP</w:t>
      </w:r>
    </w:p>
    <w:bookmarkStart w:id="346" w:name="deployment-approach"/>
    <w:p>
      <w:pPr>
        <w:pStyle w:val="Heading3"/>
      </w:pPr>
      <w:r>
        <w:t xml:space="preserve">15.1 Deployment Approach</w:t>
      </w:r>
    </w:p>
    <w:bookmarkStart w:id="340"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0"/>
    <w:bookmarkStart w:id="341"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1"/>
    <w:bookmarkStart w:id="342"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2"/>
    <w:bookmarkStart w:id="343"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3"/>
    <w:bookmarkStart w:id="344"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4"/>
    <w:bookmarkStart w:id="345"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5"/>
    <w:bookmarkEnd w:id="346"/>
    <w:bookmarkStart w:id="349" w:name="change-management"/>
    <w:p>
      <w:pPr>
        <w:pStyle w:val="Heading3"/>
      </w:pPr>
      <w:r>
        <w:t xml:space="preserve">15.2 Change Management</w:t>
      </w:r>
    </w:p>
    <w:bookmarkStart w:id="347"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7"/>
    <w:bookmarkStart w:id="348"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8"/>
    <w:bookmarkEnd w:id="349"/>
    <w:bookmarkEnd w:id="350"/>
    <w:bookmarkStart w:id="354"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1"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1"/>
    <w:bookmarkStart w:id="352"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9"/>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9"/>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9"/>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9"/>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9"/>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2"/>
    <w:bookmarkStart w:id="353"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3"/>
    <w:bookmarkEnd w:id="354"/>
    <w:bookmarkStart w:id="363" w:name="appendices"/>
    <w:p>
      <w:pPr>
        <w:pStyle w:val="Heading2"/>
      </w:pPr>
      <w:r>
        <w:t xml:space="preserve">Appendices</w:t>
      </w:r>
    </w:p>
    <w:bookmarkStart w:id="355"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5"/>
    <w:bookmarkStart w:id="356"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6"/>
    <w:bookmarkStart w:id="357"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7"/>
    <w:bookmarkStart w:id="358"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8"/>
    <w:bookmarkStart w:id="359"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9"/>
    <w:bookmarkStart w:id="360"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0"/>
    <w:bookmarkStart w:id="361"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1"/>
    <w:bookmarkStart w:id="362"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2"/>
    <w:bookmarkEnd w:id="363"/>
    <w:bookmarkStart w:id="364"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4"/>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2026-04-27T14:31:06Z</dcterms:created>
  <dcterms:modified xsi:type="dcterms:W3CDTF">2026-04-27T14:31:06Z</dcterms:modified>
</cp:coreProperties>
</file>

<file path=docProps/custom.xml><?xml version="1.0" encoding="utf-8"?>
<Properties xmlns="http://schemas.openxmlformats.org/officeDocument/2006/custom-properties" xmlns:vt="http://schemas.openxmlformats.org/officeDocument/2006/docPropsVTypes"/>
</file>