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0.8</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16"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1"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maybe the physical buildings or wings. These are the Areas: Die Cast, Trim Shop, Machine Shop, Production Control. Under areas, Lines. Under lines, individual Machines — all ~230 of them. Each one is just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w:t>
      </w:r>
      <w:r>
        <w:t xml:space="preserve">.</w:t>
      </w:r>
    </w:p>
    <w:p>
      <w:pPr>
        <w:pStyle w:val="BodyText"/>
      </w:pPr>
      <w:r>
        <w:t xml:space="preserve">As they create each machine, the system shows them the attribute definitions for that location type. A Die Cast machine might need</w:t>
      </w:r>
      <w:r>
        <w:t xml:space="preserve"> </w:t>
      </w:r>
      <w:r>
        <w:rPr>
          <w:rStyle w:val="VerbatimChar"/>
        </w:rPr>
        <w:t xml:space="preserve">Tonnage</w:t>
      </w:r>
      <w:r>
        <w:t xml:space="preserve">,</w:t>
      </w:r>
      <w:r>
        <w:t xml:space="preserve"> </w:t>
      </w:r>
      <w:r>
        <w:rPr>
          <w:rStyle w:val="VerbatimChar"/>
        </w:rPr>
        <w:t xml:space="preserve">RefCycleTimeSec</w:t>
      </w:r>
      <w:r>
        <w:t xml:space="preserve">, and</w:t>
      </w:r>
      <w:r>
        <w:t xml:space="preserve"> </w:t>
      </w:r>
      <w:r>
        <w:rPr>
          <w:rStyle w:val="VerbatimChar"/>
        </w:rPr>
        <w:t xml:space="preserve">NumberOfCavities</w:t>
      </w:r>
      <w:r>
        <w:t xml:space="preserve">. A machining center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1"/>
    <w:bookmarkStart w:id="12"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after machining. They set the max lot size for reasonability checks.</w:t>
      </w:r>
    </w:p>
    <w:p>
      <w:pPr>
        <w:pStyle w:val="BodyText"/>
      </w:pPr>
      <w:r>
        <w:t xml:space="preserve">For each finished good that ships to Honda, they create a container configuration. The 5G0 Front Cover, for example, ships in containers with 4 trays, 12 parts per tray, serialized, with dunnage code RD-5G0F. The RPY Cam Holder ships 6 trays, 24 per tray, not serialized. These configs drive the container lifecycle on the floor — the MES knows when a container is full.</w:t>
      </w:r>
    </w:p>
    <w:bookmarkEnd w:id="12"/>
    <w:bookmarkStart w:id="13"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13"/>
    <w:bookmarkStart w:id="14"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bookmarkEnd w:id="14"/>
    <w:bookmarkStart w:id="15"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15"/>
    <w:bookmarkEnd w:id="16"/>
    <w:bookmarkStart w:id="26"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17"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Ignition terminal — dedicated to Machine #7, his initials</w:t>
      </w:r>
      <w:r>
        <w:t xml:space="preserve"> </w:t>
      </w:r>
      <w:r>
        <w:rPr>
          <w:b/>
          <w:bCs/>
        </w:rPr>
        <w:t xml:space="preserve">CM</w:t>
      </w:r>
      <w:r>
        <w:t xml:space="preserve"> </w:t>
      </w:r>
      <w:r>
        <w:t xml:space="preserve">already set as the active operator presence. He scans the LTT barcode.</w:t>
      </w:r>
    </w:p>
    <w:p>
      <w:pPr>
        <w:pStyle w:val="BodyText"/>
      </w:pPr>
      <w:r>
        <w:t xml:space="preserve">The MES opens the LOT creation screen. The</w:t>
      </w:r>
      <w:r>
        <w:t xml:space="preserve"> </w:t>
      </w:r>
      <w:r>
        <w:rPr>
          <w:b/>
          <w:bCs/>
        </w:rPr>
        <w:t xml:space="preserve">Cell</w:t>
      </w:r>
      <w:r>
        <w:t xml:space="preserve"> </w:t>
      </w:r>
      <w:r>
        <w:t xml:space="preserve">is auto-resolved to Machine #7 from the terminal’s machine context. 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this came from</w:t>
      </w:r>
      <w:r>
        <w:t xml:space="preserve"> </w:t>
      </w:r>
      <w:r>
        <w:rPr>
          <w:rStyle w:val="VerbatimChar"/>
        </w:rPr>
        <w:t xml:space="preserve">Tools.ToolAssignment_ListActiveByCell(@CellLocationId)</w:t>
      </w:r>
      <w:r>
        <w:t xml:space="preserve"> </w:t>
      </w:r>
      <w:r>
        <w:t xml:space="preserve">which looked up the currently-mounted tool on Machine #7. Carlos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(the repurposed</w:t>
      </w:r>
      <w:r>
        <w:t xml:space="preserve"> </w:t>
      </w:r>
      <w:r>
        <w:rPr>
          <w:rStyle w:val="VerbatimChar"/>
        </w:rPr>
        <w:t xml:space="preserve">Item.MaxLotSize</w:t>
      </w:r>
      <w:r>
        <w:t xml:space="preserve">)? Yes. Is 5G0 eligible on Machine #7? Yes. Is the tool-cell assignment current? Yes. Is Cavity A active? Yes.</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 Since this is the LOT’s first event, there’s no previous event to diff against yet — the next event will compute its delta via</w:t>
      </w:r>
      <w:r>
        <w:t xml:space="preserve"> </w:t>
      </w:r>
      <w:r>
        <w:rPr>
          <w:rStyle w:val="VerbatimChar"/>
        </w:rPr>
        <w:t xml:space="preserve">LAG(ShotCount) OVER (PARTITION BY LotId ORDER BY EventAt)</w:t>
      </w:r>
      <w:r>
        <w:t xml:space="preserve">.</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17"/>
    <w:bookmarkStart w:id="18" w:name="Xcdd0e2985736a1da659a0c9e6efc28a353afad3"/>
    <w:p>
      <w:pPr>
        <w:pStyle w:val="Heading3"/>
      </w:pPr>
      <w:r>
        <w:t xml:space="preserve">8:30am — Trim Shop: LOT Moves Through the Plant — and Changes Identity</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Because this is the LOT’s second event (the first was Carlos’s die-cast checkpoint), deltas pop out immediately from the reader’s</w:t>
      </w:r>
      <w:r>
        <w:t xml:space="preserve"> </w:t>
      </w:r>
      <w:r>
        <w:rPr>
          <w:rStyle w:val="VerbatimChar"/>
        </w:rPr>
        <w:t xml:space="preserve">LAG()</w:t>
      </w:r>
      <w:r>
        <w:t xml:space="preserve"> </w:t>
      </w:r>
      <w:r>
        <w:t xml:space="preserve">window:</w:t>
      </w:r>
      <w:r>
        <w:t xml:space="preserve"> </w:t>
      </w:r>
      <w:r>
        <w:t xml:space="preserve">“since last event, this LOT accumulated X shots and Y scrap.”</w:t>
      </w:r>
      <w:r>
        <w:t xml:space="preserve"> </w:t>
      </w:r>
      <w:r>
        <w:t xml:space="preserve">Reports that want operator-facing per-event deltas SHALL compute them that way rather than storing per-event</w:t>
      </w:r>
      <w:r>
        <w:t xml:space="preserve"> </w:t>
      </w:r>
      <w:r>
        <w:rPr>
          <w:rStyle w:val="VerbatimChar"/>
        </w:rPr>
        <w:t xml:space="preserve">GoodCount</w:t>
      </w:r>
      <w:r>
        <w:t xml:space="preserve"> </w:t>
      </w:r>
      <w:r>
        <w:t xml:space="preserve">on the event row. Checkpoints are coarse — operators aren’t at the terminal per shot, they log at natural breakpoints (basket close, area handoff, complete+move).</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BodyText"/>
      </w:pPr>
      <w:r>
        <w:rPr>
          <w:b/>
          <w:bCs/>
        </w:rPr>
        <w:t xml:space="preserve">Part-identity change (OI-11):</w:t>
      </w:r>
      <w:r>
        <w:t xml:space="preserve"> </w:t>
      </w:r>
      <w:r>
        <w:t xml:space="preserve">MPP parts change part number as they cross into the Trim Shop — the cast part is</w:t>
      </w:r>
      <w:r>
        <w:t xml:space="preserve"> </w:t>
      </w:r>
      <w:r>
        <w:rPr>
          <w:rStyle w:val="VerbatimChar"/>
        </w:rPr>
        <w:t xml:space="preserve">5G0-CAST-4102</w:t>
      </w:r>
      <w:r>
        <w:t xml:space="preserve">, the trim part is</w:t>
      </w:r>
      <w:r>
        <w:t xml:space="preserve"> </w:t>
      </w:r>
      <w:r>
        <w:rPr>
          <w:rStyle w:val="VerbatimChar"/>
        </w:rPr>
        <w:t xml:space="preserve">5G0-TRIM-4102</w:t>
      </w:r>
      <w:r>
        <w:t xml:space="preserve">. The MES prompts:</w:t>
      </w:r>
      <w:r>
        <w:t xml:space="preserve"> </w:t>
      </w:r>
      <w:r>
        <w:rPr>
          <w:i/>
          <w:iCs/>
        </w:rPr>
        <w:t xml:space="preserve">“This LOT is 5G0-CAST-4102. Receive as 5G0-TRIM-4102?”</w:t>
      </w:r>
      <w:r>
        <w:t xml:space="preserve">. The operator confirms. Under the hood this is a normal</w:t>
      </w:r>
      <w:r>
        <w:t xml:space="preserve"> </w:t>
      </w:r>
      <w:r>
        <w:rPr>
          <w:b/>
          <w:bCs/>
        </w:rPr>
        <w:t xml:space="preserve">1-line BOM consumption</w:t>
      </w:r>
      <w:r>
        <w:t xml:space="preserve">: the trim part’s BOM has a single line pointing back to the cast part at QtyPer=1. The MES creates a new destination LOT under the trim part, writes a</w:t>
      </w:r>
      <w:r>
        <w:t xml:space="preserve"> </w:t>
      </w:r>
      <w:r>
        <w:rPr>
          <w:rStyle w:val="VerbatimChar"/>
        </w:rPr>
        <w:t xml:space="preserve">Workorder.ConsumptionEvent</w:t>
      </w:r>
      <w:r>
        <w:t xml:space="preserve"> </w:t>
      </w:r>
      <w:r>
        <w:t xml:space="preserve">(consumed cast / produced trim, piece-for-piece),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links the two LOTs. Honda backward trace walks the genealogy from shipped trim LOT → cast LOT → die / cavity / Carlos — same code path as any assembly consumption (FDS-05-033).</w:t>
      </w:r>
      <w:r>
        <w:t xml:space="preserve"> </w:t>
      </w:r>
      <w:r>
        <w:rPr>
          <w:i/>
          <w:iCs/>
        </w:rPr>
        <w:t xml:space="preserve">(An earlier v0.10 FDS draft added a dedicated</w:t>
      </w:r>
      <w:r>
        <w:rPr>
          <w:i/>
          <w:iCs/>
        </w:rPr>
        <w:t xml:space="preserve"> </w:t>
      </w:r>
      <w:r>
        <w:rPr>
          <w:rStyle w:val="VerbatimChar"/>
          <w:i/>
          <w:iCs/>
        </w:rPr>
        <w:t xml:space="preserve">Parts.ItemTransform</w:t>
      </w:r>
      <w:r>
        <w:rPr>
          <w:i/>
          <w:iCs/>
        </w:rPr>
        <w:t xml:space="preserve"> </w:t>
      </w:r>
      <w:r>
        <w:rPr>
          <w:i/>
          <w:iCs/>
        </w:rPr>
        <w:t xml:space="preserve">table; it was removed as redundant with</w:t>
      </w:r>
      <w:r>
        <w:rPr>
          <w:i/>
          <w:iCs/>
        </w:rPr>
        <w:t xml:space="preserve"> </w:t>
      </w:r>
      <w:r>
        <w:rPr>
          <w:rStyle w:val="VerbatimChar"/>
          <w:i/>
          <w:iCs/>
        </w:rPr>
        <w:t xml:space="preserve">ConsumptionEvent</w:t>
      </w:r>
      <w:r>
        <w:rPr>
          <w:i/>
          <w:iCs/>
        </w:rPr>
        <w:t xml:space="preserve">.)</w:t>
      </w:r>
    </w:p>
    <w:bookmarkEnd w:id="18"/>
    <w:bookmarkStart w:id="19" w:name="am-machining-the-lot-splits"/>
    <w:p>
      <w:pPr>
        <w:pStyle w:val="Heading3"/>
      </w:pPr>
      <w:r>
        <w:t xml:space="preserve">10:00am — Machining: The LOT Splits</w:t>
      </w:r>
    </w:p>
    <w:p>
      <w:pPr>
        <w:pStyle w:val="FirstParagraph"/>
      </w:pPr>
      <w:r>
        <w:t xml:space="preserve">The basket arrives at the Machine Shop and enters the FIFO queue — LOTs are processed first-in-first-out, though the operator can override the order if production needs require it (per FRS 2.2.4).</w:t>
      </w:r>
    </w:p>
    <w:p>
      <w:pPr>
        <w:pStyle w:val="BodyText"/>
      </w:pPr>
      <w:r>
        <w:t xml:space="preserve">The machining operator uses the</w:t>
      </w:r>
      <w:r>
        <w:t xml:space="preserve"> </w:t>
      </w:r>
      <w:r>
        <w:rPr>
          <w:b/>
          <w:bCs/>
        </w:rPr>
        <w:t xml:space="preserve">Machining IN</w:t>
      </w:r>
      <w:r>
        <w:t xml:space="preserve"> </w:t>
      </w:r>
      <w:r>
        <w:t xml:space="preserve">screen to scan the parent LOT and receive it into the machine. But CNC machining runs in smaller batches — the default sub-lot quantity for 5G0 is 24. At the</w:t>
      </w:r>
      <w:r>
        <w:t xml:space="preserve"> </w:t>
      </w:r>
      <w:r>
        <w:rPr>
          <w:b/>
          <w:bCs/>
        </w:rPr>
        <w:t xml:space="preserve">Machining OUT</w:t>
      </w:r>
      <w:r>
        <w:t xml:space="preserve"> </w:t>
      </w:r>
      <w:r>
        <w:t xml:space="preserve">screen (per FRS 2.2.5), the operator initiates a split. The MES creates two child LOTs:</w:t>
      </w:r>
      <w:r>
        <w:t xml:space="preserve"> </w:t>
      </w:r>
      <w:r>
        <w:rPr>
          <w:rStyle w:val="VerbatimChar"/>
        </w:rPr>
        <w:t xml:space="preserve">2026-04-06-0001-A</w:t>
      </w:r>
      <w:r>
        <w:t xml:space="preserve"> </w:t>
      </w:r>
      <w:r>
        <w:t xml:space="preserve">(24 pieces) and</w:t>
      </w:r>
      <w:r>
        <w:t xml:space="preserve"> </w:t>
      </w:r>
      <w:r>
        <w:rPr>
          <w:rStyle w:val="VerbatimChar"/>
        </w:rPr>
        <w:t xml:space="preserve">2026-04-06-0001-B</w:t>
      </w:r>
      <w:r>
        <w:t xml:space="preserve"> </w:t>
      </w:r>
      <w:r>
        <w:t xml:space="preserve">(24 pieces). The parent LOT’s piece count drops to 0, status goes to CLOSED. Two new LTT labels print — one for each sub-LOT basket. The</w:t>
      </w:r>
      <w:r>
        <w:t xml:space="preserve"> </w:t>
      </w:r>
      <w:r>
        <w:rPr>
          <w:rStyle w:val="VerbatimChar"/>
        </w:rPr>
        <w:t xml:space="preserve">LotGenealogy</w:t>
      </w:r>
      <w:r>
        <w:t xml:space="preserve"> </w:t>
      </w:r>
      <w:r>
        <w:t xml:space="preserve">table records both SPLIT relationships, permanently linking children to parent.</w:t>
      </w:r>
    </w:p>
    <w:p>
      <w:pPr>
        <w:pStyle w:val="BodyText"/>
      </w:pPr>
      <w:r>
        <w:t xml:space="preserve">Each sub-LOT now has its own journey. Sub-LOT A goes to CNC machine 12. The operator loads the parts, the machine runs, 23 come out good, 1 is out-of-tolerance. Production event: 23 good, 1 no-good. Reject event: code MS-OOT-01, quantity 1. Sub-LOT A now has 23 pieces.</w:t>
      </w:r>
    </w:p>
    <w:bookmarkEnd w:id="19"/>
    <w:bookmarkStart w:id="20"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 When the container hits 48 parts (4 trays x 12 parts),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a simpler validation model — OPC tags show</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rather than individual serial numbers (per Appendix C OPC tags for MicroLogix1400 PLCs). On these lines, the operator identifies the source LOT(s), enters a good count, and the MES fills containers by count rather than part-by-part. Some inspection lines also use weight-based container closure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rather than piece count.</w:t>
      </w:r>
    </w:p>
    <w:bookmarkEnd w:id="20"/>
    <w:bookmarkStart w:id="21"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21"/>
    <w:bookmarkStart w:id="2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 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22"/>
    <w:bookmarkStart w:id="23"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23"/>
    <w:bookmarkStart w:id="24"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24"/>
    <w:bookmarkStart w:id="25" w:name="end-of-shift"/>
    <w:p>
      <w:pPr>
        <w:pStyle w:val="Heading3"/>
      </w:pPr>
      <w:r>
        <w:t xml:space="preserve">End of Shift</w:t>
      </w:r>
    </w:p>
    <w:p>
      <w:pPr>
        <w:pStyle w:val="FirstParagraph"/>
      </w:pPr>
      <w:r>
        <w:t xml:space="preserve">Second shift badges in. The shift boundary isn’t perfectly clean — the paper production sheets show operators adjusting base runtime for running through lunch (+30 min), breaks (+10 min), or overtime (+110 min for a 10-hour day). The MES captures this through the shift schedule and actual shift instances (</w:t>
      </w:r>
      <w:r>
        <w:rPr>
          <w:rStyle w:val="VerbatimChar"/>
        </w:rPr>
        <w:t xml:space="preserve">Shift.ActualStart</w:t>
      </w:r>
      <w:r>
        <w:t xml:space="preserve">,</w:t>
      </w:r>
      <w:r>
        <w:t xml:space="preserve"> </w:t>
      </w:r>
      <w:r>
        <w:rPr>
          <w:rStyle w:val="VerbatimChar"/>
        </w:rPr>
        <w:t xml:space="preserve">Shift.ActualEnd</w:t>
      </w:r>
      <w:r>
        <w:t xml:space="preserve">), but the micro-adjustments that affect downtime/runtime calculations need to be captured somewhere. The downtime events themselves sum to total downtime; available runtime is derived from the shift boundary minus downtime.</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25"/>
    <w:bookmarkEnd w:id="26"/>
    <w:bookmarkStart w:id="46"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27"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27"/>
    <w:bookmarkStart w:id="28"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28"/>
    <w:bookmarkStart w:id="29"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p>
      <w:pPr>
        <w:pStyle w:val="BodyText"/>
      </w:pPr>
      <w:r>
        <w:rPr>
          <w:b/>
          <w:bCs/>
        </w:rPr>
        <w:t xml:space="preserve">Clarification (2026-04-23, v0.8):</w:t>
      </w:r>
      <w:r>
        <w:t xml:space="preserve"> </w:t>
      </w:r>
      <w:r>
        <w:t xml:space="preserve">Sub-LOT split is the</w:t>
      </w:r>
      <w:r>
        <w:t xml:space="preserve"> </w:t>
      </w:r>
      <w:r>
        <w:rPr>
          <w:b/>
          <w:bCs/>
        </w:rPr>
        <w:t xml:space="preserve">Machining-only</w:t>
      </w:r>
      <w:r>
        <w:t xml:space="preserve"> </w:t>
      </w:r>
      <w:r>
        <w:t xml:space="preserve">sublot pattern (parent FK + split genealogy).</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29"/>
    <w:bookmarkStart w:id="30"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30"/>
    <w:bookmarkStart w:id="31"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31"/>
    <w:bookmarkStart w:id="32"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32"/>
    <w:bookmarkStart w:id="33"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33"/>
    <w:bookmarkStart w:id="34"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34"/>
    <w:bookmarkStart w:id="35"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35"/>
    <w:bookmarkStart w:id="36"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36"/>
    <w:bookmarkStart w:id="37"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37"/>
    <w:bookmarkStart w:id="38" w:name="Xe804a3ad95a44227a72a1c70b67b2009dab422f"/>
    <w:p>
      <w:pPr>
        <w:pStyle w:val="Heading3"/>
      </w:pPr>
      <w:r>
        <w:t xml:space="preserve">12. Terminal-to-Machine Mapping — 🔶 Pending Customer Validation</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w:t>
      </w:r>
      <w:r>
        <w:t xml:space="preserve"> </w:t>
      </w:r>
      <w:r>
        <w:t xml:space="preserve">Terminals are shared (fewer terminals than machines). Operator scans a machine barcode/QR code as the first step of any interaction. Terminals are now a location type in the plant hierarchy (</w:t>
      </w:r>
      <w:r>
        <w:rPr>
          <w:rStyle w:val="VerbatimChar"/>
        </w:rPr>
        <w:t xml:space="preserve">LocationType</w:t>
      </w:r>
      <w:r>
        <w:t xml:space="preserve"> </w:t>
      </w:r>
      <w:r>
        <w:t xml:space="preserve">= Terminal) with configuration stored as</w:t>
      </w:r>
      <w:r>
        <w:t xml:space="preserve"> </w:t>
      </w:r>
      <w:r>
        <w:rPr>
          <w:rStyle w:val="VerbatimChar"/>
        </w:rPr>
        <w:t xml:space="preserve">LocationAttribute</w:t>
      </w:r>
      <w:r>
        <w:t xml:space="preserve"> </w:t>
      </w:r>
      <w:r>
        <w:t xml:space="preserve">entries.</w:t>
      </w:r>
      <w:r>
        <w:t xml:space="preserve"> </w:t>
      </w:r>
      <w:r>
        <w:rPr>
          <w:i/>
          <w:iCs/>
        </w:rPr>
        <w:t xml:space="preserve">Maps to OI-08.</w:t>
      </w:r>
    </w:p>
    <w:bookmarkEnd w:id="38"/>
    <w:bookmarkStart w:id="39"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39"/>
    <w:bookmarkStart w:id="40" w:name="X75c3ffd8ebfd8ddc104a3e286b8172282a721ca"/>
    <w:p>
      <w:pPr>
        <w:pStyle w:val="Heading3"/>
      </w:pPr>
      <w:r>
        <w:t xml:space="preserve">14. Warm-Up Shots and Setup Tracking — 🔶 Pending Internal Review</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w:t>
      </w:r>
      <w:r>
        <w:t xml:space="preserve"> </w:t>
      </w:r>
      <w:r>
        <w:t xml:space="preserve">Warm-up shots tracked as a downtime sub-category (</w:t>
      </w:r>
      <w:r>
        <w:rPr>
          <w:rStyle w:val="VerbatimChar"/>
        </w:rPr>
        <w:t xml:space="preserv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Good/bad production shot counts remain on</w:t>
      </w:r>
      <w:r>
        <w:t xml:space="preserve"> </w:t>
      </w:r>
      <w:r>
        <w:rPr>
          <w:rStyle w:val="VerbatimChar"/>
        </w:rPr>
        <w:t xml:space="preserve">ProductionEvent</w:t>
      </w:r>
      <w:r>
        <w:t xml:space="preserve">. Needs review with Ben.</w:t>
      </w:r>
    </w:p>
    <w:bookmarkEnd w:id="40"/>
    <w:bookmarkStart w:id="41"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41"/>
    <w:bookmarkStart w:id="42" w:name="X85424eed8302993ab5871a0056003e0a784b765"/>
    <w:p>
      <w:pPr>
        <w:pStyle w:val="Heading3"/>
      </w:pPr>
      <w:r>
        <w:t xml:space="preserve">16. Hardware Interlock Bypass Mode — 🔶 Pending Internal Review</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w:t>
      </w:r>
      <w:r>
        <w:t xml:space="preserve"> </w:t>
      </w:r>
      <w:r>
        <w:t xml:space="preserve">A</w:t>
      </w:r>
      <w:r>
        <w:t xml:space="preserve"> </w:t>
      </w:r>
      <w:r>
        <w:rPr>
          <w:rStyle w:val="VerbatimChar"/>
        </w:rPr>
        <w:t xml:space="preserve">HardwareInterlockBypassed</w:t>
      </w:r>
      <w:r>
        <w:t xml:space="preserve"> </w:t>
      </w:r>
      <w:r>
        <w:t xml:space="preserve">flag should be added to the data model to record when interlock was disabled and serial validation was skipped. Two options under consideration: (a) on</w:t>
      </w:r>
      <w:r>
        <w:t xml:space="preserve"> </w:t>
      </w:r>
      <w:r>
        <w:rPr>
          <w:rStyle w:val="VerbatimChar"/>
        </w:rPr>
        <w:t xml:space="preserve">ContainerSerial</w:t>
      </w:r>
      <w:r>
        <w:t xml:space="preserve">, (b) on</w:t>
      </w:r>
      <w:r>
        <w:t xml:space="preserve"> </w:t>
      </w:r>
      <w:r>
        <w:rPr>
          <w:rStyle w:val="VerbatimChar"/>
        </w:rPr>
        <w:t xml:space="preserve">ProductionEvent</w:t>
      </w:r>
      <w:r>
        <w:t xml:space="preserve">. The circumstances under which MPP bypasses the interlock are not yet understood. Both options flagged for discussion with Ben.</w:t>
      </w:r>
    </w:p>
    <w:bookmarkEnd w:id="42"/>
    <w:bookmarkStart w:id="43"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43"/>
    <w:bookmarkStart w:id="44" w:name="Xab206fe5b2e47cb27c7a3d7b41cdcb57343f541"/>
    <w:p>
      <w:pPr>
        <w:pStyle w:val="Heading3"/>
      </w:pPr>
      <w:r>
        <w:t xml:space="preserve">18. Event Processing: Synchronous vs. Asynchronous — ⬜ Open</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w:t>
      </w:r>
      <w:r>
        <w:t xml:space="preserve"> </w:t>
      </w:r>
      <w:r>
        <w:t xml:space="preserve">The FRS doesn’t actually require an outbox pattern — just logging of all sent and received content (FRS 3.17.4). External calls are made directly from the Ignition application layer with results logged to</w:t>
      </w:r>
      <w:r>
        <w:t xml:space="preserve"> </w:t>
      </w:r>
      <w:r>
        <w:rPr>
          <w:rStyle w:val="VerbatimChar"/>
        </w:rPr>
        <w:t xml:space="preserve">Audit.InterfaceLog</w:t>
      </w:r>
      <w:r>
        <w:t xml:space="preserve">. However, latency implications at label-printing touchpoints need validation with Ben.</w:t>
      </w:r>
      <w:r>
        <w:t xml:space="preserve"> </w:t>
      </w:r>
      <w:r>
        <w:rPr>
          <w:i/>
          <w:iCs/>
        </w:rPr>
        <w:t xml:space="preserve">Maps to OI-01.</w:t>
      </w:r>
    </w:p>
    <w:bookmarkEnd w:id="44"/>
    <w:bookmarkStart w:id="45"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45"/>
    <w:bookmarkEnd w:id="46"/>
    <w:bookmarkStart w:id="47"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47"/>
    <w:bookmarkStart w:id="48"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48"/>
    <w:bookmarkStart w:id="49"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2026-04-24T13:40:36Z</dcterms:created>
  <dcterms:modified xsi:type="dcterms:W3CDTF">2026-04-24T13:40:36Z</dcterms:modified>
</cp:coreProperties>
</file>

<file path=docProps/custom.xml><?xml version="1.0" encoding="utf-8"?>
<Properties xmlns="http://schemas.openxmlformats.org/officeDocument/2006/custom-properties" xmlns:vt="http://schemas.openxmlformats.org/officeDocument/2006/docPropsVTypes"/>
</file>