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7"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configuring-dies-and-tooling"/>
    <w:p>
      <w:pPr>
        <w:pStyle w:val="Heading3"/>
      </w:pPr>
      <w:r>
        <w:t xml:space="preserve">Configuring Dies and Tooling</w:t>
      </w:r>
    </w:p>
    <w:p>
      <w:pPr>
        <w:pStyle w:val="FirstParagraph"/>
      </w:pPr>
      <w:r>
        <w:t xml:space="preserve">Before the first shot runs, someone has to load the die catalog. MPP’s production depends on a small number of aluminum die cast dies — each die is a tool that runs in a specific press tonnage range, has between one and four cavities, and has a die rank that determines which other dies it can be blended with at the Sort Cage. The engineer opens the Tools screen and creates a record for each die: part number, type, and the custom attributes for that type (Tonnage, RefCycleTimeSec, ConfirmationMethod). Under each die they configure its cavities — Cavity A, Cavity B, etc. Cavities are the actual production units; the Die Cast scene on the floor will ask Carlos which cavity he’s logging each LOT against.</w:t>
      </w:r>
    </w:p>
    <w:p>
      <w:pPr>
        <w:pStyle w:val="BodyText"/>
      </w:pPr>
      <w:r>
        <w:t xml:space="preserve">Then they configure the Die Rank Compatibility matrix. Die ranks are categories (Rank 1, Rank 2, Rank 3, etc.) used to control which LOTs can be merged at the Sort Cage — only LOTs from compatible-rank dies can be combined without a quality escalation. The matrix is symmetric: if Rank 1 can merge with Rank 2, then Rank 2 can merge with Rank 1. The upper triangle is editable; the lower triangle is a read-only mirror. This config lives in</w:t>
      </w:r>
      <w:r>
        <w:t xml:space="preserve"> </w:t>
      </w:r>
      <w:r>
        <w:rPr>
          <w:rStyle w:val="VerbatimChar"/>
        </w:rPr>
        <w:t xml:space="preserve">Tools.DieRankCompatibility</w:t>
      </w:r>
      <w:r>
        <w:t xml:space="preserve"> </w:t>
      </w:r>
      <w:r>
        <w:t xml:space="preserve">and is referenced when the Sort Cage operator attempts a merge.</w:t>
      </w:r>
    </w:p>
    <w:p>
      <w:pPr>
        <w:pStyle w:val="BodyText"/>
      </w:pPr>
      <w:r>
        <w:t xml:space="preserve">Die assignment to a press (which die is physically in which machine right now) is a runtime action, not a config-time action. The floor handles that via</w:t>
      </w:r>
      <w:r>
        <w:t xml:space="preserve"> </w:t>
      </w:r>
      <w:r>
        <w:rPr>
          <w:rStyle w:val="VerbatimChar"/>
        </w:rPr>
        <w:t xml:space="preserve">Tools.ToolAssignment</w:t>
      </w:r>
      <w:r>
        <w:t xml:space="preserve"> </w:t>
      </w:r>
      <w:r>
        <w:t xml:space="preserve">— see the 6:20am Die Cast scene.</w:t>
      </w:r>
    </w:p>
    <w:bookmarkEnd w:id="12"/>
    <w:bookmarkStart w:id="13"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at Trim OUT (FDS-05-009). They set</w:t>
      </w:r>
      <w:r>
        <w:t xml:space="preserve"> </w:t>
      </w:r>
      <w:r>
        <w:rPr>
          <w:rStyle w:val="VerbatimChar"/>
        </w:rPr>
        <w:t xml:space="preserve">PartsPerBasket</w:t>
      </w:r>
      <w:r>
        <w:t xml:space="preserve"> </w:t>
      </w:r>
      <w:r>
        <w:t xml:space="preserve">— the maximum pieces per basket — for reasonability checks at LOT creation.</w:t>
      </w:r>
    </w:p>
    <w:p>
      <w:pPr>
        <w:pStyle w:val="BodyText"/>
      </w:pPr>
      <w:r>
        <w:t xml:space="preserve">For each finished good that ships to Honda, they create a container configuration. The 5G0 Front Cover, for example, ships in containers with 4 trays, 12 parts per tray, closure method</w:t>
      </w:r>
      <w:r>
        <w:t xml:space="preserve"> </w:t>
      </w:r>
      <w:r>
        <w:rPr>
          <w:rStyle w:val="VerbatimChar"/>
        </w:rPr>
        <w:t xml:space="preserve">ByCount</w:t>
      </w:r>
      <w:r>
        <w:t xml:space="preserve"> </w:t>
      </w:r>
      <w:r>
        <w:t xml:space="preserve">(serial validation), serialized, dunnage code RD-5G0F. The RPY Cam Holder ships 6 trays, 24 per tray, closure method</w:t>
      </w:r>
      <w:r>
        <w:t xml:space="preserve"> </w:t>
      </w:r>
      <w:r>
        <w:rPr>
          <w:rStyle w:val="VerbatimChar"/>
        </w:rPr>
        <w:t xml:space="preserve">ByWeight</w:t>
      </w:r>
      <w:r>
        <w:t xml:space="preserve">, not serialized. These configs drive the container lifecycle on the floor — the MES knows when a container is full.</w:t>
      </w:r>
    </w:p>
    <w:bookmarkEnd w:id="13"/>
    <w:bookmarkStart w:id="14"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4"/>
    <w:bookmarkStart w:id="15"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5"/>
    <w:bookmarkStart w:id="16"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6"/>
    <w:bookmarkEnd w:id="17"/>
    <w:bookmarkStart w:id="27"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8"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 He scans the LTT barcode.</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w:t>
      </w:r>
      <w:r>
        <w:rPr>
          <w:rStyle w:val="VerbatimChar"/>
        </w:rPr>
        <w:t xml:space="preserve">Item.PartsPerBasket</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8"/>
    <w:bookmarkStart w:id="19"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BodyText"/>
      </w:pPr>
      <w:r>
        <w:rPr>
          <w:b/>
          <w:bCs/>
        </w:rPr>
        <w:t xml:space="preserve">Trim OUT — sub-LOT split + route to Machining FIFO (FDS-05-009).</w:t>
      </w:r>
      <w:r>
        <w:t xml:space="preserve"> </w:t>
      </w:r>
      <w:r>
        <w:t xml:space="preserve">When the Trim operator finishes their work on the LOT, they trigger Trim OUT. The MES presents a</w:t>
      </w:r>
      <w:r>
        <w:t xml:space="preserve"> </w:t>
      </w:r>
      <w:r>
        <w:rPr>
          <w:b/>
          <w:bCs/>
        </w:rPr>
        <w:t xml:space="preserve">sub-LOT split confirmation dialog</w:t>
      </w:r>
      <w:r>
        <w:t xml:space="preserve"> </w:t>
      </w:r>
      <w:r>
        <w:t xml:space="preserve">— the parent LOT splits N ways across N destination Machining Cells (default N=2, evenly split — e.g., 50 → 25/25). The operator MAY adjust the number of sublots and the per-sublot quantities; the total SHALL equal the parent’s piece count. For each sub-LOT, the operator selects the destination Machining Cell either by</w:t>
      </w:r>
      <w:r>
        <w:t xml:space="preserve"> </w:t>
      </w:r>
      <w:r>
        <w:rPr>
          <w:b/>
          <w:bCs/>
        </w:rPr>
        <w:t xml:space="preserve">scan or dropdown</w:t>
      </w:r>
      <w:r>
        <w:t xml:space="preserve"> </w:t>
      </w:r>
      <w:r>
        <w:t xml:space="preserve">(FDS-02-009) — that selection writes the sub-LOT into the chosen Cell’s FIFO queue. On confirm: N child LOTs are created (each inheriting the parent’s</w:t>
      </w:r>
      <w:r>
        <w:t xml:space="preserve"> </w:t>
      </w:r>
      <w:r>
        <w:rPr>
          <w:rStyle w:val="VerbatimChar"/>
        </w:rPr>
        <w:t xml:space="preserve">5G0-TRIM-4102</w:t>
      </w:r>
      <w:r>
        <w:t xml:space="preserve"> </w:t>
      </w:r>
      <w:r>
        <w:t xml:space="preserve">Item — the rename hasn’t happened yet);</w:t>
      </w:r>
      <w:r>
        <w:t xml:space="preserve"> </w:t>
      </w:r>
      <w:r>
        <w:rPr>
          <w:rStyle w:val="VerbatimChar"/>
        </w:rPr>
        <w:t xml:space="preserve">LotGenealogy</w:t>
      </w:r>
      <w:r>
        <w:t xml:space="preserve"> </w:t>
      </w:r>
      <w:r>
        <w:t xml:space="preserve">records the parent→child Split links;</w:t>
      </w:r>
      <w:r>
        <w:t xml:space="preserve"> </w:t>
      </w:r>
      <w:r>
        <w:rPr>
          <w:rStyle w:val="VerbatimChar"/>
        </w:rPr>
        <w:t xml:space="preserve">LotMovement</w:t>
      </w:r>
      <w:r>
        <w:t xml:space="preserve"> </w:t>
      </w:r>
      <w:r>
        <w:t xml:space="preserve">rows record each sub-LOT moving from the Trim Cell to its destination Machining Cell; the parent LOT closes when all pieces have been distributed; LTT labels print for the children showing both the child and parent</w:t>
      </w:r>
      <w:r>
        <w:t xml:space="preserve"> </w:t>
      </w:r>
      <w:r>
        <w:rPr>
          <w:rStyle w:val="VerbatimChar"/>
        </w:rPr>
        <w:t xml:space="preserve">LotName</w:t>
      </w:r>
      <w:r>
        <w:t xml:space="preserve"> </w:t>
      </w:r>
      <w:r>
        <w:t xml:space="preserve">(FDS-05-024).</w:t>
      </w:r>
    </w:p>
    <w:bookmarkEnd w:id="19"/>
    <w:bookmarkStart w:id="20" w:name="X33b4f3c9a0224f726c67dbc69ec4a6e4d562a08"/>
    <w:p>
      <w:pPr>
        <w:pStyle w:val="Heading3"/>
      </w:pPr>
      <w:r>
        <w:t xml:space="preserve">10:00am — Machining: Picking from FIFO + Identity Rename</w:t>
      </w:r>
    </w:p>
    <w:p>
      <w:pPr>
        <w:pStyle w:val="FirstParagraph"/>
      </w:pPr>
      <w:r>
        <w:t xml:space="preserve">The sub-LOTs that were routed at Trim OUT are now sitting in the destination Machining Cells’ FIFO queues,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sub-LOT’s</w:t>
      </w:r>
      <w:r>
        <w:t xml:space="preserve"> </w:t>
      </w:r>
      <w:r>
        <w:rPr>
          <w:rStyle w:val="VerbatimChar"/>
        </w:rPr>
        <w:t xml:space="preserve">LotName</w:t>
      </w:r>
      <w:r>
        <w:t xml:space="preserve">, parent LOT, piece count, and arrival time. The operator picks the next one in line (or overrides the order if production needs require it, per FRS 2.2.4).</w:t>
      </w:r>
    </w:p>
    <w:p>
      <w:pPr>
        <w:pStyle w:val="BodyText"/>
      </w:pPr>
      <w:r>
        <w:t xml:space="preserve">On pick, the MES applies the</w:t>
      </w:r>
      <w:r>
        <w:t xml:space="preserve"> </w:t>
      </w:r>
      <w:r>
        <w:rPr>
          <w:b/>
          <w:bCs/>
        </w:rPr>
        <w:t xml:space="preserve">BOM-driven part-identity rename</w:t>
      </w:r>
      <w:r>
        <w:t xml:space="preserve">. The picked sub-LOT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event-driven (FDS-06-008).</w:t>
      </w:r>
      <w:r>
        <w:t xml:space="preserve"> </w:t>
      </w:r>
      <w:r>
        <w:t xml:space="preserve">When the machine signals completion of the operation on the LOT (PLC</w:t>
      </w:r>
      <w:r>
        <w:t xml:space="preserve"> </w:t>
      </w:r>
      <w:r>
        <w:rPr>
          <w:rStyle w:val="VerbatimChar"/>
        </w:rPr>
        <w:t xml:space="preserve">OperationComplete</w:t>
      </w:r>
      <w:r>
        <w:t xml:space="preserve"> </w:t>
      </w:r>
      <w:r>
        <w:t xml:space="preserve">tag asserts), the MES does this</w:t>
      </w:r>
      <w:r>
        <w:t xml:space="preserve"> </w:t>
      </w:r>
      <w:r>
        <w:rPr>
          <w:b/>
          <w:bCs/>
        </w:rPr>
        <w:t xml:space="preserve">without operator action</w:t>
      </w:r>
      <w:r>
        <w:t xml:space="preserve">: writes a checkpoint</w:t>
      </w:r>
      <w:r>
        <w:t xml:space="preserve"> </w:t>
      </w:r>
      <w:r>
        <w:rPr>
          <w:rStyle w:val="VerbatimChar"/>
        </w:rPr>
        <w:t xml:space="preserve">ProductionEvent</w:t>
      </w:r>
      <w:r>
        <w:t xml:space="preserve"> </w:t>
      </w:r>
      <w:r>
        <w:t xml:space="preserve">capturing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as-of-completion; reads the</w:t>
      </w:r>
      <w:r>
        <w:t xml:space="preserve"> </w:t>
      </w:r>
      <w:r>
        <w:rPr>
          <w:rStyle w:val="VerbatimChar"/>
        </w:rPr>
        <w:t xml:space="preserve">CoupledDownstreamCellLocationId</w:t>
      </w:r>
      <w:r>
        <w:t xml:space="preserve"> </w:t>
      </w:r>
      <w:r>
        <w:t xml:space="preserve">LocationAttribute on this Machining Cell (configured at deployment to point at the paired Assembly Cell within the same WorkCenter); writes a</w:t>
      </w:r>
      <w:r>
        <w:t xml:space="preserve"> </w:t>
      </w:r>
      <w:r>
        <w:rPr>
          <w:rStyle w:val="VerbatimChar"/>
        </w:rPr>
        <w:t xml:space="preserve">LotMovement</w:t>
      </w:r>
      <w:r>
        <w:t xml:space="preserve"> </w:t>
      </w:r>
      <w:r>
        <w:t xml:space="preserve">from this Machining Cell to the coupled downstream Cell; updates the LOT’s</w:t>
      </w:r>
      <w:r>
        <w:t xml:space="preserve"> </w:t>
      </w:r>
      <w:r>
        <w:rPr>
          <w:rStyle w:val="VerbatimChar"/>
        </w:rPr>
        <w:t xml:space="preserve">CurrentLocationId</w:t>
      </w:r>
      <w:r>
        <w:t xml:space="preserve">. The operator never scans Machining OUT — the basket physically rolls to Assembly while the MES records the move. (When</w:t>
      </w:r>
      <w:r>
        <w:t xml:space="preserve"> </w:t>
      </w:r>
      <w:r>
        <w:rPr>
          <w:rStyle w:val="VerbatimChar"/>
        </w:rPr>
        <w:t xml:space="preserve">CoupledDownstreamCellLocationId</w:t>
      </w:r>
      <w:r>
        <w:t xml:space="preserve"> </w:t>
      </w:r>
      <w:r>
        <w:t xml:space="preserve">is NULL — uncoupled / legacy path — completion writes only the</w:t>
      </w:r>
      <w:r>
        <w:t xml:space="preserve"> </w:t>
      </w:r>
      <w:r>
        <w:rPr>
          <w:rStyle w:val="VerbatimChar"/>
        </w:rPr>
        <w:t xml:space="preserve">ProductionEvent</w:t>
      </w:r>
      <w:r>
        <w:t xml:space="preserve">, and the LOT stays at the Machining Cell awaiting an operator-driven movement.)</w:t>
      </w:r>
    </w:p>
    <w:bookmarkEnd w:id="20"/>
    <w:bookmarkStart w:id="21"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MESL1710935</w:t>
      </w:r>
      <w:r>
        <w:t xml:space="preserve"> </w:t>
      </w:r>
      <w:r>
        <w:t xml:space="preserve">→ Die Cast Machine #7, Die DC-042, Cavity A,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bookmarkEnd w:id="21"/>
    <w:bookmarkStart w:id="22"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2"/>
    <w:bookmarkStart w:id="23"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 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3"/>
    <w:bookmarkStart w:id="24"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4"/>
    <w:bookmarkStart w:id="25"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5"/>
    <w:bookmarkStart w:id="26"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 His terminal is dedicated (Cell-parented), so the entry is a single button press: tap once, the MES writes</w:t>
      </w:r>
      <w:r>
        <w:t xml:space="preserve"> </w:t>
      </w:r>
      <w:r>
        <w:rPr>
          <w:rStyle w:val="VerbatimChar"/>
        </w:rPr>
        <w:t xml:space="preserve">Oee.DowntimeEvent</w:t>
      </w:r>
      <w:r>
        <w:t xml:space="preserve"> </w:t>
      </w:r>
      <w:r>
        <w:t xml:space="preserve">rows for the lunch period and each break period defined on the shift schedule, with each row’s</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 </w:t>
      </w:r>
      <w:r>
        <w:t xml:space="preserve">populated from the schedule (no operator-entered durations, no minute-level adjustments). On a shared terminal it would prompt for initials, time category (Regular default), lunch yes/no, which breaks were taken, and submit. Either way the operator never types a number — they’re confirming what’s already configured.</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6"/>
    <w:bookmarkEnd w:id="27"/>
    <w:bookmarkStart w:id="47"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8"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28"/>
    <w:bookmarkStart w:id="29"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29"/>
    <w:bookmarkStart w:id="30"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 corrected 2026-04-29 per FDS v0.11m):</w:t>
      </w:r>
      <w:r>
        <w:t xml:space="preserve"> </w:t>
      </w:r>
      <w:r>
        <w:t xml:space="preserve">At</w:t>
      </w:r>
      <w:r>
        <w:t xml:space="preserve"> </w:t>
      </w:r>
      <w:r>
        <w:rPr>
          <w:b/>
          <w:bCs/>
        </w:rPr>
        <w:t xml:space="preserve">Trim OUT</w:t>
      </w:r>
      <w:r>
        <w:t xml:space="preserve">, the Trim operator triggers the sub-LOT split. The system presents a confirmation dialog — default N=2 sublots, evenly split — and the operator selects a destination Machining Cell for each child by scan or dropdown. Sublots are treated as LOT splits in the data model (</w:t>
      </w:r>
      <w:r>
        <w:rPr>
          <w:rStyle w:val="VerbatimChar"/>
        </w:rPr>
        <w:t xml:space="preserve">LotGenealogy</w:t>
      </w:r>
      <w:r>
        <w:t xml:space="preserve"> </w:t>
      </w:r>
      <w:r>
        <w:t xml:space="preserve">with</w:t>
      </w:r>
      <w:r>
        <w:t xml:space="preserve"> </w:t>
      </w:r>
      <w:r>
        <w:rPr>
          <w:rStyle w:val="VerbatimChar"/>
        </w:rPr>
        <w:t xml:space="preserve">RelationshipType = Split</w:t>
      </w:r>
      <w:r>
        <w:t xml:space="preserve">). Operator can adjust quantities or sublot count before confirming; total must equal parent piece count. Needs review with Ben on per-Item override quantities.</w:t>
      </w:r>
    </w:p>
    <w:p>
      <w:pPr>
        <w:pStyle w:val="BodyText"/>
      </w:pPr>
      <w:r>
        <w:rPr>
          <w:b/>
          <w:bCs/>
        </w:rPr>
        <w:t xml:space="preserve">Clarification (2026-04-23, v0.8):</w:t>
      </w:r>
      <w:r>
        <w:t xml:space="preserve"> </w:t>
      </w:r>
      <w:r>
        <w:t xml:space="preserve">Sub-LOT split is the</w:t>
      </w:r>
      <w:r>
        <w:t xml:space="preserve"> </w:t>
      </w:r>
      <w:r>
        <w:rPr>
          <w:b/>
          <w:bCs/>
        </w:rPr>
        <w:t xml:space="preserve">Trim OUT</w:t>
      </w:r>
      <w:r>
        <w:t xml:space="preserve"> </w:t>
      </w:r>
      <w:r>
        <w:t xml:space="preserve">sublot pattern (parent FK + split genealogy).</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30"/>
    <w:bookmarkStart w:id="31" w:name="Xc36c0c0c40ec76e485664de89aee6242e09b3d6"/>
    <w:p>
      <w:pPr>
        <w:pStyle w:val="Heading3"/>
      </w:pPr>
      <w:r>
        <w:t xml:space="preserve">4. Container Lifecycle on Non-Serialized Lines — ✅ Resolved</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(2026-04-29, FDS-06-014):</w:t>
      </w:r>
      <w:r>
        <w:t xml:space="preserve"> </w:t>
      </w:r>
      <w:r>
        <w:t xml:space="preserve">Non-serialized lines use the same</w:t>
      </w:r>
      <w:r>
        <w:t xml:space="preserve"> </w:t>
      </w:r>
      <w:r>
        <w:rPr>
          <w:b/>
          <w:bCs/>
        </w:rPr>
        <w:t xml:space="preserve">tray-level</w:t>
      </w:r>
      <w:r>
        <w:t xml:space="preserve"> </w:t>
      </w:r>
      <w:r>
        <w:t xml:space="preserve">closure model as serialized lines, but with a different</w:t>
      </w:r>
      <w:r>
        <w:t xml:space="preserve"> </w:t>
      </w:r>
      <w:r>
        <w:rPr>
          <w:rStyle w:val="VerbatimChar"/>
        </w:rPr>
        <w:t xml:space="preserve">ClosureMethod</w:t>
      </w:r>
      <w:r>
        <w:t xml:space="preserve"> </w:t>
      </w:r>
      <w:r>
        <w:t xml:space="preserve">configured per Item on</w:t>
      </w:r>
      <w:r>
        <w:t xml:space="preserve"> </w:t>
      </w:r>
      <w:r>
        <w:rPr>
          <w:rStyle w:val="VerbatimChar"/>
        </w:rPr>
        <w:t xml:space="preserve">Parts.ContainerConfig</w:t>
      </w:r>
      <w:r>
        <w:t xml:space="preserve">. Three peer methods:</w:t>
      </w:r>
      <w:r>
        <w:t xml:space="preserve"> </w:t>
      </w:r>
      <w:r>
        <w:rPr>
          <w:rStyle w:val="VerbatimChar"/>
        </w:rPr>
        <w:t xml:space="preserve">ByCount</w:t>
      </w:r>
      <w:r>
        <w:t xml:space="preserve"> </w:t>
      </w:r>
      <w:r>
        <w:t xml:space="preserve">(operator confirms tray quantity at a terminal),</w:t>
      </w:r>
      <w:r>
        <w:t xml:space="preserve"> </w:t>
      </w:r>
      <w:r>
        <w:rPr>
          <w:rStyle w:val="VerbatimChar"/>
        </w:rPr>
        <w:t xml:space="preserve">ByWeight</w:t>
      </w:r>
      <w:r>
        <w:t xml:space="preserve"> </w:t>
      </w:r>
      <w:r>
        <w:t xml:space="preserve">(OmniServer scale asserts</w:t>
      </w:r>
      <w:r>
        <w:t xml:space="preserve"> </w:t>
      </w:r>
      <w:r>
        <w:rPr>
          <w:rStyle w:val="VerbatimChar"/>
        </w:rPr>
        <w:t xml:space="preserve">TargetWeightMetFlag</w:t>
      </w:r>
      <w:r>
        <w:t xml:space="preserve">),</w:t>
      </w:r>
      <w:r>
        <w:t xml:space="preserve"> </w:t>
      </w:r>
      <w:r>
        <w:rPr>
          <w:rStyle w:val="VerbatimChar"/>
        </w:rPr>
        <w:t xml:space="preserve">ByVision</w:t>
      </w:r>
      <w:r>
        <w:t xml:space="preserve"> </w:t>
      </w:r>
      <w:r>
        <w:t xml:space="preserve">(camera validates each part pass/fail, PLC asserts</w:t>
      </w:r>
      <w:r>
        <w:t xml:space="preserve"> </w:t>
      </w:r>
      <w:r>
        <w:rPr>
          <w:rStyle w:val="VerbatimChar"/>
        </w:rPr>
        <w:t xml:space="preserve">TrayFullFlag</w:t>
      </w:r>
      <w:r>
        <w:t xml:space="preserve">). Container fill is MES-side accumulation of closed trays —</w:t>
      </w:r>
      <w:r>
        <w:t xml:space="preserve">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AIM shipper ID is claimed atomically at container close from the</w:t>
      </w:r>
      <w:r>
        <w:t xml:space="preserve"> </w:t>
      </w:r>
      <w:r>
        <w:rPr>
          <w:rStyle w:val="VerbatimChar"/>
        </w:rPr>
        <w:t xml:space="preserve">AimShipperIdPool</w:t>
      </w:r>
      <w:r>
        <w:t xml:space="preserve">.</w:t>
      </w:r>
      <w:r>
        <w:t xml:space="preserve"> </w:t>
      </w:r>
      <w:r>
        <w:rPr>
          <w:i/>
          <w:iCs/>
        </w:rPr>
        <w:t xml:space="preserve">OI-02 closed.</w:t>
      </w:r>
    </w:p>
    <w:bookmarkEnd w:id="31"/>
    <w:bookmarkStart w:id="32"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2"/>
    <w:bookmarkStart w:id="33"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3"/>
    <w:bookmarkStart w:id="34"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4"/>
    <w:bookmarkStart w:id="35"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35"/>
    <w:bookmarkStart w:id="36"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6"/>
    <w:bookmarkStart w:id="37"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7"/>
    <w:bookmarkStart w:id="38"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8"/>
    <w:bookmarkStart w:id="39"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39"/>
    <w:bookmarkStart w:id="40" w:name="Xc0a5eb28306015653f1346584140a8b0bcc5f4a"/>
    <w:p>
      <w:pPr>
        <w:pStyle w:val="Heading3"/>
      </w:pPr>
      <w:r>
        <w:t xml:space="preserve">13. Weight vs. Count-Based Container Closure — ✅ Resolved</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(2026-04-29, FDS-06-014):</w:t>
      </w:r>
      <w:r>
        <w:t xml:space="preserve"> </w:t>
      </w:r>
      <w:r>
        <w:t xml:space="preserve">Resolved alongside #4. Three peer</w:t>
      </w:r>
      <w:r>
        <w:t xml:space="preserve"> </w:t>
      </w:r>
      <w:r>
        <w:rPr>
          <w:rStyle w:val="VerbatimChar"/>
        </w:rPr>
        <w:t xml:space="preserve">ClosureMethod</w:t>
      </w:r>
      <w:r>
        <w:t xml:space="preserve"> </w:t>
      </w:r>
      <w:r>
        <w:t xml:space="preserve">values are configured per Item on</w:t>
      </w:r>
      <w:r>
        <w:t xml:space="preserve"> </w:t>
      </w:r>
      <w:r>
        <w:rPr>
          <w:rStyle w:val="VerbatimChar"/>
        </w:rPr>
        <w:t xml:space="preserve">Parts.ContainerConfig</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Each is a first-class tray-level closure method. The validation gate is always the tray; the container-full signal is always the MES-side accumulation of closed trays. The OPC</w:t>
      </w:r>
      <w:r>
        <w:t xml:space="preserve"> </w:t>
      </w:r>
      <w:r>
        <w:rPr>
          <w:rStyle w:val="VerbatimChar"/>
        </w:rPr>
        <w:t xml:space="preserve">TargetWeightMetFlag</w:t>
      </w:r>
      <w:r>
        <w:t xml:space="preserve"> </w:t>
      </w:r>
      <w:r>
        <w:t xml:space="preserve">is the PLC side of the</w:t>
      </w:r>
      <w:r>
        <w:t xml:space="preserve"> </w:t>
      </w:r>
      <w:r>
        <w:rPr>
          <w:rStyle w:val="VerbatimChar"/>
        </w:rPr>
        <w:t xml:space="preserve">ByWeight</w:t>
      </w:r>
      <w:r>
        <w:t xml:space="preserve"> </w:t>
      </w:r>
      <w:r>
        <w:t xml:space="preserve">path.</w:t>
      </w:r>
      <w:r>
        <w:t xml:space="preserve"> </w:t>
      </w:r>
      <w:r>
        <w:rPr>
          <w:i/>
          <w:iCs/>
        </w:rPr>
        <w:t xml:space="preserve">OI-02 closed.</w:t>
      </w:r>
    </w:p>
    <w:bookmarkEnd w:id="40"/>
    <w:bookmarkStart w:id="41"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41"/>
    <w:bookmarkStart w:id="42"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2"/>
    <w:bookmarkStart w:id="43"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43"/>
    <w:bookmarkStart w:id="44"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4"/>
    <w:bookmarkStart w:id="45"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45"/>
    <w:bookmarkStart w:id="46"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6"/>
    <w:bookmarkEnd w:id="47"/>
    <w:bookmarkStart w:id="48"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8"/>
    <w:bookmarkStart w:id="49"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9"/>
    <w:bookmarkStart w:id="50"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2026-04-30T15:54:23Z</dcterms:created>
  <dcterms:modified xsi:type="dcterms:W3CDTF">2026-04-30T15:54:23Z</dcterms:modified>
</cp:coreProperties>
</file>

<file path=docProps/custom.xml><?xml version="1.0" encoding="utf-8"?>
<Properties xmlns="http://schemas.openxmlformats.org/officeDocument/2006/custom-properties" xmlns:vt="http://schemas.openxmlformats.org/officeDocument/2006/docPropsVTypes"/>
</file>