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24.png" ContentType="image/png"/>
  <Override PartName="/word/media/rId21.png" ContentType="image/png"/>
  <Override PartName="/word/media/rId28.png" ContentType="image/png"/>
  <Override PartName="/word/media/rId34.png" ContentType="image/png"/>
  <Override PartName="/word/media/rId44.png" ContentType="image/png"/>
  <Override PartName="/word/media/rId31.png" ContentType="image/png"/>
  <Override PartName="/word/media/rId37.png" ContentType="image/png"/>
  <Override PartName="/word/media/rId57.png" ContentType="image/png"/>
  <Override PartName="/word/media/rId60.png" ContentType="image/png"/>
  <Override PartName="/word/media/rId66.png" ContentType="image/png"/>
  <Override PartName="/word/media/rId51.png" ContentType="image/png"/>
  <Override PartName="/word/media/rId54.png" ContentType="image/png"/>
  <Override PartName="/word/media/rId63.png" ContentType="image/png"/>
  <Override PartName="/word/media/rId41.png" ContentType="image/png"/>
  <Override PartName="/word/media/rId47.png" ContentType="image/png"/>
  <Override PartName="/word/media/rId70.png" ContentType="image/png"/>
  <Override PartName="/word/media/rId73.png" ContentType="image/png"/>
  <Override PartName="/word/media/rId76.png" ContentType="image/png"/>
  <Override PartName="/word/media/rId7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mpp-mes-user-journeys"/>
    <w:p>
      <w:pPr>
        <w:pStyle w:val="Heading1"/>
      </w:pPr>
      <w:r>
        <w:t xml:space="preserve">MPP MES — User Journeys</w:t>
      </w:r>
    </w:p>
    <w:p>
      <w:pPr>
        <w:pStyle w:val="FirstParagraph"/>
      </w:pPr>
      <w:r>
        <w:rPr>
          <w:b/>
          <w:bCs/>
        </w:rPr>
        <w:t xml:space="preserve">Project:</w:t>
      </w:r>
      <w:r>
        <w:t xml:space="preserve"> </w:t>
      </w:r>
      <w:r>
        <w:t xml:space="preserve">Madison Precision Products MES Replacement</w:t>
      </w:r>
      <w:r>
        <w:t xml:space="preserve"> </w:t>
      </w:r>
      <w:r>
        <w:rPr>
          <w:b/>
          <w:bCs/>
        </w:rPr>
        <w:t xml:space="preserve">Purpose:</w:t>
      </w:r>
      <w:r>
        <w:t xml:space="preserve"> </w:t>
      </w:r>
      <w:r>
        <w:t xml:space="preserve">Narrative walkthrough of the two primary user experiences — Configuration and Plant Floor</w:t>
      </w:r>
      <w:r>
        <w:t xml:space="preserve"> </w:t>
      </w:r>
      <w:r>
        <w:rPr>
          <w:b/>
          <w:bCs/>
        </w:rPr>
        <w:t xml:space="preserve">Status:</w:t>
      </w:r>
      <w:r>
        <w:t xml:space="preserve"> </w:t>
      </w:r>
      <w:r>
        <w:t xml:space="preserve">Working draft — assumptions and open decisions flagged at end</w:t>
      </w:r>
      <w:r>
        <w:t xml:space="preserve"> </w:t>
      </w:r>
      <w:r>
        <w:rPr>
          <w:b/>
          <w:bCs/>
        </w:rPr>
        <w:t xml:space="preserve">References:</w:t>
      </w:r>
      <w:r>
        <w:t xml:space="preserve"> </w:t>
      </w:r>
      <w:r>
        <w:rPr>
          <w:rStyle w:val="VerbatimChar"/>
        </w:rPr>
        <w:t xml:space="preserve">MPP_MES_SUMMARY.md</w:t>
      </w:r>
      <w:r>
        <w:t xml:space="preserve">,</w:t>
      </w:r>
      <w:r>
        <w:t xml:space="preserve"> </w:t>
      </w:r>
      <w:r>
        <w:rPr>
          <w:rStyle w:val="VerbatimChar"/>
        </w:rPr>
        <w:t xml:space="preserve">MPP_MES_DATA_MODEL.md</w:t>
      </w:r>
      <w:r>
        <w:t xml:space="preserve">, Scope Matrix</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user journeys — 2 narrative arcs, 19 assumptions, impact matrix, validation log</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 decision text and status tags to all 19 assumptions. 4 resolved (UJ-06, UJ-15 + mapped OI-01, OI-08, OI-09). 8 pending customer validation, 4 pending internal review (Ben), 7 remain open. Added status legend.</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UpperCamelCase naming convention applied to all DB references. Department references updated to Area per ISA-95.</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Location model references updated for the new three-tier polymorphic model (LocationType → LocationTypeDefinition → LocationAttributeDefinition). See FDS v0.4 for details.</w:t>
            </w:r>
          </w:p>
        </w:tc>
      </w:tr>
      <w:tr>
        <w:tc>
          <w:tcPr/>
          <w:p>
            <w:pPr>
              <w:pStyle w:val="Compact"/>
            </w:pPr>
            <w:r>
              <w:t xml:space="preserve">0.5</w:t>
            </w:r>
          </w:p>
        </w:tc>
        <w:tc>
          <w:tcPr/>
          <w:p>
            <w:pPr>
              <w:pStyle w:val="Compact"/>
            </w:pPr>
            <w:r>
              <w:t xml:space="preserve">2026-04-15</w:t>
            </w:r>
          </w:p>
        </w:tc>
        <w:tc>
          <w:tcPr/>
          <w:p>
            <w:pPr>
              <w:pStyle w:val="Compact"/>
            </w:pPr>
            <w:r>
              <w:t xml:space="preserve">Blue Ridge Automation</w:t>
            </w:r>
          </w:p>
        </w:tc>
        <w:tc>
          <w:tcPr/>
          <w:p>
            <w:pPr>
              <w:pStyle w:val="Compact"/>
            </w:pPr>
            <w:r>
              <w:t xml:space="preserve">Aligned to data model v1.3 and Phase 5/6 SQL delivery. Configuration Tool arc now reflects three-state versioning (Draft / Published / Deprecated) for RouteTemplate, OperationTemplate, and Bom — engineers author across sessions, publish to release for production, and deprecate rather than delete. OperationTemplate data collection described via the DataCollectionField junction (configurable per step) instead of hardcoded flags. Location management references the SortOrder + MoveUp/MoveDown arrow-button pattern (no drag-and-drop, per project convention). Plant Floor arc references HoldEvent as a single place/release lifecycle table consistent with DowntimeEvent. Added note that all Configuration Tool screens bind to Ignition Named Queries over stored procs returning a single result set (see FDS §11 FDS-11-011).</w:t>
            </w:r>
          </w:p>
        </w:tc>
      </w:tr>
      <w:tr>
        <w:tc>
          <w:tcPr>
            <w:shd w:val="clear" w:color="auto" w:fill="F2F2F2"/>
          </w:tcPr>
          <w:tcPr/>
          <w:p>
            <w:pPr>
              <w:pStyle w:val="Compact"/>
            </w:pPr>
            <w:r>
              <w:t xml:space="preserve">0.6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Security model rewrite (OI-06 closed — Phase C of the 2026-04-20 OI review refactor).</w:t>
            </w:r>
            <w:r>
              <w:t xml:space="preserve"> </w:t>
            </w:r>
            <w:r>
              <w:t xml:space="preserve">Operator identity narrative updated end-to-end. Carlos Die Cast scene now shows the initials-based presence pattern (</w:t>
            </w:r>
            <w:r>
              <w:rPr>
                <w:rStyle w:val="VerbatimChar"/>
              </w:rPr>
              <w:t xml:space="preserve">CM</w:t>
            </w:r>
            <w:r>
              <w:t xml:space="preserve"> </w:t>
            </w:r>
            <w:r>
              <w:t xml:space="preserve">pre-populated on the LOT creation screen, defeasible before submit). UJ-§1</w:t>
            </w:r>
            <w:r>
              <w:t xml:space="preserve"> </w:t>
            </w:r>
            <w:r>
              <w:t xml:space="preserve">“Operator Authentication &amp; Session Model”</w:t>
            </w:r>
            <w:r>
              <w:t xml:space="preserve"> </w:t>
            </w:r>
            <w:r>
              <w:t xml:space="preserve">renamed to</w:t>
            </w:r>
            <w:r>
              <w:t xml:space="preserve"> </w:t>
            </w:r>
            <w:r>
              <w:t xml:space="preserve">“Operator Identity &amp; Elevation Model”</w:t>
            </w:r>
            <w:r>
              <w:t xml:space="preserve"> </w:t>
            </w:r>
            <w:r>
              <w:t xml:space="preserve">and closed as Resolved. 5-minute timeout, clock number, and PIN references removed. 30-minute idle re-confirmation popup described. Elevated actions use per-action AD prompts (no convenience login). See FDS §4 for the full specification.</w:t>
            </w:r>
          </w:p>
        </w:tc>
      </w:tr>
      <w:tr>
        <w:tc>
          <w:tcPr/>
          <w:p>
            <w:pPr>
              <w:pStyle w:val="Compact"/>
            </w:pPr>
            <w:r>
              <w:t xml:space="preserve">0.7</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Group 4 — narrative additions for OI-11, 15, 20, 22.</w:t>
            </w:r>
            <w:r>
              <w:t xml:space="preserve"> </w:t>
            </w:r>
            <w:r>
              <w:t xml:space="preserve">Arc 2 now references: (1) the</w:t>
            </w:r>
            <w:r>
              <w:t xml:space="preserve"> </w:t>
            </w:r>
            <w:r>
              <w:rPr>
                <w:b/>
                <w:bCs/>
              </w:rPr>
              <w:t xml:space="preserve">Track</w:t>
            </w:r>
            <w:r>
              <w:t xml:space="preserve"> </w:t>
            </w:r>
            <w:r>
              <w:t xml:space="preserve">tool at the Sort Cage scene — Diane enters a serial number into the home-tile Track screen and gets the full genealogy tree without leaving her context (OI-15 / FDS-12-012..014); (2) the</w:t>
            </w:r>
            <w:r>
              <w:t xml:space="preserve"> </w:t>
            </w:r>
            <w:r>
              <w:rPr>
                <w:b/>
                <w:bCs/>
              </w:rPr>
              <w:t xml:space="preserve">Part Identity Change</w:t>
            </w:r>
            <w:r>
              <w:t xml:space="preserve"> </w:t>
            </w:r>
            <w:r>
              <w:t xml:space="preserve">at the Casting → Trim Shop boundary — added a short scene showing the operator confirming the rename from the cast part number to the trim part number, creating the</w:t>
            </w:r>
            <w:r>
              <w:t xml:space="preserve"> </w:t>
            </w:r>
            <w:r>
              <w:rPr>
                <w:rStyle w:val="VerbatimChar"/>
              </w:rPr>
              <w:t xml:space="preserve">ItemTransform</w:t>
            </w:r>
            <w:r>
              <w:t xml:space="preserve"> </w:t>
            </w:r>
            <w:r>
              <w:t xml:space="preserve">row (OI-11 / FDS-05-033..035); (3)</w:t>
            </w:r>
            <w:r>
              <w:t xml:space="preserve"> </w:t>
            </w:r>
            <w:r>
              <w:rPr>
                <w:b/>
                <w:bCs/>
              </w:rPr>
              <w:t xml:space="preserve">Scrap source choice</w:t>
            </w:r>
            <w:r>
              <w:t xml:space="preserve"> </w:t>
            </w:r>
            <w:r>
              <w:t xml:space="preserve">called out in the Sort Cage disposition — Diane scraps from Location (in-process at the Machine Shop) vs Inventory (unallocated stock), clarifying the two buttons now present on Lot Details (OI-20 / FDS-06-023a); (4)</w:t>
            </w:r>
            <w:r>
              <w:t xml:space="preserve"> </w:t>
            </w:r>
            <w:r>
              <w:rPr>
                <w:b/>
                <w:bCs/>
              </w:rPr>
              <w:t xml:space="preserve">Hold Management screen</w:t>
            </w:r>
            <w:r>
              <w:t xml:space="preserve"> </w:t>
            </w:r>
            <w:r>
              <w:t xml:space="preserve">already described at the 1:15pm scene — reference updated to make explicit that it is the dedicated top-level Hold tile (OI-22 / FDS-08-007a). No new assumption rows added — these additions ride on existing UJ-03 (split), UJ-08 (merge), UJ-17 (vision conflict) threads.</w:t>
            </w:r>
          </w:p>
        </w:tc>
      </w:tr>
      <w:tr>
        <w:tc>
          <w:tcPr>
            <w:shd w:val="clear" w:color="auto" w:fill="F2F2F2"/>
          </w:tcPr>
          <w:tcPr/>
          <w:p>
            <w:pPr>
              <w:pStyle w:val="Compact"/>
            </w:pPr>
            <w:r>
              <w:t xml:space="preserve">0.7-rev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reversal — Trim Shop narrative simplified.</w:t>
            </w:r>
            <w:r>
              <w:t xml:space="preserve"> </w:t>
            </w:r>
            <w:r>
              <w:t xml:space="preserve">The Casting → Trim scene originally described writing a</w:t>
            </w:r>
            <w:r>
              <w:t xml:space="preserve"> </w:t>
            </w:r>
            <w:r>
              <w:rPr>
                <w:rStyle w:val="VerbatimChar"/>
              </w:rPr>
              <w:t xml:space="preserve">Parts.ItemTransform</w:t>
            </w:r>
            <w:r>
              <w:t xml:space="preserve"> </w:t>
            </w:r>
            <w:r>
              <w:t xml:space="preserve">row as the rename bridge. On review the ItemTransform table was redundant with</w:t>
            </w:r>
            <w:r>
              <w:t xml:space="preserve"> </w:t>
            </w:r>
            <w:r>
              <w:rPr>
                <w:rStyle w:val="VerbatimChar"/>
              </w:rPr>
              <w:t xml:space="preserve">Workorder.ConsumptionEvent</w:t>
            </w:r>
            <w:r>
              <w:t xml:space="preserve">, so the schema was removed (Data Model v1.8-rev, FDS v0.10-rev). The narrative now describes the same boundary as a normal 1-line BOM consumption — trim part has cast part as its sole component at QtyPer=1; the MES writes a</w:t>
            </w:r>
            <w:r>
              <w:t xml:space="preserve"> </w:t>
            </w:r>
            <w:r>
              <w:rPr>
                <w:rStyle w:val="VerbatimChar"/>
              </w:rPr>
              <w:t xml:space="preserve">ConsumptionEvent</w:t>
            </w:r>
            <w:r>
              <w:t xml:space="preserve"> </w:t>
            </w:r>
            <w:r>
              <w:t xml:space="preserve">+</w:t>
            </w:r>
            <w:r>
              <w:t xml:space="preserve"> </w:t>
            </w:r>
            <w:r>
              <w:rPr>
                <w:rStyle w:val="VerbatimChar"/>
              </w:rPr>
              <w:t xml:space="preserve">LotGenealogy</w:t>
            </w:r>
            <w:r>
              <w:t xml:space="preserve"> </w:t>
            </w:r>
            <w:r>
              <w:t xml:space="preserve">row in the same way as any assembly. Operator-visible flow is unchanged (</w:t>
            </w:r>
            <w:r>
              <w:t xml:space="preserve">“Receive as trim part?”</w:t>
            </w:r>
            <w:r>
              <w:t xml:space="preserve"> </w:t>
            </w:r>
            <w:r>
              <w:t xml:space="preserve">prompt stays). OI-11 closed ✅ in Open Issues Register v2.6.</w:t>
            </w:r>
          </w:p>
        </w:tc>
      </w:tr>
      <w:tr>
        <w:tc>
          <w:tcPr/>
          <w:p>
            <w:pPr>
              <w:pStyle w:val="Compact"/>
            </w:pPr>
            <w:r>
              <w:t xml:space="preserve">0.9</w:t>
            </w:r>
          </w:p>
        </w:tc>
        <w:tc>
          <w:tcPr/>
          <w:p>
            <w:pPr>
              <w:pStyle w:val="Compact"/>
            </w:pPr>
            <w:r>
              <w:t xml:space="preserve">2026-04-29</w:t>
            </w:r>
          </w:p>
        </w:tc>
        <w:tc>
          <w:tcPr/>
          <w:p>
            <w:pPr>
              <w:pStyle w:val="Compact"/>
            </w:pPr>
            <w:r>
              <w:t xml:space="preserve">Blue Ridge Automation</w:t>
            </w:r>
          </w:p>
        </w:tc>
        <w:tc>
          <w:tcPr/>
          <w:p>
            <w:pPr>
              <w:pStyle w:val="Compact"/>
            </w:pPr>
            <w:r>
              <w:rPr>
                <w:b/>
                <w:bCs/>
              </w:rPr>
              <w:t xml:space="preserve">FDS v0.11m alignment.</w:t>
            </w:r>
            <w:r>
              <w:t xml:space="preserve"> </w:t>
            </w:r>
            <w:r>
              <w:t xml:space="preserve">Arc 1: added</w:t>
            </w:r>
            <w:r>
              <w:t xml:space="preserve"> </w:t>
            </w:r>
            <w:r>
              <w:t xml:space="preserve">“Registering Tools (Dies)”</w:t>
            </w:r>
            <w:r>
              <w:t xml:space="preserve"> </w:t>
            </w:r>
            <w:r>
              <w:t xml:space="preserve">section covering die registration, cavities, Die Rank config, compatibility matrix, and tool assignment. Downtime code count corrected to ~353. Break configuration added to shift schedule description. Arc 2: Trim Shop scene updated — part-identity rename and sub-LOT split now correctly placed at Trim OUT (not Trim IN). Machining scene rewritten — split no longer happens at Machining OUT; Machining OUT is PLC auto-complete with auto-move to coupled Assembly Cell via</w:t>
            </w:r>
            <w:r>
              <w:t xml:space="preserve"> </w:t>
            </w:r>
            <w:r>
              <w:rPr>
                <w:rStyle w:val="VerbatimChar"/>
              </w:rPr>
              <w:t xml:space="preserve">CoupledDownstreamCellLocationId</w:t>
            </w:r>
            <w:r>
              <w:t xml:space="preserve">. Assembly AIM call updated to reference local pool (</w:t>
            </w:r>
            <w:r>
              <w:rPr>
                <w:rStyle w:val="VerbatimChar"/>
              </w:rPr>
              <w:t xml:space="preserve">Lots.AimShipperIdPool</w:t>
            </w:r>
            <w:r>
              <w:t xml:space="preserve">) and async print dispatch. End of Shift rewritten — single button press time entry (FDS-09-013), auto-written DowntimeEvent rows for breaks, shift handover summary screen (FDS-09-015), available runtime derivation. Assumption #10 updated to Partially Resolved.</w:t>
            </w:r>
          </w:p>
        </w:tc>
      </w:tr>
      <w:tr>
        <w:tc>
          <w:tcPr>
            <w:shd w:val="clear" w:color="auto" w:fill="F2F2F2"/>
          </w:tcPr>
          <w:tcPr/>
          <w:p>
            <w:pPr>
              <w:pStyle w:val="Compact"/>
            </w:pPr>
            <w:r>
              <w:t xml:space="preserve">0.8</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narrative alignment with Data Model v1.9 / FDS v0.11.</w:t>
            </w:r>
            <w:r>
              <w:t xml:space="preserve"> </w:t>
            </w:r>
            <w:r>
              <w:t xml:space="preserve">Arc 2 scenes updated:</w:t>
            </w:r>
            <w:r>
              <w:t xml:space="preserve"> </w:t>
            </w:r>
            <w:r>
              <w:rPr>
                <w:b/>
                <w:bCs/>
              </w:rPr>
              <w:t xml:space="preserve">6:20am Die Cast (Carlos)</w:t>
            </w:r>
            <w:r>
              <w:t xml:space="preserve"> </w:t>
            </w:r>
            <w:r>
              <w:t xml:space="preserve">— Tool auto-populates on Cell selection from the active</w:t>
            </w:r>
            <w:r>
              <w:t xml:space="preserve"> </w:t>
            </w:r>
            <w:r>
              <w:rPr>
                <w:rStyle w:val="VerbatimChar"/>
              </w:rPr>
              <w:t xml:space="preserve">Tools.ToolAssignment</w:t>
            </w:r>
            <w:r>
              <w:t xml:space="preserve">; Carlos confirms the populated die; an</w:t>
            </w:r>
            <w:r>
              <w:t xml:space="preserve"> </w:t>
            </w:r>
            <w:r>
              <w:rPr>
                <w:b/>
                <w:bCs/>
              </w:rPr>
              <w:t xml:space="preserve">Edit</w:t>
            </w:r>
            <w:r>
              <w:t xml:space="preserve"> </w:t>
            </w:r>
            <w:r>
              <w:t xml:space="preserve">button (elevated AD prompt) triggers inline</w:t>
            </w:r>
            <w:r>
              <w:t xml:space="preserve"> </w:t>
            </w:r>
            <w:r>
              <w:rPr>
                <w:rStyle w:val="VerbatimChar"/>
              </w:rPr>
              <w:t xml:space="preserve">ToolAssignment_Release</w:t>
            </w:r>
            <w:r>
              <w:t xml:space="preserve"> </w:t>
            </w:r>
            <w:r>
              <w:t xml:space="preserve">+</w:t>
            </w:r>
            <w:r>
              <w:t xml:space="preserve"> </w:t>
            </w:r>
            <w:r>
              <w:rPr>
                <w:rStyle w:val="VerbatimChar"/>
              </w:rPr>
              <w:t xml:space="preserve">_Assign</w:t>
            </w:r>
            <w:r>
              <w:t xml:space="preserve"> </w:t>
            </w:r>
            <w:r>
              <w:t xml:space="preserve">to correct the system of record when the physical die doesn’t match; LOT creation is</w:t>
            </w:r>
            <w:r>
              <w:t xml:space="preserve"> </w:t>
            </w:r>
            <w:r>
              <w:rPr>
                <w:b/>
                <w:bCs/>
              </w:rPr>
              <w:t xml:space="preserve">lazy and operator-driven</w:t>
            </w:r>
            <w:r>
              <w:t xml:space="preserve"> </w:t>
            </w:r>
            <w:r>
              <w:t xml:space="preserve">(Carlos logs a LOT whenever he gets to the terminal, not at a prescribed moment); the die’s multiple active cavities produce</w:t>
            </w:r>
            <w:r>
              <w:t xml:space="preserve"> </w:t>
            </w:r>
            <w:r>
              <w:rPr>
                <w:b/>
                <w:bCs/>
              </w:rPr>
              <w:t xml:space="preserve">N parallel independent LOTs, not sublots</w:t>
            </w:r>
            <w:r>
              <w:t xml:space="preserve"> </w:t>
            </w:r>
            <w:r>
              <w:t xml:space="preserve">(each LOT has its own</w:t>
            </w:r>
            <w:r>
              <w:t xml:space="preserve"> </w:t>
            </w:r>
            <w:r>
              <w:rPr>
                <w:rStyle w:val="VerbatimChar"/>
              </w:rPr>
              <w:t xml:space="preserve">ToolCavityId</w:t>
            </w:r>
            <w:r>
              <w:t xml:space="preserve"> </w:t>
            </w:r>
            <w:r>
              <w:t xml:space="preserve">set at creation, fills at its own rate, closes independently via explicit Complete+Move).</w:t>
            </w:r>
            <w:r>
              <w:t xml:space="preserve"> </w:t>
            </w:r>
            <w:r>
              <w:rPr>
                <w:b/>
                <w:bCs/>
              </w:rPr>
              <w:t xml:space="preserve">8:30am Trim Shop (Diane)</w:t>
            </w:r>
            <w:r>
              <w:t xml:space="preserve"> </w:t>
            </w:r>
            <w:r>
              <w:t xml:space="preserve">—</w:t>
            </w:r>
            <w:r>
              <w:t xml:space="preserve"> </w:t>
            </w:r>
            <w:r>
              <w:t xml:space="preserve">“check-in”</w:t>
            </w:r>
            <w:r>
              <w:t xml:space="preserve"> </w:t>
            </w:r>
            <w:r>
              <w:t xml:space="preserve">fires a</w:t>
            </w:r>
            <w:r>
              <w:t xml:space="preserve"> </w:t>
            </w:r>
            <w:r>
              <w:rPr>
                <w:rStyle w:val="VerbatimChar"/>
              </w:rPr>
              <w:t xml:space="preserve">Workorder.ProductionEvent</w:t>
            </w:r>
            <w:r>
              <w:t xml:space="preserve"> </w:t>
            </w:r>
            <w:r>
              <w:t xml:space="preserve">checkpoint row carrying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deltas since Carlos’s die-cast checkout are derived via</w:t>
            </w:r>
            <w:r>
              <w:t xml:space="preserve"> </w:t>
            </w:r>
            <w:r>
              <w:rPr>
                <w:rStyle w:val="VerbatimChar"/>
              </w:rPr>
              <w:t xml:space="preserve">LAG()</w:t>
            </w:r>
            <w:r>
              <w:t xml:space="preserve"> </w:t>
            </w:r>
            <w:r>
              <w:t xml:space="preserve">at read time.</w:t>
            </w:r>
            <w:r>
              <w:t xml:space="preserve"> </w:t>
            </w:r>
            <w:r>
              <w:rPr>
                <w:b/>
                <w:bCs/>
              </w:rPr>
              <w:t xml:space="preserve">10:00am Machining</w:t>
            </w:r>
            <w:r>
              <w:t xml:space="preserve"> </w:t>
            </w:r>
            <w:r>
              <w:t xml:space="preserve">— sub-LOT split is still a sublot pattern (parent FK + split genealogy); parent LOT was Machining-origin so it already had NULL</w:t>
            </w:r>
            <w:r>
              <w:t xml:space="preserve"> </w:t>
            </w:r>
            <w:r>
              <w:rPr>
                <w:rStyle w:val="VerbatimChar"/>
              </w:rPr>
              <w:t xml:space="preserve">ToolId</w:t>
            </w:r>
            <w:r>
              <w:t xml:space="preserve">/</w:t>
            </w:r>
            <w:r>
              <w:rPr>
                <w:rStyle w:val="VerbatimChar"/>
              </w:rPr>
              <w:t xml:space="preserve">ToolCavityId</w:t>
            </w:r>
            <w:r>
              <w:t xml:space="preserve">; children inherit NULL.</w:t>
            </w:r>
            <w:r>
              <w:t xml:space="preserve"> </w:t>
            </w:r>
            <w:r>
              <w:rPr>
                <w:b/>
                <w:bCs/>
              </w:rPr>
              <w:t xml:space="preserve">2:00pm Sort Cage</w:t>
            </w:r>
            <w:r>
              <w:t xml:space="preserve"> </w:t>
            </w:r>
            <w:r>
              <w:t xml:space="preserve">— merge narrative (when any is triggered) produces a merged LOT with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 Tool-specific trace reconstructed via</w:t>
            </w:r>
            <w:r>
              <w:t xml:space="preserve"> </w:t>
            </w:r>
            <w:r>
              <w:rPr>
                <w:rStyle w:val="VerbatimChar"/>
              </w:rPr>
              <w:t xml:space="preserve">LotGenealogy</w:t>
            </w:r>
            <w:r>
              <w:t xml:space="preserve"> </w:t>
            </w:r>
            <w:r>
              <w:t xml:space="preserve">walk of pre-merge source LOTs. Also: every LOT</w:t>
            </w:r>
            <w:r>
              <w:t xml:space="preserve"> </w:t>
            </w:r>
            <w:r>
              <w:rPr>
                <w:rStyle w:val="VerbatimChar"/>
              </w:rPr>
              <w:t xml:space="preserve">LotName</w:t>
            </w:r>
            <w:r>
              <w:t xml:space="preserve"> </w:t>
            </w:r>
            <w:r>
              <w:t xml:space="preserve">is minted from the new</w:t>
            </w:r>
            <w:r>
              <w:t xml:space="preserve"> </w:t>
            </w:r>
            <w:r>
              <w:rPr>
                <w:rStyle w:val="VerbatimChar"/>
              </w:rPr>
              <w:t xml:space="preserve">Lots.IdentifierSequence_Next @Code='Lot'</w:t>
            </w:r>
            <w:r>
              <w:t xml:space="preserve"> </w:t>
            </w:r>
            <w:r>
              <w:t xml:space="preserve">proc per FDS-16-002 (replaces Flexware’s</w:t>
            </w:r>
            <w:r>
              <w:t xml:space="preserve"> </w:t>
            </w:r>
            <w:r>
              <w:rPr>
                <w:rStyle w:val="VerbatimChar"/>
              </w:rPr>
              <w:t xml:space="preserve">IdentifierFormat</w:t>
            </w:r>
            <w:r>
              <w:t xml:space="preserve"> </w:t>
            </w:r>
            <w:r>
              <w:t xml:space="preserve">counter). Assumption UJ-02 (LOT creation) gains lazy-by-operator note. UJ-03 (sub-LOT split) clarified — sublots are the Machining split only; cavity-parallel Die Cast LOTs are not sublots. UJ-08 (merge) adds merged-LOT-has-NULL-Tool note. Source:</w:t>
            </w:r>
            <w:r>
              <w:t xml:space="preserve"> </w:t>
            </w:r>
            <w:r>
              <w:rPr>
                <w:rStyle w:val="VerbatimChar"/>
              </w:rPr>
              <w:t xml:space="preserve">docs/superpowers/specs/2026-04-23-arc2-model-revisions.md</w:t>
            </w:r>
            <w:r>
              <w:t xml:space="preserve">.</w:t>
            </w:r>
          </w:p>
        </w:tc>
      </w:tr>
    </w:tbl>
    <w:p>
      <w:r>
        <w:pict>
          <v:rect style="width:0;height:1.5pt" o:hralign="center" o:hrstd="t" o:hr="t"/>
        </w:pict>
      </w:r>
    </w:p>
    <w:bookmarkEnd w:id="9"/>
    <w:bookmarkStart w:id="10" w:name="two-story-arcs"/>
    <w:p>
      <w:pPr>
        <w:pStyle w:val="Heading2"/>
      </w:pPr>
      <w:r>
        <w:t xml:space="preserve">Two Story Arcs</w:t>
      </w:r>
    </w:p>
    <w:p>
      <w:pPr>
        <w:pStyle w:val="FirstParagraph"/>
      </w:pPr>
      <w:r>
        <w:t xml:space="preserve">The MES has two fundamentally different audiences using the same underlying 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Arc</w:t>
            </w:r>
          </w:p>
        </w:tc>
        <w:tc>
          <w:tcPr>
            <w:shd w:val="clear" w:color="auto" w:fill="1F4E79"/>
          </w:tcPr>
          <w:tcPr/>
          <w:p>
            <w:pPr>
              <w:pStyle w:val="Compact"/>
            </w:pPr>
            <w:r>
              <w:rPr>
                <w:b/>
                <w:color w:val="FFFFFF"/>
              </w:rPr>
              <w:t xml:space="preserve">Who</w:t>
            </w:r>
          </w:p>
        </w:tc>
        <w:tc>
          <w:tcPr>
            <w:shd w:val="clear" w:color="auto" w:fill="1F4E79"/>
          </w:tcPr>
          <w:tcPr/>
          <w:p>
            <w:pPr>
              <w:pStyle w:val="Compact"/>
            </w:pPr>
            <w:r>
              <w:rPr>
                <w:b/>
                <w:color w:val="FFFFFF"/>
              </w:rPr>
              <w:t xml:space="preserve">When</w:t>
            </w:r>
          </w:p>
        </w:tc>
        <w:tc>
          <w:tcPr>
            <w:shd w:val="clear" w:color="auto" w:fill="1F4E79"/>
          </w:tcPr>
          <w:tcPr/>
          <w:p>
            <w:pPr>
              <w:pStyle w:val="Compact"/>
            </w:pPr>
            <w:r>
              <w:rPr>
                <w:b/>
                <w:color w:val="FFFFFF"/>
              </w:rPr>
              <w:t xml:space="preserve">What They See</w:t>
            </w:r>
          </w:p>
        </w:tc>
      </w:tr>
      <w:tr>
        <w:tc>
          <w:tcPr/>
          <w:p>
            <w:pPr>
              <w:pStyle w:val="Compact"/>
            </w:pPr>
            <w:r>
              <w:rPr>
                <w:b/>
                <w:bCs/>
              </w:rPr>
              <w:t xml:space="preserve">Configuration Tool</w:t>
            </w:r>
          </w:p>
        </w:tc>
        <w:tc>
          <w:tcPr/>
          <w:p>
            <w:pPr>
              <w:pStyle w:val="Compact"/>
            </w:pPr>
            <w:r>
              <w:t xml:space="preserve">Engineers, production control, IT</w:t>
            </w:r>
          </w:p>
        </w:tc>
        <w:tc>
          <w:tcPr/>
          <w:p>
            <w:pPr>
              <w:pStyle w:val="Compact"/>
            </w:pPr>
            <w:r>
              <w:t xml:space="preserve">Before production, during setup changes</w:t>
            </w:r>
          </w:p>
        </w:tc>
        <w:tc>
          <w:tcPr/>
          <w:p>
            <w:pPr>
              <w:pStyle w:val="Compact"/>
            </w:pPr>
            <w:r>
              <w:t xml:space="preserve">Plant model, item master, routes, specs, code tables</w:t>
            </w:r>
          </w:p>
        </w:tc>
      </w:tr>
      <w:tr>
        <w:tc>
          <w:tcPr>
            <w:shd w:val="clear" w:color="auto" w:fill="F2F2F2"/>
          </w:tcPr>
          <w:tcPr/>
          <w:p>
            <w:pPr>
              <w:pStyle w:val="Compact"/>
            </w:pPr>
            <w:r>
              <w:rPr>
                <w:b/>
                <w:bCs/>
              </w:rPr>
              <w:t xml:space="preserve">Plant Floor MES</w:t>
            </w:r>
          </w:p>
        </w:tc>
        <w:tc>
          <w:tcPr>
            <w:shd w:val="clear" w:color="auto" w:fill="F2F2F2"/>
          </w:tcPr>
          <w:tcPr/>
          <w:p>
            <w:pPr>
              <w:pStyle w:val="Compact"/>
            </w:pPr>
            <w:r>
              <w:t xml:space="preserve">Operators, supervisors, quality, shipping</w:t>
            </w:r>
          </w:p>
        </w:tc>
        <w:tc>
          <w:tcPr>
            <w:shd w:val="clear" w:color="auto" w:fill="F2F2F2"/>
          </w:tcPr>
          <w:tcPr/>
          <w:p>
            <w:pPr>
              <w:pStyle w:val="Compact"/>
            </w:pPr>
            <w:r>
              <w:t xml:space="preserve">Every shift, all day</w:t>
            </w:r>
          </w:p>
        </w:tc>
        <w:tc>
          <w:tcPr>
            <w:shd w:val="clear" w:color="auto" w:fill="F2F2F2"/>
          </w:tcPr>
          <w:tcPr/>
          <w:p>
            <w:pPr>
              <w:pStyle w:val="Compact"/>
            </w:pPr>
            <w:r>
              <w:t xml:space="preserve">LOT creation, production recording, container packing, holds</w:t>
            </w:r>
          </w:p>
        </w:tc>
      </w:tr>
    </w:tbl>
    <w:p>
      <w:pPr>
        <w:pStyle w:val="BodyText"/>
      </w:pPr>
      <w:r>
        <w:t xml:space="preserve">The configuration tool creates the rules. The plant floor MES enforces them.</w:t>
      </w:r>
    </w:p>
    <w:p>
      <w:r>
        <w:pict>
          <v:rect style="width:0;height:1.5pt" o:hralign="center" o:hrstd="t" o:hr="t"/>
        </w:pict>
      </w:r>
    </w:p>
    <w:bookmarkEnd w:id="10"/>
    <w:bookmarkStart w:id="83" w:name="X8a62b6bbd3b7dbd28b80423735197bca531f61b"/>
    <w:p>
      <w:pPr>
        <w:pStyle w:val="Heading2"/>
      </w:pPr>
      <w:r>
        <w:t xml:space="preserve">Arc 1: The Configuration Tool —</w:t>
      </w:r>
      <w:r>
        <w:t xml:space="preserve"> </w:t>
      </w:r>
      <w:r>
        <w:t xml:space="preserve">“Before the First Part Moves”</w:t>
      </w:r>
    </w:p>
    <w:p>
      <w:pPr>
        <w:pStyle w:val="FirstParagraph"/>
      </w:pPr>
      <w:r>
        <w:t xml:space="preserve">Before a single LOT can be created on the shop floor, an engineer at Madison Precision Products has to teach the MES what the plant looks like, what it makes, and how it makes it. This is the configuration tool — the Ignition Perspective application that probably lives behind a different navigation root than the shop floor screens, accessible only to users whose AD accounts carry an engineering or admin role in Ignition.</w:t>
      </w:r>
    </w:p>
    <w:bookmarkStart w:id="20" w:name="building-the-plant"/>
    <w:p>
      <w:pPr>
        <w:pStyle w:val="Heading3"/>
      </w:pPr>
      <w:r>
        <w:t xml:space="preserve">Building the Plant</w:t>
      </w:r>
    </w:p>
    <w:p>
      <w:pPr>
        <w:pStyle w:val="FirstParagraph"/>
      </w:pPr>
      <w:r>
        <w:t xml:space="preserve">The engineer’s first job is the plant model. They open the Location Management screen and start building the hierarchy from the top down. Madison Precision Products is the Site. Under it, they create Areas — maybe the physical buildings or wings. These are the Areas: Die Cast, Trim Shop, Machine Shop, Production Control. Under areas, Lines. Under lines, individual Machines — all ~230 of them. Each one is just a row in the same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w:t>
      </w:r>
      <w:r>
        <w:t xml:space="preserve">.</w:t>
      </w:r>
    </w:p>
    <w:p>
      <w:pPr>
        <w:pStyle w:val="BodyText"/>
      </w:pPr>
      <w:r>
        <w:t xml:space="preserve">As they create each machine, the system shows them the attribute definitions for that location type. A Die Cast machine might need</w:t>
      </w:r>
      <w:r>
        <w:t xml:space="preserve"> </w:t>
      </w:r>
      <w:r>
        <w:rPr>
          <w:rStyle w:val="VerbatimChar"/>
        </w:rPr>
        <w:t xml:space="preserve">Tonnage</w:t>
      </w:r>
      <w:r>
        <w:t xml:space="preserve"> </w:t>
      </w:r>
      <w:r>
        <w:t xml:space="preserve">and</w:t>
      </w:r>
      <w:r>
        <w:t xml:space="preserve"> </w:t>
      </w:r>
      <w:r>
        <w:rPr>
          <w:rStyle w:val="VerbatimChar"/>
        </w:rPr>
        <w:t xml:space="preserve">RefCycleTimeSec</w:t>
      </w:r>
      <w:r>
        <w:t xml:space="preserve">. A machining center might need</w:t>
      </w:r>
      <w:r>
        <w:t xml:space="preserve"> </w:t>
      </w:r>
      <w:r>
        <w:rPr>
          <w:rStyle w:val="VerbatimChar"/>
        </w:rPr>
        <w:t xml:space="preserve">SpindleCount</w:t>
      </w:r>
      <w:r>
        <w:t xml:space="preserve"> </w:t>
      </w:r>
      <w:r>
        <w:t xml:space="preserve">and</w:t>
      </w:r>
      <w:r>
        <w:t xml:space="preserve"> </w:t>
      </w:r>
      <w:r>
        <w:rPr>
          <w:rStyle w:val="VerbatimChar"/>
        </w:rPr>
        <w:t xml:space="preserve">CoolantType</w:t>
      </w:r>
      <w:r>
        <w:t xml:space="preserve">. These attribute definitions were themselves configured earlier — someone decided what metadata each type of location carries. The engineer fills in the values. They also create the logical locations: Receiving Dock, Shipping Dock, WIP Storage, Sort Cage. These are Inventory Location types — they don’t have cycle times, but they’re real places where LOTs live.</w:t>
      </w:r>
    </w:p>
    <w:p>
      <w:pPr>
        <w:pStyle w:val="CaptionedFigure"/>
      </w:pPr>
      <w:r>
        <w:drawing>
          <wp:inline>
            <wp:extent cx="5334000" cy="2451048"/>
            <wp:effectExtent b="0" l="0" r="0" t="0"/>
            <wp:docPr descr="Location Type Definitions modal — DieCastMachine Cell type with Tonnage, RefCycleTimeSec, and ConfirmationMethod attribute definitions" title="" id="12" name="Picture"/>
            <a:graphic>
              <a:graphicData uri="http://schemas.openxmlformats.org/drawingml/2006/picture">
                <pic:pic>
                  <pic:nvPicPr>
                    <pic:cNvPr descr="mockup_screenshots/Screenshot%202026-04-29%20151804.png" id="13" name="Picture"/>
                    <pic:cNvPicPr>
                      <a:picLocks noChangeArrowheads="1" noChangeAspect="1"/>
                    </pic:cNvPicPr>
                  </pic:nvPicPr>
                  <pic:blipFill>
                    <a:blip r:embed="rId11"/>
                    <a:stretch>
                      <a:fillRect/>
                    </a:stretch>
                  </pic:blipFill>
                  <pic:spPr bwMode="auto">
                    <a:xfrm>
                      <a:off x="0" y="0"/>
                      <a:ext cx="5334000" cy="2451048"/>
                    </a:xfrm>
                    <a:prstGeom prst="rect">
                      <a:avLst/>
                    </a:prstGeom>
                    <a:noFill/>
                    <a:ln w="9525">
                      <a:noFill/>
                      <a:headEnd/>
                      <a:tailEnd/>
                    </a:ln>
                  </pic:spPr>
                </pic:pic>
              </a:graphicData>
            </a:graphic>
          </wp:inline>
        </w:drawing>
      </w:r>
    </w:p>
    <w:p>
      <w:pPr>
        <w:pStyle w:val="ImageCaption"/>
      </w:pPr>
      <w:r>
        <w:t xml:space="preserve">Location Type Definitions modal — DieCastMachine Cell type with Tonnage, RefCycleTimeSec, and ConfirmationMethod attribute definitions</w:t>
      </w:r>
    </w:p>
    <w:p>
      <w:pPr>
        <w:pStyle w:val="CaptionedFigure"/>
      </w:pPr>
      <w:r>
        <w:drawing>
          <wp:inline>
            <wp:extent cx="5334000" cy="2640538"/>
            <wp:effectExtent b="0" l="0" r="0" t="0"/>
            <wp:docPr descr="Plant Hierarchy — DC Machine #7 with location attributes (Tonnage, RefCycleTimeSec, ConfirmationMethod)" title="" id="15" name="Picture"/>
            <a:graphic>
              <a:graphicData uri="http://schemas.openxmlformats.org/drawingml/2006/picture">
                <pic:pic>
                  <pic:nvPicPr>
                    <pic:cNvPr descr="mockup_screenshots/Screenshot%202026-04-29%20142811.png" id="16" name="Picture"/>
                    <pic:cNvPicPr>
                      <a:picLocks noChangeArrowheads="1" noChangeAspect="1"/>
                    </pic:cNvPicPr>
                  </pic:nvPicPr>
                  <pic:blipFill>
                    <a:blip r:embed="rId14"/>
                    <a:stretch>
                      <a:fillRect/>
                    </a:stretch>
                  </pic:blipFill>
                  <pic:spPr bwMode="auto">
                    <a:xfrm>
                      <a:off x="0" y="0"/>
                      <a:ext cx="5334000" cy="2640538"/>
                    </a:xfrm>
                    <a:prstGeom prst="rect">
                      <a:avLst/>
                    </a:prstGeom>
                    <a:noFill/>
                    <a:ln w="9525">
                      <a:noFill/>
                      <a:headEnd/>
                      <a:tailEnd/>
                    </a:ln>
                  </pic:spPr>
                </pic:pic>
              </a:graphicData>
            </a:graphic>
          </wp:inline>
        </w:drawing>
      </w:r>
    </w:p>
    <w:p>
      <w:pPr>
        <w:pStyle w:val="ImageCaption"/>
      </w:pPr>
      <w:r>
        <w:t xml:space="preserve">Plant Hierarchy — DC Machine #7 with location attributes (Tonnage, RefCycleTimeSec, ConfirmationMethod)</w:t>
      </w:r>
    </w:p>
    <w:p>
      <w:pPr>
        <w:pStyle w:val="CaptionedFigure"/>
      </w:pPr>
      <w:r>
        <w:drawing>
          <wp:inline>
            <wp:extent cx="4312117" cy="2791326"/>
            <wp:effectExtent b="0" l="0" r="0" t="0"/>
            <wp:docPr descr="Add Location modal" title="" id="18" name="Picture"/>
            <a:graphic>
              <a:graphicData uri="http://schemas.openxmlformats.org/drawingml/2006/picture">
                <pic:pic>
                  <pic:nvPicPr>
                    <pic:cNvPr descr="mockup_screenshots/Screenshot%202026-04-29%20143250.png" id="19" name="Picture"/>
                    <pic:cNvPicPr>
                      <a:picLocks noChangeArrowheads="1" noChangeAspect="1"/>
                    </pic:cNvPicPr>
                  </pic:nvPicPr>
                  <pic:blipFill>
                    <a:blip r:embed="rId17"/>
                    <a:stretch>
                      <a:fillRect/>
                    </a:stretch>
                  </pic:blipFill>
                  <pic:spPr bwMode="auto">
                    <a:xfrm>
                      <a:off x="0" y="0"/>
                      <a:ext cx="4312117" cy="2791326"/>
                    </a:xfrm>
                    <a:prstGeom prst="rect">
                      <a:avLst/>
                    </a:prstGeom>
                    <a:noFill/>
                    <a:ln w="9525">
                      <a:noFill/>
                      <a:headEnd/>
                      <a:tailEnd/>
                    </a:ln>
                  </pic:spPr>
                </pic:pic>
              </a:graphicData>
            </a:graphic>
          </wp:inline>
        </w:drawing>
      </w:r>
    </w:p>
    <w:p>
      <w:pPr>
        <w:pStyle w:val="ImageCaption"/>
      </w:pPr>
      <w:r>
        <w:t xml:space="preserve">Add Location modal</w:t>
      </w:r>
    </w:p>
    <w:p>
      <w:pPr>
        <w:pStyle w:val="BodyText"/>
      </w:pPr>
      <w:r>
        <w:t xml:space="preserve">Then they set up terminals. Each Ignition client station on the floor gets a</w:t>
      </w:r>
      <w:r>
        <w:t xml:space="preserve"> </w:t>
      </w:r>
      <w:r>
        <w:rPr>
          <w:rStyle w:val="VerbatimChar"/>
        </w:rPr>
        <w:t xml:space="preserve">Terminal</w:t>
      </w:r>
      <w:r>
        <w:t xml:space="preserve"> </w:t>
      </w:r>
      <w:r>
        <w:t xml:space="preserve">record — its IP address, which location it’s at, which Zebra printer it talks to, whether it has a barcode scanner. This is how the system knows that when operator Maria scans a LOT at terminal DC-05, that action happened at Die Cast Machine #5, and any label it prints goes to the Zebra on the table next to her.</w:t>
      </w:r>
    </w:p>
    <w:bookmarkEnd w:id="20"/>
    <w:bookmarkStart w:id="27" w:name="defining-what-we-make"/>
    <w:p>
      <w:pPr>
        <w:pStyle w:val="Heading3"/>
      </w:pPr>
      <w:r>
        <w:t xml:space="preserve">Defining What We Make</w:t>
      </w:r>
    </w:p>
    <w:p>
      <w:pPr>
        <w:pStyle w:val="FirstParagraph"/>
      </w:pPr>
      <w:r>
        <w:t xml:space="preserve">Next, the item master. The engineer creates items — each one a part number that MPP either manufactures or receives from a vendor. They classify each item: Raw Material, Component, Sub-Assembly, Finished Good, Pass-Through. They set the Macola ERP cross-reference number for each part so the two systems can talk when that integration goes live. They set the default sub-lot quantity — how many pieces go into each sub-LOT when a parent LOT is split after machining. They set the max lot size for reasonability checks.</w:t>
      </w:r>
    </w:p>
    <w:p>
      <w:pPr>
        <w:pStyle w:val="CaptionedFigure"/>
      </w:pPr>
      <w:r>
        <w:drawing>
          <wp:inline>
            <wp:extent cx="5334000" cy="5202296"/>
            <wp:effectExtent b="0" l="0" r="0" t="0"/>
            <wp:docPr descr="Add Item modal" title="" id="22" name="Picture"/>
            <a:graphic>
              <a:graphicData uri="http://schemas.openxmlformats.org/drawingml/2006/picture">
                <pic:pic>
                  <pic:nvPicPr>
                    <pic:cNvPr descr="mockup_screenshots/Screenshot%202026-04-29%20143326.png" id="23" name="Picture"/>
                    <pic:cNvPicPr>
                      <a:picLocks noChangeArrowheads="1" noChangeAspect="1"/>
                    </pic:cNvPicPr>
                  </pic:nvPicPr>
                  <pic:blipFill>
                    <a:blip r:embed="rId21"/>
                    <a:stretch>
                      <a:fillRect/>
                    </a:stretch>
                  </pic:blipFill>
                  <pic:spPr bwMode="auto">
                    <a:xfrm>
                      <a:off x="0" y="0"/>
                      <a:ext cx="5334000" cy="5202296"/>
                    </a:xfrm>
                    <a:prstGeom prst="rect">
                      <a:avLst/>
                    </a:prstGeom>
                    <a:noFill/>
                    <a:ln w="9525">
                      <a:noFill/>
                      <a:headEnd/>
                      <a:tailEnd/>
                    </a:ln>
                  </pic:spPr>
                </pic:pic>
              </a:graphicData>
            </a:graphic>
          </wp:inline>
        </w:drawing>
      </w:r>
    </w:p>
    <w:p>
      <w:pPr>
        <w:pStyle w:val="ImageCaption"/>
      </w:pPr>
      <w:r>
        <w:t xml:space="preserve">Add Item modal</w:t>
      </w:r>
    </w:p>
    <w:p>
      <w:pPr>
        <w:pStyle w:val="BodyText"/>
      </w:pPr>
      <w:r>
        <w:t xml:space="preserve">For each finished good that ships to Honda, they create a container configuration. The 5G0 Front Cover, for example, ships in containers with 4 trays, 12 parts per tray, serialized, with dunnage code RD-5G0F. The RPY Cam Holder ships 6 trays, 24 per tray, not serialized. These configs drive the container lifecycle on the floor — the MES knows when a container is full.</w:t>
      </w:r>
    </w:p>
    <w:p>
      <w:pPr>
        <w:pStyle w:val="CaptionedFigure"/>
      </w:pPr>
      <w:r>
        <w:drawing>
          <wp:inline>
            <wp:extent cx="5334000" cy="2653080"/>
            <wp:effectExtent b="0" l="0" r="0" t="0"/>
            <wp:docPr descr="Item Master — 5G0 Front Cover Assy, Container Config tab" title="" id="25" name="Picture"/>
            <a:graphic>
              <a:graphicData uri="http://schemas.openxmlformats.org/drawingml/2006/picture">
                <pic:pic>
                  <pic:nvPicPr>
                    <pic:cNvPr descr="mockup_screenshots/Screenshot%202026-04-29%20143307.png" id="26" name="Picture"/>
                    <pic:cNvPicPr>
                      <a:picLocks noChangeArrowheads="1" noChangeAspect="1"/>
                    </pic:cNvPicPr>
                  </pic:nvPicPr>
                  <pic:blipFill>
                    <a:blip r:embed="rId24"/>
                    <a:stretch>
                      <a:fillRect/>
                    </a:stretch>
                  </pic:blipFill>
                  <pic:spPr bwMode="auto">
                    <a:xfrm>
                      <a:off x="0" y="0"/>
                      <a:ext cx="5334000" cy="2653080"/>
                    </a:xfrm>
                    <a:prstGeom prst="rect">
                      <a:avLst/>
                    </a:prstGeom>
                    <a:noFill/>
                    <a:ln w="9525">
                      <a:noFill/>
                      <a:headEnd/>
                      <a:tailEnd/>
                    </a:ln>
                  </pic:spPr>
                </pic:pic>
              </a:graphicData>
            </a:graphic>
          </wp:inline>
        </w:drawing>
      </w:r>
    </w:p>
    <w:p>
      <w:pPr>
        <w:pStyle w:val="ImageCaption"/>
      </w:pPr>
      <w:r>
        <w:t xml:space="preserve">Item Master — 5G0 Front Cover Assy, Container Config tab</w:t>
      </w:r>
    </w:p>
    <w:bookmarkEnd w:id="27"/>
    <w:bookmarkStart w:id="40" w:name="defining-how-we-make-it"/>
    <w:p>
      <w:pPr>
        <w:pStyle w:val="Heading3"/>
      </w:pPr>
      <w:r>
        <w:t xml:space="preserve">Defining How We Make It</w:t>
      </w:r>
    </w:p>
    <w:p>
      <w:pPr>
        <w:pStyle w:val="FirstParagraph"/>
      </w:pPr>
      <w:r>
        <w:t xml:space="preserve">Now routes. The engineer creates a route template for each item — the ordered sequence of operations it passes through. The 5G0 Front Cover route might be: Die Cast → Trim → Machine (CNC) → Assembly Front → Pack &amp; Ship. Each step in the route points to an operation template — a reusable definition of what data to collect at that type of operation. The Die Cast operation template says: collect die info, collect cavity info, collect weight, collect good count, collect bad count. The Assembly operation template says: requires serial number, requires material verification, collects good count. These flags drive the UI — the shop floor screen at an assembly station looks different from the one at a die cast press because the operation template tells it what fields to show.</w:t>
      </w:r>
    </w:p>
    <w:p>
      <w:pPr>
        <w:pStyle w:val="BodyText"/>
      </w:pPr>
      <w:r>
        <w:t xml:space="preserve">The engineer also creates the part-to-location eligibility map. Not every machine can run every part. The 5G0 can run on Die Cast machines 3, 7, and 12, but not on machine 15 (wrong tonnage). This map is what lets the MES validate that when an operator starts producing 5G0 parts on machine 7, that’s a legal combination.</w:t>
      </w:r>
    </w:p>
    <w:p>
      <w:pPr>
        <w:pStyle w:val="CaptionedFigure"/>
      </w:pPr>
      <w:r>
        <w:drawing>
          <wp:inline>
            <wp:extent cx="5334000" cy="2322870"/>
            <wp:effectExtent b="0" l="0" r="0" t="0"/>
            <wp:docPr descr="Item Master — Routes tab, 5G0 route (Die Cast → Trim → CNC Machining → Assembly Front → Pack &amp; Ship)" title="" id="29" name="Picture"/>
            <a:graphic>
              <a:graphicData uri="http://schemas.openxmlformats.org/drawingml/2006/picture">
                <pic:pic>
                  <pic:nvPicPr>
                    <pic:cNvPr descr="mockup_screenshots/Screenshot%202026-04-29%20143345.png" id="30" name="Picture"/>
                    <pic:cNvPicPr>
                      <a:picLocks noChangeArrowheads="1" noChangeAspect="1"/>
                    </pic:cNvPicPr>
                  </pic:nvPicPr>
                  <pic:blipFill>
                    <a:blip r:embed="rId28"/>
                    <a:stretch>
                      <a:fillRect/>
                    </a:stretch>
                  </pic:blipFill>
                  <pic:spPr bwMode="auto">
                    <a:xfrm>
                      <a:off x="0" y="0"/>
                      <a:ext cx="5334000" cy="2322870"/>
                    </a:xfrm>
                    <a:prstGeom prst="rect">
                      <a:avLst/>
                    </a:prstGeom>
                    <a:noFill/>
                    <a:ln w="9525">
                      <a:noFill/>
                      <a:headEnd/>
                      <a:tailEnd/>
                    </a:ln>
                  </pic:spPr>
                </pic:pic>
              </a:graphicData>
            </a:graphic>
          </wp:inline>
        </w:drawing>
      </w:r>
    </w:p>
    <w:p>
      <w:pPr>
        <w:pStyle w:val="ImageCaption"/>
      </w:pPr>
      <w:r>
        <w:t xml:space="preserve">Item Master — Routes tab, 5G0 route (Die Cast → Trim → CNC Machining → Assembly Front → Pack &amp; Ship)</w:t>
      </w:r>
    </w:p>
    <w:p>
      <w:pPr>
        <w:pStyle w:val="CaptionedFigure"/>
      </w:pPr>
      <w:r>
        <w:drawing>
          <wp:inline>
            <wp:extent cx="5334000" cy="2310029"/>
            <wp:effectExtent b="0" l="0" r="0" t="0"/>
            <wp:docPr descr="Item Master — Eligibility tab, Die Cast area machine eligibility by tonnage" title="" id="32" name="Picture"/>
            <a:graphic>
              <a:graphicData uri="http://schemas.openxmlformats.org/drawingml/2006/picture">
                <pic:pic>
                  <pic:nvPicPr>
                    <pic:cNvPr descr="mockup_screenshots/Screenshot%202026-04-29%20143420.png" id="33" name="Picture"/>
                    <pic:cNvPicPr>
                      <a:picLocks noChangeArrowheads="1" noChangeAspect="1"/>
                    </pic:cNvPicPr>
                  </pic:nvPicPr>
                  <pic:blipFill>
                    <a:blip r:embed="rId31"/>
                    <a:stretch>
                      <a:fillRect/>
                    </a:stretch>
                  </pic:blipFill>
                  <pic:spPr bwMode="auto">
                    <a:xfrm>
                      <a:off x="0" y="0"/>
                      <a:ext cx="5334000" cy="2310029"/>
                    </a:xfrm>
                    <a:prstGeom prst="rect">
                      <a:avLst/>
                    </a:prstGeom>
                    <a:noFill/>
                    <a:ln w="9525">
                      <a:noFill/>
                      <a:headEnd/>
                      <a:tailEnd/>
                    </a:ln>
                  </pic:spPr>
                </pic:pic>
              </a:graphicData>
            </a:graphic>
          </wp:inline>
        </w:drawing>
      </w:r>
    </w:p>
    <w:p>
      <w:pPr>
        <w:pStyle w:val="ImageCaption"/>
      </w:pPr>
      <w:r>
        <w:t xml:space="preserve">Item Master — Eligibility tab, Die Cast area machine eligibility by tonnage</w:t>
      </w:r>
    </w:p>
    <w:p>
      <w:pPr>
        <w:pStyle w:val="BodyText"/>
      </w:pPr>
      <w:r>
        <w:t xml:space="preserve">For assembled products with BOMs, the engineer creates versioned bills of material. The 5G0 Front Cover Assembly consumes one 5G0 casting and two PNA mounting pins. Version 1 of the BOM is effective from January 2026. If engineering changes the design in March, they create version 2 — but every production record from January still points to version 1.</w:t>
      </w:r>
    </w:p>
    <w:p>
      <w:pPr>
        <w:pStyle w:val="CaptionedFigure"/>
      </w:pPr>
      <w:r>
        <w:drawing>
          <wp:inline>
            <wp:extent cx="5334000" cy="2293993"/>
            <wp:effectExtent b="0" l="0" r="0" t="0"/>
            <wp:docPr descr="Item Master — BOMs tab, 5G0 v1 BOM (Front Cover Casting + Mounting Pin)" title="" id="35" name="Picture"/>
            <a:graphic>
              <a:graphicData uri="http://schemas.openxmlformats.org/drawingml/2006/picture">
                <pic:pic>
                  <pic:nvPicPr>
                    <pic:cNvPr descr="mockup_screenshots/Screenshot%202026-04-29%20143356.png" id="36" name="Picture"/>
                    <pic:cNvPicPr>
                      <a:picLocks noChangeArrowheads="1" noChangeAspect="1"/>
                    </pic:cNvPicPr>
                  </pic:nvPicPr>
                  <pic:blipFill>
                    <a:blip r:embed="rId34"/>
                    <a:stretch>
                      <a:fillRect/>
                    </a:stretch>
                  </pic:blipFill>
                  <pic:spPr bwMode="auto">
                    <a:xfrm>
                      <a:off x="0" y="0"/>
                      <a:ext cx="5334000" cy="2293993"/>
                    </a:xfrm>
                    <a:prstGeom prst="rect">
                      <a:avLst/>
                    </a:prstGeom>
                    <a:noFill/>
                    <a:ln w="9525">
                      <a:noFill/>
                      <a:headEnd/>
                      <a:tailEnd/>
                    </a:ln>
                  </pic:spPr>
                </pic:pic>
              </a:graphicData>
            </a:graphic>
          </wp:inline>
        </w:drawing>
      </w:r>
    </w:p>
    <w:p>
      <w:pPr>
        <w:pStyle w:val="ImageCaption"/>
      </w:pPr>
      <w:r>
        <w:t xml:space="preserve">Item Master — BOMs tab, 5G0 v1 BOM (Front Cover Casting + Mounting Pin)</w:t>
      </w:r>
    </w:p>
    <w:p>
      <w:pPr>
        <w:pStyle w:val="CaptionedFigure"/>
      </w:pPr>
      <w:r>
        <w:drawing>
          <wp:inline>
            <wp:extent cx="5334000" cy="2646153"/>
            <wp:effectExtent b="0" l="0" r="0" t="0"/>
            <wp:docPr descr="Operation Templates — Die Cast Operation with data collection fields" title="" id="38" name="Picture"/>
            <a:graphic>
              <a:graphicData uri="http://schemas.openxmlformats.org/drawingml/2006/picture">
                <pic:pic>
                  <pic:nvPicPr>
                    <pic:cNvPr descr="mockup_screenshots/Screenshot%202026-04-29%20143435.png" id="39" name="Picture"/>
                    <pic:cNvPicPr>
                      <a:picLocks noChangeArrowheads="1" noChangeAspect="1"/>
                    </pic:cNvPicPr>
                  </pic:nvPicPr>
                  <pic:blipFill>
                    <a:blip r:embed="rId37"/>
                    <a:stretch>
                      <a:fillRect/>
                    </a:stretch>
                  </pic:blipFill>
                  <pic:spPr bwMode="auto">
                    <a:xfrm>
                      <a:off x="0" y="0"/>
                      <a:ext cx="5334000" cy="2646153"/>
                    </a:xfrm>
                    <a:prstGeom prst="rect">
                      <a:avLst/>
                    </a:prstGeom>
                    <a:noFill/>
                    <a:ln w="9525">
                      <a:noFill/>
                      <a:headEnd/>
                      <a:tailEnd/>
                    </a:ln>
                  </pic:spPr>
                </pic:pic>
              </a:graphicData>
            </a:graphic>
          </wp:inline>
        </w:drawing>
      </w:r>
    </w:p>
    <w:p>
      <w:pPr>
        <w:pStyle w:val="ImageCaption"/>
      </w:pPr>
      <w:r>
        <w:t xml:space="preserve">Operation Templates — Die Cast Operation with data collection fields</w:t>
      </w:r>
    </w:p>
    <w:bookmarkEnd w:id="40"/>
    <w:bookmarkStart w:id="50" w:name="defining-quality-standards"/>
    <w:p>
      <w:pPr>
        <w:pStyle w:val="Heading3"/>
      </w:pPr>
      <w:r>
        <w:t xml:space="preserve">Defining Quality Standards</w:t>
      </w:r>
    </w:p>
    <w:p>
      <w:pPr>
        <w:pStyle w:val="FirstParagraph"/>
      </w:pPr>
      <w:r>
        <w:t xml:space="preserve">The engineer creates quality specs — also versioned. For the 5G0 Front Cover, the spec says: measure surface flatness (target 0.002”, lower limit 0.001”, upper limit 0.003”), check bore diameter (target 25.40mm ± 0.02mm), visual inspection for porosity (pass/fail). Each attribute has its data type, UOM, target, and limits. When an inspector on the floor takes a sample, the screen they see is generated from this spec — the system knows what to ask for because the engineer defined it here.</w:t>
      </w:r>
    </w:p>
    <w:p>
      <w:pPr>
        <w:pStyle w:val="CaptionedFigure"/>
      </w:pPr>
      <w:r>
        <w:drawing>
          <wp:inline>
            <wp:extent cx="5334000" cy="2655875"/>
            <wp:effectExtent b="0" l="0" r="0" t="0"/>
            <wp:docPr descr="Quality Specs — 5G0 Dimensional Spec v2 with Surface Flatness, Bore Diameter, Porosity Visual attributes" title="" id="42" name="Picture"/>
            <a:graphic>
              <a:graphicData uri="http://schemas.openxmlformats.org/drawingml/2006/picture">
                <pic:pic>
                  <pic:nvPicPr>
                    <pic:cNvPr descr="mockup_screenshots/Screenshot%202026-04-29%20143639.png" id="43" name="Picture"/>
                    <pic:cNvPicPr>
                      <a:picLocks noChangeArrowheads="1" noChangeAspect="1"/>
                    </pic:cNvPicPr>
                  </pic:nvPicPr>
                  <pic:blipFill>
                    <a:blip r:embed="rId41"/>
                    <a:stretch>
                      <a:fillRect/>
                    </a:stretch>
                  </pic:blipFill>
                  <pic:spPr bwMode="auto">
                    <a:xfrm>
                      <a:off x="0" y="0"/>
                      <a:ext cx="5334000" cy="2655875"/>
                    </a:xfrm>
                    <a:prstGeom prst="rect">
                      <a:avLst/>
                    </a:prstGeom>
                    <a:noFill/>
                    <a:ln w="9525">
                      <a:noFill/>
                      <a:headEnd/>
                      <a:tailEnd/>
                    </a:ln>
                  </pic:spPr>
                </pic:pic>
              </a:graphicData>
            </a:graphic>
          </wp:inline>
        </w:drawing>
      </w:r>
    </w:p>
    <w:p>
      <w:pPr>
        <w:pStyle w:val="ImageCaption"/>
      </w:pPr>
      <w:r>
        <w:t xml:space="preserve">Quality Specs — 5G0 Dimensional Spec v2 with Surface Flatness, Bore Diameter, Porosity Visual attributes</w:t>
      </w:r>
    </w:p>
    <w:p>
      <w:pPr>
        <w:pStyle w:val="CaptionedFigure"/>
      </w:pPr>
      <w:r>
        <w:drawing>
          <wp:inline>
            <wp:extent cx="5334000" cy="2314261"/>
            <wp:effectExtent b="0" l="0" r="0" t="0"/>
            <wp:docPr descr="Item Master — Quality Specs tab showing linked specs for 5G0 Front Cover" title="" id="45" name="Picture"/>
            <a:graphic>
              <a:graphicData uri="http://schemas.openxmlformats.org/drawingml/2006/picture">
                <pic:pic>
                  <pic:nvPicPr>
                    <pic:cNvPr descr="mockup_screenshots/Screenshot%202026-04-29%20143406.png" id="46" name="Picture"/>
                    <pic:cNvPicPr>
                      <a:picLocks noChangeArrowheads="1" noChangeAspect="1"/>
                    </pic:cNvPicPr>
                  </pic:nvPicPr>
                  <pic:blipFill>
                    <a:blip r:embed="rId44"/>
                    <a:stretch>
                      <a:fillRect/>
                    </a:stretch>
                  </pic:blipFill>
                  <pic:spPr bwMode="auto">
                    <a:xfrm>
                      <a:off x="0" y="0"/>
                      <a:ext cx="5334000" cy="2314261"/>
                    </a:xfrm>
                    <a:prstGeom prst="rect">
                      <a:avLst/>
                    </a:prstGeom>
                    <a:noFill/>
                    <a:ln w="9525">
                      <a:noFill/>
                      <a:headEnd/>
                      <a:tailEnd/>
                    </a:ln>
                  </pic:spPr>
                </pic:pic>
              </a:graphicData>
            </a:graphic>
          </wp:inline>
        </w:drawing>
      </w:r>
    </w:p>
    <w:p>
      <w:pPr>
        <w:pStyle w:val="ImageCaption"/>
      </w:pPr>
      <w:r>
        <w:t xml:space="preserve">Item Master — Quality Specs tab showing linked specs for 5G0 Front Cover</w:t>
      </w:r>
    </w:p>
    <w:p>
      <w:pPr>
        <w:pStyle w:val="BodyText"/>
      </w:pPr>
      <w:r>
        <w:t xml:space="preserve">They also load the defect codes — approximately 145 of them, organized by department. Die Cast gets codes for porosity (135), cold shut, flash, misrun. Machine Shop gets codes for out-of-tolerance (122</w:t>
      </w:r>
      <w:r>
        <w:t xml:space="preserve"> </w:t>
      </w:r>
      <w:r>
        <w:t xml:space="preserve">“Dimensional”</w:t>
      </w:r>
      <w:r>
        <w:t xml:space="preserve">), tool marks (154), surface finish (143). There are also codes for Trim Shop, Production Control, Quality Control, and a High Speed Supplier Parts (HSP) department for vendor-part defects (codes 247–253). Each code carries an</w:t>
      </w:r>
      <w:r>
        <w:t xml:space="preserve"> </w:t>
      </w:r>
      <w:r>
        <w:rPr>
          <w:rStyle w:val="VerbatimChar"/>
        </w:rPr>
        <w:t xml:space="preserve">IsExcused</w:t>
      </w:r>
      <w:r>
        <w:t xml:space="preserve"> </w:t>
      </w:r>
      <w:r>
        <w:t xml:space="preserve">flag for future OEE quality calculations.</w:t>
      </w:r>
    </w:p>
    <w:p>
      <w:pPr>
        <w:pStyle w:val="CaptionedFigure"/>
      </w:pPr>
      <w:r>
        <w:drawing>
          <wp:inline>
            <wp:extent cx="5334000" cy="2650313"/>
            <wp:effectExtent b="0" l="0" r="0" t="0"/>
            <wp:docPr descr="Defect Codes screen — codes across Die Cast, Machine Shop, Trim Shop, and HSP departments" title="" id="48" name="Picture"/>
            <a:graphic>
              <a:graphicData uri="http://schemas.openxmlformats.org/drawingml/2006/picture">
                <pic:pic>
                  <pic:nvPicPr>
                    <pic:cNvPr descr="mockup_screenshots/Screenshot%202026-04-29%20143658.png" id="49" name="Picture"/>
                    <pic:cNvPicPr>
                      <a:picLocks noChangeArrowheads="1" noChangeAspect="1"/>
                    </pic:cNvPicPr>
                  </pic:nvPicPr>
                  <pic:blipFill>
                    <a:blip r:embed="rId47"/>
                    <a:stretch>
                      <a:fillRect/>
                    </a:stretch>
                  </pic:blipFill>
                  <pic:spPr bwMode="auto">
                    <a:xfrm>
                      <a:off x="0" y="0"/>
                      <a:ext cx="5334000" cy="2650313"/>
                    </a:xfrm>
                    <a:prstGeom prst="rect">
                      <a:avLst/>
                    </a:prstGeom>
                    <a:noFill/>
                    <a:ln w="9525">
                      <a:noFill/>
                      <a:headEnd/>
                      <a:tailEnd/>
                    </a:ln>
                  </pic:spPr>
                </pic:pic>
              </a:graphicData>
            </a:graphic>
          </wp:inline>
        </w:drawing>
      </w:r>
    </w:p>
    <w:p>
      <w:pPr>
        <w:pStyle w:val="ImageCaption"/>
      </w:pPr>
      <w:r>
        <w:t xml:space="preserve">Defect Codes screen — codes across Die Cast, Machine Shop, Trim Shop, and HSP departments</w:t>
      </w:r>
    </w:p>
    <w:bookmarkEnd w:id="50"/>
    <w:bookmarkStart w:id="69" w:name="registering-tools-dies"/>
    <w:p>
      <w:pPr>
        <w:pStyle w:val="Heading3"/>
      </w:pPr>
      <w:r>
        <w:t xml:space="preserve">Registering Tools (Dies)</w:t>
      </w:r>
    </w:p>
    <w:p>
      <w:pPr>
        <w:pStyle w:val="FirstParagraph"/>
      </w:pPr>
      <w:r>
        <w:t xml:space="preserve">Before any LOT can be created at a Die Cast machine, the dies that run on those machines must exist in the system. The engineer opens the Tools screen and registers each die — a code (e.g.,</w:t>
      </w:r>
      <w:r>
        <w:t xml:space="preserve"> </w:t>
      </w:r>
      <w:r>
        <w:rPr>
          <w:rStyle w:val="VerbatimChar"/>
        </w:rPr>
        <w:t xml:space="preserve">DC-042</w:t>
      </w:r>
      <w:r>
        <w:t xml:space="preserve">), a name, a Die Rank (</w:t>
      </w:r>
      <w:r>
        <w:rPr>
          <w:rStyle w:val="VerbatimChar"/>
        </w:rPr>
        <w:t xml:space="preserve">A — Premium</w:t>
      </w:r>
      <w:r>
        <w:t xml:space="preserve">,</w:t>
      </w:r>
      <w:r>
        <w:t xml:space="preserve"> </w:t>
      </w:r>
      <w:r>
        <w:rPr>
          <w:rStyle w:val="VerbatimChar"/>
        </w:rPr>
        <w:t xml:space="preserve">B — Standard</w:t>
      </w:r>
      <w:r>
        <w:t xml:space="preserve">,</w:t>
      </w:r>
      <w:r>
        <w:t xml:space="preserve"> </w:t>
      </w:r>
      <w:r>
        <w:rPr>
          <w:rStyle w:val="VerbatimChar"/>
        </w:rPr>
        <w:t xml:space="preserve">C — Marginal</w:t>
      </w:r>
      <w:r>
        <w:t xml:space="preserve">), and a description. For each die they add its cavities: cavity number (immutable after creation), status (Active / Closed / Scrapped), and optional notes. Any custom attributes for dies — such as</w:t>
      </w:r>
      <w:r>
        <w:t xml:space="preserve"> </w:t>
      </w:r>
      <w:r>
        <w:rPr>
          <w:rStyle w:val="VerbatimChar"/>
        </w:rPr>
        <w:t xml:space="preserve">Tonnage</w:t>
      </w:r>
      <w:r>
        <w:t xml:space="preserve"> </w:t>
      </w:r>
      <w:r>
        <w:t xml:space="preserve">or</w:t>
      </w:r>
      <w:r>
        <w:t xml:space="preserve"> </w:t>
      </w:r>
      <w:r>
        <w:rPr>
          <w:rStyle w:val="VerbatimChar"/>
        </w:rPr>
        <w:t xml:space="preserve">RefCycleTimeSec</w:t>
      </w:r>
      <w:r>
        <w:t xml:space="preserve"> </w:t>
      </w:r>
      <w:r>
        <w:t xml:space="preserve">— are defined once in the Attribute Schema and then filled in per-die on the Attributes tab.</w:t>
      </w:r>
    </w:p>
    <w:p>
      <w:pPr>
        <w:pStyle w:val="CaptionedFigure"/>
      </w:pPr>
      <w:r>
        <w:drawing>
          <wp:inline>
            <wp:extent cx="4697128" cy="3147461"/>
            <wp:effectExtent b="0" l="0" r="0" t="0"/>
            <wp:docPr descr="Add Die modal" title="" id="52" name="Picture"/>
            <a:graphic>
              <a:graphicData uri="http://schemas.openxmlformats.org/drawingml/2006/picture">
                <pic:pic>
                  <pic:nvPicPr>
                    <pic:cNvPr descr="mockup_screenshots/Screenshot%202026-04-29%20143549.png" id="53" name="Picture"/>
                    <pic:cNvPicPr>
                      <a:picLocks noChangeArrowheads="1" noChangeAspect="1"/>
                    </pic:cNvPicPr>
                  </pic:nvPicPr>
                  <pic:blipFill>
                    <a:blip r:embed="rId51"/>
                    <a:stretch>
                      <a:fillRect/>
                    </a:stretch>
                  </pic:blipFill>
                  <pic:spPr bwMode="auto">
                    <a:xfrm>
                      <a:off x="0" y="0"/>
                      <a:ext cx="4697128" cy="3147461"/>
                    </a:xfrm>
                    <a:prstGeom prst="rect">
                      <a:avLst/>
                    </a:prstGeom>
                    <a:noFill/>
                    <a:ln w="9525">
                      <a:noFill/>
                      <a:headEnd/>
                      <a:tailEnd/>
                    </a:ln>
                  </pic:spPr>
                </pic:pic>
              </a:graphicData>
            </a:graphic>
          </wp:inline>
        </w:drawing>
      </w:r>
    </w:p>
    <w:p>
      <w:pPr>
        <w:pStyle w:val="ImageCaption"/>
      </w:pPr>
      <w:r>
        <w:t xml:space="preserve">Add Die modal</w:t>
      </w:r>
    </w:p>
    <w:p>
      <w:pPr>
        <w:pStyle w:val="CaptionedFigure"/>
      </w:pPr>
      <w:r>
        <w:drawing>
          <wp:inline>
            <wp:extent cx="5334000" cy="1696710"/>
            <wp:effectExtent b="0" l="0" r="0" t="0"/>
            <wp:docPr descr="Tool Attribute Schema modal — defining Tonnage and RefCycleTimeSec for the Die type" title="" id="55" name="Picture"/>
            <a:graphic>
              <a:graphicData uri="http://schemas.openxmlformats.org/drawingml/2006/picture">
                <pic:pic>
                  <pic:nvPicPr>
                    <pic:cNvPr descr="mockup_screenshots/Screenshot%202026-04-29%20143612.png" id="56" name="Picture"/>
                    <pic:cNvPicPr>
                      <a:picLocks noChangeArrowheads="1" noChangeAspect="1"/>
                    </pic:cNvPicPr>
                  </pic:nvPicPr>
                  <pic:blipFill>
                    <a:blip r:embed="rId54"/>
                    <a:stretch>
                      <a:fillRect/>
                    </a:stretch>
                  </pic:blipFill>
                  <pic:spPr bwMode="auto">
                    <a:xfrm>
                      <a:off x="0" y="0"/>
                      <a:ext cx="5334000" cy="1696710"/>
                    </a:xfrm>
                    <a:prstGeom prst="rect">
                      <a:avLst/>
                    </a:prstGeom>
                    <a:noFill/>
                    <a:ln w="9525">
                      <a:noFill/>
                      <a:headEnd/>
                      <a:tailEnd/>
                    </a:ln>
                  </pic:spPr>
                </pic:pic>
              </a:graphicData>
            </a:graphic>
          </wp:inline>
        </w:drawing>
      </w:r>
    </w:p>
    <w:p>
      <w:pPr>
        <w:pStyle w:val="ImageCaption"/>
      </w:pPr>
      <w:r>
        <w:t xml:space="preserve">Tool Attribute Schema modal — defining Tonnage and RefCycleTimeSec for the Die type</w:t>
      </w:r>
    </w:p>
    <w:p>
      <w:pPr>
        <w:pStyle w:val="CaptionedFigure"/>
      </w:pPr>
      <w:r>
        <w:drawing>
          <wp:inline>
            <wp:extent cx="5334000" cy="2653094"/>
            <wp:effectExtent b="0" l="0" r="0" t="0"/>
            <wp:docPr descr="Tools screen — DC-042 Front Cover Die, Attributes tab" title="" id="58" name="Picture"/>
            <a:graphic>
              <a:graphicData uri="http://schemas.openxmlformats.org/drawingml/2006/picture">
                <pic:pic>
                  <pic:nvPicPr>
                    <pic:cNvPr descr="mockup_screenshots/Screenshot%202026-04-29%20143502.png" id="59" name="Picture"/>
                    <pic:cNvPicPr>
                      <a:picLocks noChangeArrowheads="1" noChangeAspect="1"/>
                    </pic:cNvPicPr>
                  </pic:nvPicPr>
                  <pic:blipFill>
                    <a:blip r:embed="rId57"/>
                    <a:stretch>
                      <a:fillRect/>
                    </a:stretch>
                  </pic:blipFill>
                  <pic:spPr bwMode="auto">
                    <a:xfrm>
                      <a:off x="0" y="0"/>
                      <a:ext cx="5334000" cy="2653094"/>
                    </a:xfrm>
                    <a:prstGeom prst="rect">
                      <a:avLst/>
                    </a:prstGeom>
                    <a:noFill/>
                    <a:ln w="9525">
                      <a:noFill/>
                      <a:headEnd/>
                      <a:tailEnd/>
                    </a:ln>
                  </pic:spPr>
                </pic:pic>
              </a:graphicData>
            </a:graphic>
          </wp:inline>
        </w:drawing>
      </w:r>
    </w:p>
    <w:p>
      <w:pPr>
        <w:pStyle w:val="ImageCaption"/>
      </w:pPr>
      <w:r>
        <w:t xml:space="preserve">Tools screen — DC-042 Front Cover Die, Attributes tab</w:t>
      </w:r>
    </w:p>
    <w:p>
      <w:pPr>
        <w:pStyle w:val="CaptionedFigure"/>
      </w:pPr>
      <w:r>
        <w:drawing>
          <wp:inline>
            <wp:extent cx="5334000" cy="2567246"/>
            <wp:effectExtent b="0" l="0" r="0" t="0"/>
            <wp:docPr descr="Tools screen — DC-042, Cavities tab showing 2 active cavities" title="" id="61" name="Picture"/>
            <a:graphic>
              <a:graphicData uri="http://schemas.openxmlformats.org/drawingml/2006/picture">
                <pic:pic>
                  <pic:nvPicPr>
                    <pic:cNvPr descr="mockup_screenshots/Screenshot%202026-04-29%20143518.png" id="62" name="Picture"/>
                    <pic:cNvPicPr>
                      <a:picLocks noChangeArrowheads="1" noChangeAspect="1"/>
                    </pic:cNvPicPr>
                  </pic:nvPicPr>
                  <pic:blipFill>
                    <a:blip r:embed="rId60"/>
                    <a:stretch>
                      <a:fillRect/>
                    </a:stretch>
                  </pic:blipFill>
                  <pic:spPr bwMode="auto">
                    <a:xfrm>
                      <a:off x="0" y="0"/>
                      <a:ext cx="5334000" cy="2567246"/>
                    </a:xfrm>
                    <a:prstGeom prst="rect">
                      <a:avLst/>
                    </a:prstGeom>
                    <a:noFill/>
                    <a:ln w="9525">
                      <a:noFill/>
                      <a:headEnd/>
                      <a:tailEnd/>
                    </a:ln>
                  </pic:spPr>
                </pic:pic>
              </a:graphicData>
            </a:graphic>
          </wp:inline>
        </w:drawing>
      </w:r>
    </w:p>
    <w:p>
      <w:pPr>
        <w:pStyle w:val="ImageCaption"/>
      </w:pPr>
      <w:r>
        <w:t xml:space="preserve">Tools screen — DC-042, Cavities tab showing 2 active cavities</w:t>
      </w:r>
    </w:p>
    <w:p>
      <w:pPr>
        <w:pStyle w:val="BodyText"/>
      </w:pPr>
      <w:r>
        <w:t xml:space="preserve">Die Ranks themselves are configured on the Die Ranks screen — the engineer creates rank codes and names, then uses the compatibility matrix to mark which rank combinations can run together in a merge. Green cells mean the pair can merge; red cells mean it is blocked. These rules are enforced at</w:t>
      </w:r>
      <w:r>
        <w:t xml:space="preserve"> </w:t>
      </w:r>
      <w:r>
        <w:rPr>
          <w:rStyle w:val="VerbatimChar"/>
        </w:rPr>
        <w:t xml:space="preserve">Lot_Merge</w:t>
      </w:r>
      <w:r>
        <w:t xml:space="preserve"> </w:t>
      </w:r>
      <w:r>
        <w:t xml:space="preserve">time on the shop floor.</w:t>
      </w:r>
    </w:p>
    <w:p>
      <w:pPr>
        <w:pStyle w:val="CaptionedFigure"/>
      </w:pPr>
      <w:r>
        <w:drawing>
          <wp:inline>
            <wp:extent cx="5334000" cy="2654491"/>
            <wp:effectExtent b="0" l="0" r="0" t="0"/>
            <wp:docPr descr="Die Ranks screen — A/B/C ranks with color-block compatibility matrix" title="" id="64" name="Picture"/>
            <a:graphic>
              <a:graphicData uri="http://schemas.openxmlformats.org/drawingml/2006/picture">
                <pic:pic>
                  <pic:nvPicPr>
                    <pic:cNvPr descr="mockup_screenshots/Screenshot%202026-04-29%20143627.png" id="65" name="Picture"/>
                    <pic:cNvPicPr>
                      <a:picLocks noChangeArrowheads="1" noChangeAspect="1"/>
                    </pic:cNvPicPr>
                  </pic:nvPicPr>
                  <pic:blipFill>
                    <a:blip r:embed="rId63"/>
                    <a:stretch>
                      <a:fillRect/>
                    </a:stretch>
                  </pic:blipFill>
                  <pic:spPr bwMode="auto">
                    <a:xfrm>
                      <a:off x="0" y="0"/>
                      <a:ext cx="5334000" cy="2654491"/>
                    </a:xfrm>
                    <a:prstGeom prst="rect">
                      <a:avLst/>
                    </a:prstGeom>
                    <a:noFill/>
                    <a:ln w="9525">
                      <a:noFill/>
                      <a:headEnd/>
                      <a:tailEnd/>
                    </a:ln>
                  </pic:spPr>
                </pic:pic>
              </a:graphicData>
            </a:graphic>
          </wp:inline>
        </w:drawing>
      </w:r>
    </w:p>
    <w:p>
      <w:pPr>
        <w:pStyle w:val="ImageCaption"/>
      </w:pPr>
      <w:r>
        <w:t xml:space="preserve">Die Ranks screen — A/B/C ranks with color-block compatibility matrix</w:t>
      </w:r>
    </w:p>
    <w:p>
      <w:pPr>
        <w:pStyle w:val="BodyText"/>
      </w:pPr>
      <w:r>
        <w:t xml:space="preserve">Tool assignment — mounting a die to a specific Die Cast Cell — is also done from the Tools screen (Assignments tab). Mounting creates a</w:t>
      </w:r>
      <w:r>
        <w:t xml:space="preserve"> </w:t>
      </w:r>
      <w:r>
        <w:rPr>
          <w:rStyle w:val="VerbatimChar"/>
        </w:rPr>
        <w:t xml:space="preserve">Tools.ToolAssignment</w:t>
      </w:r>
      <w:r>
        <w:t xml:space="preserve"> </w:t>
      </w:r>
      <w:r>
        <w:t xml:space="preserve">record linking the die to the cell with a timestamp and the user’s initials. Only one die can be actively mounted per cell. The assignment is released from the same screen when the die is pulled.</w:t>
      </w:r>
    </w:p>
    <w:p>
      <w:pPr>
        <w:pStyle w:val="CaptionedFigure"/>
      </w:pPr>
      <w:r>
        <w:drawing>
          <wp:inline>
            <wp:extent cx="5334000" cy="2580360"/>
            <wp:effectExtent b="0" l="0" r="0" t="0"/>
            <wp:docPr descr="Tools screen — DC-042, Assignments tab showing mount history and active assignment to DC Machine #7" title="" id="67" name="Picture"/>
            <a:graphic>
              <a:graphicData uri="http://schemas.openxmlformats.org/drawingml/2006/picture">
                <pic:pic>
                  <pic:nvPicPr>
                    <pic:cNvPr descr="mockup_screenshots/Screenshot%202026-04-29%20143530.png" id="68" name="Picture"/>
                    <pic:cNvPicPr>
                      <a:picLocks noChangeArrowheads="1" noChangeAspect="1"/>
                    </pic:cNvPicPr>
                  </pic:nvPicPr>
                  <pic:blipFill>
                    <a:blip r:embed="rId66"/>
                    <a:stretch>
                      <a:fillRect/>
                    </a:stretch>
                  </pic:blipFill>
                  <pic:spPr bwMode="auto">
                    <a:xfrm>
                      <a:off x="0" y="0"/>
                      <a:ext cx="5334000" cy="2580360"/>
                    </a:xfrm>
                    <a:prstGeom prst="rect">
                      <a:avLst/>
                    </a:prstGeom>
                    <a:noFill/>
                    <a:ln w="9525">
                      <a:noFill/>
                      <a:headEnd/>
                      <a:tailEnd/>
                    </a:ln>
                  </pic:spPr>
                </pic:pic>
              </a:graphicData>
            </a:graphic>
          </wp:inline>
        </w:drawing>
      </w:r>
    </w:p>
    <w:p>
      <w:pPr>
        <w:pStyle w:val="ImageCaption"/>
      </w:pPr>
      <w:r>
        <w:t xml:space="preserve">Tools screen — DC-042, Assignments tab showing mount history and active assignment to DC Machine #7</w:t>
      </w:r>
    </w:p>
    <w:bookmarkEnd w:id="69"/>
    <w:bookmarkStart w:id="82" w:name="defining-downtime-vocabulary"/>
    <w:p>
      <w:pPr>
        <w:pStyle w:val="Heading3"/>
      </w:pPr>
      <w:r>
        <w:t xml:space="preserve">Defining Downtime Vocabulary</w:t>
      </w:r>
    </w:p>
    <w:p>
      <w:pPr>
        <w:pStyle w:val="FirstParagraph"/>
      </w:pPr>
      <w:r>
        <w:t xml:space="preserve">Finally, the ~353 downtime reason codes. Equipment failure on the 400-ton press. Mold change on die #7. Quality hold on line 3. Scheduled maintenance. Each code belongs to a department and a type (Equipment, Mold, Quality, Setup, Miscellaneous, Unscheduled), and carries an</w:t>
      </w:r>
      <w:r>
        <w:t xml:space="preserve"> </w:t>
      </w:r>
      <w:r>
        <w:rPr>
          <w:rStyle w:val="VerbatimChar"/>
        </w:rPr>
        <w:t xml:space="preserve">IsExcused</w:t>
      </w:r>
      <w:r>
        <w:t xml:space="preserve"> </w:t>
      </w:r>
      <w:r>
        <w:t xml:space="preserve">flag. Shift schedules get defined here too — first shift 6am–2pm Monday through Friday, second shift 2pm–10pm, weekend overtime pattern. Each schedule includes break configuration (lunch duration, morning break duration, afternoon break duration) — these durations are used by the system to write</w:t>
      </w:r>
      <w:r>
        <w:t xml:space="preserve"> </w:t>
      </w:r>
      <w:r>
        <w:rPr>
          <w:rStyle w:val="VerbatimChar"/>
        </w:rPr>
        <w:t xml:space="preserve">DowntimeEvent</w:t>
      </w:r>
      <w:r>
        <w:t xml:space="preserve"> </w:t>
      </w:r>
      <w:r>
        <w:t xml:space="preserve">rows automatically when operators submit their end-of-shift time entry.</w:t>
      </w:r>
    </w:p>
    <w:p>
      <w:pPr>
        <w:pStyle w:val="CaptionedFigure"/>
      </w:pPr>
      <w:r>
        <w:drawing>
          <wp:inline>
            <wp:extent cx="5334000" cy="2643373"/>
            <wp:effectExtent b="0" l="0" r="0" t="0"/>
            <wp:docPr descr="Downtime Codes screen — codes across Die Cast, Machine Shop, and Trim Shop with type and excused flag" title="" id="71" name="Picture"/>
            <a:graphic>
              <a:graphicData uri="http://schemas.openxmlformats.org/drawingml/2006/picture">
                <pic:pic>
                  <pic:nvPicPr>
                    <pic:cNvPr descr="mockup_screenshots/Screenshot%202026-04-29%20143712.png" id="72" name="Picture"/>
                    <pic:cNvPicPr>
                      <a:picLocks noChangeArrowheads="1" noChangeAspect="1"/>
                    </pic:cNvPicPr>
                  </pic:nvPicPr>
                  <pic:blipFill>
                    <a:blip r:embed="rId70"/>
                    <a:stretch>
                      <a:fillRect/>
                    </a:stretch>
                  </pic:blipFill>
                  <pic:spPr bwMode="auto">
                    <a:xfrm>
                      <a:off x="0" y="0"/>
                      <a:ext cx="5334000" cy="2643373"/>
                    </a:xfrm>
                    <a:prstGeom prst="rect">
                      <a:avLst/>
                    </a:prstGeom>
                    <a:noFill/>
                    <a:ln w="9525">
                      <a:noFill/>
                      <a:headEnd/>
                      <a:tailEnd/>
                    </a:ln>
                  </pic:spPr>
                </pic:pic>
              </a:graphicData>
            </a:graphic>
          </wp:inline>
        </w:drawing>
      </w:r>
    </w:p>
    <w:p>
      <w:pPr>
        <w:pStyle w:val="ImageCaption"/>
      </w:pPr>
      <w:r>
        <w:t xml:space="preserve">Downtime Codes screen — codes across Die Cast, Machine Shop, and Trim Shop with type and excused flag</w:t>
      </w:r>
    </w:p>
    <w:p>
      <w:pPr>
        <w:pStyle w:val="CaptionedFigure"/>
      </w:pPr>
      <w:r>
        <w:drawing>
          <wp:inline>
            <wp:extent cx="5334000" cy="2654491"/>
            <wp:effectExtent b="0" l="0" r="0" t="0"/>
            <wp:docPr descr="Shift Schedules screen — First Shift, Second Shift, Weekend OT" title="" id="74" name="Picture"/>
            <a:graphic>
              <a:graphicData uri="http://schemas.openxmlformats.org/drawingml/2006/picture">
                <pic:pic>
                  <pic:nvPicPr>
                    <pic:cNvPr descr="mockup_screenshots/Screenshot%202026-04-29%20143722.png" id="75" name="Picture"/>
                    <pic:cNvPicPr>
                      <a:picLocks noChangeArrowheads="1" noChangeAspect="1"/>
                    </pic:cNvPicPr>
                  </pic:nvPicPr>
                  <pic:blipFill>
                    <a:blip r:embed="rId73"/>
                    <a:stretch>
                      <a:fillRect/>
                    </a:stretch>
                  </pic:blipFill>
                  <pic:spPr bwMode="auto">
                    <a:xfrm>
                      <a:off x="0" y="0"/>
                      <a:ext cx="5334000" cy="2654491"/>
                    </a:xfrm>
                    <a:prstGeom prst="rect">
                      <a:avLst/>
                    </a:prstGeom>
                    <a:noFill/>
                    <a:ln w="9525">
                      <a:noFill/>
                      <a:headEnd/>
                      <a:tailEnd/>
                    </a:ln>
                  </pic:spPr>
                </pic:pic>
              </a:graphicData>
            </a:graphic>
          </wp:inline>
        </w:drawing>
      </w:r>
    </w:p>
    <w:p>
      <w:pPr>
        <w:pStyle w:val="ImageCaption"/>
      </w:pPr>
      <w:r>
        <w:t xml:space="preserve">Shift Schedules screen — First Shift, Second Shift, Weekend OT</w:t>
      </w:r>
    </w:p>
    <w:p>
      <w:pPr>
        <w:pStyle w:val="BodyText"/>
      </w:pPr>
      <w:r>
        <w:t xml:space="preserve">Every one of these configuration changes is logged to</w:t>
      </w:r>
      <w:r>
        <w:t xml:space="preserve"> </w:t>
      </w:r>
      <w:r>
        <w:rPr>
          <w:rStyle w:val="VerbatimChar"/>
        </w:rPr>
        <w:t xml:space="preserve">ConfigLog</w:t>
      </w:r>
      <w:r>
        <w:t xml:space="preserve"> </w:t>
      </w:r>
      <w:r>
        <w:t xml:space="preserve">— who changed what, when, what the old value was.</w:t>
      </w:r>
    </w:p>
    <w:p>
      <w:pPr>
        <w:pStyle w:val="CaptionedFigure"/>
      </w:pPr>
      <w:r>
        <w:drawing>
          <wp:inline>
            <wp:extent cx="5334000" cy="2662830"/>
            <wp:effectExtent b="0" l="0" r="0" t="0"/>
            <wp:docPr descr="Audit Log — timestamped record of every configuration change with user, entity, and description" title="" id="77" name="Picture"/>
            <a:graphic>
              <a:graphicData uri="http://schemas.openxmlformats.org/drawingml/2006/picture">
                <pic:pic>
                  <pic:nvPicPr>
                    <pic:cNvPr descr="mockup_screenshots/Screenshot%202026-04-29%20143741.png" id="78" name="Picture"/>
                    <pic:cNvPicPr>
                      <a:picLocks noChangeArrowheads="1" noChangeAspect="1"/>
                    </pic:cNvPicPr>
                  </pic:nvPicPr>
                  <pic:blipFill>
                    <a:blip r:embed="rId76"/>
                    <a:stretch>
                      <a:fillRect/>
                    </a:stretch>
                  </pic:blipFill>
                  <pic:spPr bwMode="auto">
                    <a:xfrm>
                      <a:off x="0" y="0"/>
                      <a:ext cx="5334000" cy="2662830"/>
                    </a:xfrm>
                    <a:prstGeom prst="rect">
                      <a:avLst/>
                    </a:prstGeom>
                    <a:noFill/>
                    <a:ln w="9525">
                      <a:noFill/>
                      <a:headEnd/>
                      <a:tailEnd/>
                    </a:ln>
                  </pic:spPr>
                </pic:pic>
              </a:graphicData>
            </a:graphic>
          </wp:inline>
        </w:drawing>
      </w:r>
    </w:p>
    <w:p>
      <w:pPr>
        <w:pStyle w:val="ImageCaption"/>
      </w:pPr>
      <w:r>
        <w:t xml:space="preserve">Audit Log — timestamped record of every configuration change with user, entity, and description</w:t>
      </w:r>
    </w:p>
    <w:p>
      <w:pPr>
        <w:pStyle w:val="CaptionedFigure"/>
      </w:pPr>
      <w:r>
        <w:drawing>
          <wp:inline>
            <wp:extent cx="5334000" cy="2640594"/>
            <wp:effectExtent b="0" l="0" r="0" t="0"/>
            <wp:docPr descr="Failure Log — rejected proc calls with top rejection reasons and top failing procedures summary" title="" id="80" name="Picture"/>
            <a:graphic>
              <a:graphicData uri="http://schemas.openxmlformats.org/drawingml/2006/picture">
                <pic:pic>
                  <pic:nvPicPr>
                    <pic:cNvPr descr="mockup_screenshots/Screenshot%202026-04-29%20143754.png" id="81" name="Picture"/>
                    <pic:cNvPicPr>
                      <a:picLocks noChangeArrowheads="1" noChangeAspect="1"/>
                    </pic:cNvPicPr>
                  </pic:nvPicPr>
                  <pic:blipFill>
                    <a:blip r:embed="rId79"/>
                    <a:stretch>
                      <a:fillRect/>
                    </a:stretch>
                  </pic:blipFill>
                  <pic:spPr bwMode="auto">
                    <a:xfrm>
                      <a:off x="0" y="0"/>
                      <a:ext cx="5334000" cy="2640594"/>
                    </a:xfrm>
                    <a:prstGeom prst="rect">
                      <a:avLst/>
                    </a:prstGeom>
                    <a:noFill/>
                    <a:ln w="9525">
                      <a:noFill/>
                      <a:headEnd/>
                      <a:tailEnd/>
                    </a:ln>
                  </pic:spPr>
                </pic:pic>
              </a:graphicData>
            </a:graphic>
          </wp:inline>
        </w:drawing>
      </w:r>
    </w:p>
    <w:p>
      <w:pPr>
        <w:pStyle w:val="ImageCaption"/>
      </w:pPr>
      <w:r>
        <w:t xml:space="preserve">Failure Log — rejected proc calls with top rejection reasons and top failing procedures summary</w:t>
      </w:r>
    </w:p>
    <w:p>
      <w:r>
        <w:pict>
          <v:rect style="width:0;height:1.5pt" o:hralign="center" o:hrstd="t" o:hr="t"/>
        </w:pict>
      </w:r>
    </w:p>
    <w:bookmarkEnd w:id="82"/>
    <w:bookmarkEnd w:id="83"/>
    <w:bookmarkStart w:id="93" w:name="X9d3dbf4d142c75b298042d81841f871b0d06ec6"/>
    <w:p>
      <w:pPr>
        <w:pStyle w:val="Heading2"/>
      </w:pPr>
      <w:r>
        <w:t xml:space="preserve">Arc 2: The Plant Floor MES —</w:t>
      </w:r>
      <w:r>
        <w:t xml:space="preserve"> </w:t>
      </w:r>
      <w:r>
        <w:t xml:space="preserve">“A Day in the Life of a LOT”</w:t>
      </w:r>
    </w:p>
    <w:p>
      <w:pPr>
        <w:pStyle w:val="FirstParagraph"/>
      </w:pPr>
      <w:r>
        <w:t xml:space="preserve">It’s 6:15am on a Tuesday. First shift has started. The aluminum is already molten.</w:t>
      </w:r>
    </w:p>
    <w:bookmarkStart w:id="84" w:name="am-die-cast-a-lot-is-born"/>
    <w:p>
      <w:pPr>
        <w:pStyle w:val="Heading3"/>
      </w:pPr>
      <w:r>
        <w:t xml:space="preserve">6:20am — Die Cast: A LOT Is Born</w:t>
      </w:r>
    </w:p>
    <w:p>
      <w:pPr>
        <w:pStyle w:val="FirstParagraph"/>
      </w:pPr>
      <w:r>
        <w:t xml:space="preserve">Carlos is running die cast machine #7 today. He’s making 5G0 Front Covers — die</w:t>
      </w:r>
      <w:r>
        <w:t xml:space="preserve"> </w:t>
      </w:r>
      <w:r>
        <w:rPr>
          <w:b/>
          <w:bCs/>
        </w:rPr>
        <w:t xml:space="preserve">DC-042</w:t>
      </w:r>
      <w:r>
        <w:t xml:space="preserve">, which is a 2-cavity die running both cavities A and B. The furnace is hot, the die is mounted, and the first shot cycle completes. Castings drop into the trim press, get trimmed, and fall into two separate baskets beside his station — one fed by cavity A, one by cavity B.</w:t>
      </w:r>
    </w:p>
    <w:p>
      <w:pPr>
        <w:pStyle w:val="BodyText"/>
      </w:pPr>
      <w:r>
        <w:t xml:space="preserve">Carlos doesn’t rush to the terminal at every shot. He lets the baskets fill while he walks other machines. Some time later the cavity-A basket is full. He peels a pre-printed LTT barcode label off his stack (MPP pre-prints these in batches per FRS 2.2.1) and sticks it on the cavity-A basket. He walks to the Ignition terminal — dedicated to Machine #7, his initials</w:t>
      </w:r>
      <w:r>
        <w:t xml:space="preserve"> </w:t>
      </w:r>
      <w:r>
        <w:rPr>
          <w:b/>
          <w:bCs/>
        </w:rPr>
        <w:t xml:space="preserve">CM</w:t>
      </w:r>
      <w:r>
        <w:t xml:space="preserve"> </w:t>
      </w:r>
      <w:r>
        <w:t xml:space="preserve">already set as the active operator presence. He scans the LTT barcode.</w:t>
      </w:r>
    </w:p>
    <w:p>
      <w:pPr>
        <w:pStyle w:val="BodyText"/>
      </w:pPr>
      <w:r>
        <w:t xml:space="preserve">The MES opens the LOT creation screen. The</w:t>
      </w:r>
      <w:r>
        <w:t xml:space="preserve"> </w:t>
      </w:r>
      <w:r>
        <w:rPr>
          <w:b/>
          <w:bCs/>
        </w:rPr>
        <w:t xml:space="preserve">Cell</w:t>
      </w:r>
      <w:r>
        <w:t xml:space="preserve"> </w:t>
      </w:r>
      <w:r>
        <w:t xml:space="preserve">is auto-resolved to Machine #7 from the terminal’s machine context. The</w:t>
      </w:r>
      <w:r>
        <w:t xml:space="preserve"> </w:t>
      </w:r>
      <w:r>
        <w:rPr>
          <w:b/>
          <w:bCs/>
        </w:rPr>
        <w:t xml:space="preserve">Tool</w:t>
      </w:r>
      <w:r>
        <w:t xml:space="preserve"> </w:t>
      </w:r>
      <w:r>
        <w:t xml:space="preserve">field pre-populates with</w:t>
      </w:r>
      <w:r>
        <w:t xml:space="preserve"> </w:t>
      </w:r>
      <w:r>
        <w:rPr>
          <w:b/>
          <w:bCs/>
        </w:rPr>
        <w:t xml:space="preserve">DC-042</w:t>
      </w:r>
      <w:r>
        <w:t xml:space="preserve"> </w:t>
      </w:r>
      <w:r>
        <w:t xml:space="preserve">— this came from</w:t>
      </w:r>
      <w:r>
        <w:t xml:space="preserve"> </w:t>
      </w:r>
      <w:r>
        <w:rPr>
          <w:rStyle w:val="VerbatimChar"/>
        </w:rPr>
        <w:t xml:space="preserve">Tools.ToolAssignment_ListActiveByCell(@CellLocationId)</w:t>
      </w:r>
      <w:r>
        <w:t xml:space="preserve"> </w:t>
      </w:r>
      <w:r>
        <w:t xml:space="preserve">which looked up the currently-mounted tool on Machine #7. Carlos glances at the die, confirms the system is right, and proceeds. (If the physical die had been swapped without anyone updating the MES, Carlos would hit the</w:t>
      </w:r>
      <w:r>
        <w:t xml:space="preserve"> </w:t>
      </w:r>
      <w:r>
        <w:rPr>
          <w:b/>
          <w:bCs/>
        </w:rPr>
        <w:t xml:space="preserve">Edit</w:t>
      </w:r>
      <w:r>
        <w:t xml:space="preserve"> </w:t>
      </w:r>
      <w:r>
        <w:t xml:space="preserve">button — an AD elevation prompt fires, a supervisor logs in, the inline</w:t>
      </w:r>
      <w:r>
        <w:t xml:space="preserve"> </w:t>
      </w:r>
      <w:r>
        <w:rPr>
          <w:rStyle w:val="VerbatimChar"/>
        </w:rPr>
        <w:t xml:space="preserve">Tools.ToolAssignment_Release</w:t>
      </w:r>
      <w:r>
        <w:t xml:space="preserve"> </w:t>
      </w:r>
      <w:r>
        <w:t xml:space="preserve">+</w:t>
      </w:r>
      <w:r>
        <w:t xml:space="preserve"> </w:t>
      </w:r>
      <w:r>
        <w:rPr>
          <w:rStyle w:val="VerbatimChar"/>
        </w:rPr>
        <w:t xml:space="preserve">_Assign</w:t>
      </w:r>
      <w:r>
        <w:t xml:space="preserve"> </w:t>
      </w:r>
      <w:r>
        <w:t xml:space="preserve">correct the system of record in one transaction, and the Tool field updates. No production data is captured against the wrong die.)</w:t>
      </w:r>
    </w:p>
    <w:p>
      <w:pPr>
        <w:pStyle w:val="BodyText"/>
      </w:pPr>
      <w:r>
        <w:t xml:space="preserve">He picks</w:t>
      </w:r>
      <w:r>
        <w:t xml:space="preserve"> </w:t>
      </w:r>
      <w:r>
        <w:rPr>
          <w:b/>
          <w:bCs/>
        </w:rPr>
        <w:t xml:space="preserve">Cavity A</w:t>
      </w:r>
      <w:r>
        <w:t xml:space="preserve"> </w:t>
      </w:r>
      <w:r>
        <w:t xml:space="preserve">from the cavity dropdown (filtered to active cavities on DC-042), confirms piece count (48 pieces), and hits submit. The MES validates: is 48 ≤</w:t>
      </w:r>
      <w:r>
        <w:t xml:space="preserve"> </w:t>
      </w:r>
      <w:r>
        <w:rPr>
          <w:rStyle w:val="VerbatimChar"/>
        </w:rPr>
        <w:t xml:space="preserve">PartsPerBasket</w:t>
      </w:r>
      <w:r>
        <w:t xml:space="preserve"> </w:t>
      </w:r>
      <w:r>
        <w:t xml:space="preserve">for 5G0 (the repurposed</w:t>
      </w:r>
      <w:r>
        <w:t xml:space="preserve"> </w:t>
      </w:r>
      <w:r>
        <w:rPr>
          <w:rStyle w:val="VerbatimChar"/>
        </w:rPr>
        <w:t xml:space="preserve">Item.MaxLotSize</w:t>
      </w:r>
      <w:r>
        <w:t xml:space="preserve">)? Yes. Is 5G0 eligible on Machine #7? Yes. Is the tool-cell assignment current? Yes. Is Cavity A active? Yes.</w:t>
      </w:r>
    </w:p>
    <w:p>
      <w:pPr>
        <w:pStyle w:val="BodyText"/>
      </w:pPr>
      <w:r>
        <w:t xml:space="preserve">A LOT is created —</w:t>
      </w:r>
      <w:r>
        <w:t xml:space="preserve"> </w:t>
      </w:r>
      <w:r>
        <w:rPr>
          <w:rStyle w:val="VerbatimChar"/>
        </w:rPr>
        <w:t xml:space="preserve">LotName</w:t>
      </w:r>
      <w:r>
        <w:t xml:space="preserve"> </w:t>
      </w:r>
      <w:r>
        <w:t xml:space="preserve">minted via</w:t>
      </w:r>
      <w:r>
        <w:t xml:space="preserve"> </w:t>
      </w:r>
      <w:r>
        <w:rPr>
          <w:rStyle w:val="VerbatimChar"/>
        </w:rPr>
        <w:t xml:space="preserve">Lots.IdentifierSequence_Next @Code='Lot'</w:t>
      </w:r>
      <w:r>
        <w:t xml:space="preserve"> </w:t>
      </w:r>
      <w:r>
        <w:t xml:space="preserve">which returns</w:t>
      </w:r>
      <w:r>
        <w:t xml:space="preserve"> </w:t>
      </w:r>
      <w:r>
        <w:rPr>
          <w:rStyle w:val="VerbatimChar"/>
        </w:rPr>
        <w:t xml:space="preserve">MESL1710935</w:t>
      </w:r>
      <w:r>
        <w:t xml:space="preserve"> </w:t>
      </w:r>
      <w:r>
        <w:t xml:space="preserve">(the counter continues from the Flexware cutover seed).</w:t>
      </w:r>
      <w:r>
        <w:t xml:space="preserve"> </w:t>
      </w:r>
      <w:r>
        <w:rPr>
          <w:rStyle w:val="VerbatimChar"/>
        </w:rPr>
        <w:t xml:space="preserve">ToolId</w:t>
      </w:r>
      <w:r>
        <w:t xml:space="preserve"> </w:t>
      </w:r>
      <w:r>
        <w:t xml:space="preserve">points at DC-042.</w:t>
      </w:r>
      <w:r>
        <w:t xml:space="preserve"> </w:t>
      </w:r>
      <w:r>
        <w:rPr>
          <w:rStyle w:val="VerbatimChar"/>
        </w:rPr>
        <w:t xml:space="preserve">ToolCavityId</w:t>
      </w:r>
      <w:r>
        <w:t xml:space="preserve"> </w:t>
      </w:r>
      <w:r>
        <w:t xml:space="preserve">points at Cavity A. Origin: Manufactured. Status: Good. Location: Machine #7. A first</w:t>
      </w:r>
      <w:r>
        <w:t xml:space="preserve"> </w:t>
      </w:r>
      <w:r>
        <w:rPr>
          <w:rStyle w:val="VerbatimChar"/>
        </w:rPr>
        <w:t xml:space="preserve">Workorder.ProductionEvent</w:t>
      </w:r>
      <w:r>
        <w:t xml:space="preserve"> </w:t>
      </w:r>
      <w:r>
        <w:t xml:space="preserve">checkpoint row is written with cumulative</w:t>
      </w:r>
      <w:r>
        <w:t xml:space="preserve"> </w:t>
      </w:r>
      <w:r>
        <w:rPr>
          <w:rStyle w:val="VerbatimChar"/>
        </w:rPr>
        <w:t xml:space="preserve">ShotCount</w:t>
      </w:r>
      <w:r>
        <w:t xml:space="preserve"> </w:t>
      </w:r>
      <w:r>
        <w:t xml:space="preserve">= total shots through cavity A so far today, cumulative</w:t>
      </w:r>
      <w:r>
        <w:t xml:space="preserve"> </w:t>
      </w:r>
      <w:r>
        <w:rPr>
          <w:rStyle w:val="VerbatimChar"/>
        </w:rPr>
        <w:t xml:space="preserve">ScrapCount</w:t>
      </w:r>
      <w:r>
        <w:t xml:space="preserve"> </w:t>
      </w:r>
      <w:r>
        <w:t xml:space="preserve">= 3 (that porosity run earlier). Since this is the LOT’s first event, there’s no previous event to diff against yet — the next event will compute its delta via</w:t>
      </w:r>
      <w:r>
        <w:t xml:space="preserve"> </w:t>
      </w:r>
      <w:r>
        <w:rPr>
          <w:rStyle w:val="VerbatimChar"/>
        </w:rPr>
        <w:t xml:space="preserve">LAG(ShotCount) OVER (PARTITION BY LotId ORDER BY EventAt)</w:t>
      </w:r>
      <w:r>
        <w:t xml:space="preserve">.</w:t>
      </w:r>
    </w:p>
    <w:p>
      <w:pPr>
        <w:pStyle w:val="BodyText"/>
      </w:pPr>
      <w:r>
        <w:t xml:space="preserve">The cavity-B basket fills on its own rhythm. Later — maybe 40 minutes, maybe two hours — Carlos logs it separately. It gets its own LOT (e.g.,</w:t>
      </w:r>
      <w:r>
        <w:t xml:space="preserve"> </w:t>
      </w:r>
      <w:r>
        <w:rPr>
          <w:rStyle w:val="VerbatimChar"/>
        </w:rPr>
        <w:t xml:space="preserve">MESL1710936</w:t>
      </w:r>
      <w:r>
        <w:t xml:space="preserve">), its own</w:t>
      </w:r>
      <w:r>
        <w:t xml:space="preserve"> </w:t>
      </w:r>
      <w:r>
        <w:rPr>
          <w:rStyle w:val="VerbatimChar"/>
        </w:rPr>
        <w:t xml:space="preserve">ToolCavityId = Cavity B</w:t>
      </w:r>
      <w:r>
        <w:t xml:space="preserve">, its own LTT label.</w:t>
      </w:r>
      <w:r>
        <w:t xml:space="preserve"> </w:t>
      </w:r>
      <w:r>
        <w:rPr>
          <w:b/>
          <w:bCs/>
        </w:rPr>
        <w:t xml:space="preserve">The two LOTs are peers, not sublots.</w:t>
      </w:r>
      <w:r>
        <w:t xml:space="preserve"> </w:t>
      </w:r>
      <w:r>
        <w:t xml:space="preserve">They share a Tool but nothing else. Each fills independently. Each closes independently via an explicit</w:t>
      </w:r>
      <w:r>
        <w:t xml:space="preserve"> </w:t>
      </w:r>
      <w:r>
        <w:t xml:space="preserve">“Complete + Move”</w:t>
      </w:r>
      <w:r>
        <w:t xml:space="preserve"> </w:t>
      </w:r>
      <w:r>
        <w:t xml:space="preserve">when Carlos walks the finished basket away from the machine.</w:t>
      </w:r>
    </w:p>
    <w:p>
      <w:pPr>
        <w:pStyle w:val="BodyText"/>
      </w:pPr>
      <w:r>
        <w:t xml:space="preserve">Carlos had 3 no-good parts from an earlier shot — porosity. The</w:t>
      </w:r>
      <w:r>
        <w:t xml:space="preserve"> </w:t>
      </w:r>
      <w:r>
        <w:rPr>
          <w:rStyle w:val="VerbatimChar"/>
        </w:rPr>
        <w:t xml:space="preserve">ScrapCount</w:t>
      </w:r>
      <w:r>
        <w:t xml:space="preserve"> </w:t>
      </w:r>
      <w:r>
        <w:t xml:space="preserve">on this first checkpoint already reflects them (cumulative counter). Against that ProductionEvent he also records a</w:t>
      </w:r>
      <w:r>
        <w:t xml:space="preserve"> </w:t>
      </w:r>
      <w:r>
        <w:rPr>
          <w:rStyle w:val="VerbatimChar"/>
        </w:rPr>
        <w:t xml:space="preserve">RejectEvent</w:t>
      </w:r>
      <w:r>
        <w:t xml:space="preserve"> </w:t>
      </w:r>
      <w:r>
        <w:t xml:space="preserve">with defect code DC-POR-01 quantity 3. Per FRS Section 4, reject/scrap data is retained for analysis but is not considered part of the permanent production record in the same way good counts are — MPP may elect not to record rejects at every manufacturing step.</w:t>
      </w:r>
    </w:p>
    <w:p>
      <w:pPr>
        <w:pStyle w:val="BodyText"/>
      </w:pPr>
      <w:r>
        <w:t xml:space="preserve">He has a downtime event too — the die stuck at 6:45am, took 12 minutes to clear. He logs it: reason code EQ-DIE-STICK, start 6:45, end 6:57. If the PLC had detected it first, the</w:t>
      </w:r>
      <w:r>
        <w:t xml:space="preserve"> </w:t>
      </w:r>
      <w:r>
        <w:rPr>
          <w:rStyle w:val="VerbatimChar"/>
        </w:rPr>
        <w:t xml:space="preserve">DowntimeEvent</w:t>
      </w:r>
      <w:r>
        <w:t xml:space="preserve"> </w:t>
      </w:r>
      <w:r>
        <w:t xml:space="preserve">would have been created automatically with source=PLC, and Carlos would just need to assign the reason code. Note: the legacy paper forms track downtime as cumulative minutes subtracted from a 425-minute base runtime (with adjustments for lunch, breaks, and overtime). The new MES captures discrete start/end events, which is a more granular model — the cumulative shift total is derived from the events rather than entered directly.</w:t>
      </w:r>
    </w:p>
    <w:bookmarkEnd w:id="84"/>
    <w:bookmarkStart w:id="85" w:name="am-trim-shop-lot-moves-through-the-plant"/>
    <w:p>
      <w:pPr>
        <w:pStyle w:val="Heading3"/>
      </w:pPr>
      <w:r>
        <w:t xml:space="preserve">8:30am — Trim Shop: LOT Moves Through the Plant</w:t>
      </w:r>
    </w:p>
    <w:p>
      <w:pPr>
        <w:pStyle w:val="FirstParagraph"/>
      </w:pPr>
      <w:r>
        <w:t xml:space="preserve">The basket with LOT</w:t>
      </w:r>
      <w:r>
        <w:t xml:space="preserve"> </w:t>
      </w:r>
      <w:r>
        <w:rPr>
          <w:rStyle w:val="VerbatimChar"/>
        </w:rPr>
        <w:t xml:space="preserve">MESL1710935</w:t>
      </w:r>
      <w:r>
        <w:t xml:space="preserve"> </w:t>
      </w:r>
      <w:r>
        <w:t xml:space="preserve">gets wheeled to the Trim Shop. An operator there scans the LTT barcode. The MES records a</w:t>
      </w:r>
      <w:r>
        <w:t xml:space="preserve"> </w:t>
      </w:r>
      <w:r>
        <w:rPr>
          <w:rStyle w:val="VerbatimChar"/>
        </w:rPr>
        <w:t xml:space="preserve">LotMovement</w:t>
      </w:r>
      <w:r>
        <w:t xml:space="preserve"> </w:t>
      </w:r>
      <w:r>
        <w:t xml:space="preserve">— from Die Cast Machine #7 to Trim Area.</w:t>
      </w:r>
    </w:p>
    <w:p>
      <w:pPr>
        <w:pStyle w:val="BodyText"/>
      </w:pPr>
      <w:r>
        <w:t xml:space="preserve">The scan-in also fires a</w:t>
      </w:r>
      <w:r>
        <w:t xml:space="preserve"> </w:t>
      </w:r>
      <w:r>
        <w:rPr>
          <w:b/>
          <w:bCs/>
        </w:rPr>
        <w:t xml:space="preserve">checkpoint</w:t>
      </w:r>
      <w:r>
        <w:rPr>
          <w:b/>
          <w:bCs/>
        </w:rPr>
        <w:t xml:space="preserve"> </w:t>
      </w:r>
      <w:r>
        <w:rPr>
          <w:rStyle w:val="VerbatimChar"/>
          <w:b/>
          <w:bCs/>
        </w:rPr>
        <w:t xml:space="preserve">ProductionEvent</w:t>
      </w:r>
      <w:r>
        <w:t xml:space="preserve"> </w:t>
      </w:r>
      <w:r>
        <w:t xml:space="preserve">at the trim station — cumulative</w:t>
      </w:r>
      <w:r>
        <w:t xml:space="preserve"> </w:t>
      </w:r>
      <w:r>
        <w:rPr>
          <w:rStyle w:val="VerbatimChar"/>
        </w:rPr>
        <w:t xml:space="preserve">ShotCount</w:t>
      </w:r>
      <w:r>
        <w:t xml:space="preserve"> </w:t>
      </w:r>
      <w:r>
        <w:t xml:space="preserve">and</w:t>
      </w:r>
      <w:r>
        <w:t xml:space="preserve"> </w:t>
      </w:r>
      <w:r>
        <w:rPr>
          <w:rStyle w:val="VerbatimChar"/>
        </w:rPr>
        <w:t xml:space="preserve">ScrapCount</w:t>
      </w:r>
      <w:r>
        <w:t xml:space="preserve"> </w:t>
      </w:r>
      <w:r>
        <w:t xml:space="preserve">as-of-arrival. Because this is the LOT’s second event (the first was Carlos’s die-cast checkpoint), deltas pop out immediately from the reader’s</w:t>
      </w:r>
      <w:r>
        <w:t xml:space="preserve"> </w:t>
      </w:r>
      <w:r>
        <w:rPr>
          <w:rStyle w:val="VerbatimChar"/>
        </w:rPr>
        <w:t xml:space="preserve">LAG()</w:t>
      </w:r>
      <w:r>
        <w:t xml:space="preserve"> </w:t>
      </w:r>
      <w:r>
        <w:t xml:space="preserve">window:</w:t>
      </w:r>
      <w:r>
        <w:t xml:space="preserve"> </w:t>
      </w:r>
      <w:r>
        <w:t xml:space="preserve">“since last event, this LOT accumulated X shots and Y scrap.”</w:t>
      </w:r>
      <w:r>
        <w:t xml:space="preserve"> </w:t>
      </w:r>
      <w:r>
        <w:t xml:space="preserve">Reports that want operator-facing per-event deltas SHALL compute them that way rather than storing per-event</w:t>
      </w:r>
      <w:r>
        <w:t xml:space="preserve"> </w:t>
      </w:r>
      <w:r>
        <w:rPr>
          <w:rStyle w:val="VerbatimChar"/>
        </w:rPr>
        <w:t xml:space="preserve">GoodCount</w:t>
      </w:r>
      <w:r>
        <w:t xml:space="preserve"> </w:t>
      </w:r>
      <w:r>
        <w:t xml:space="preserve">on the event row. Checkpoints are coarse — operators aren’t at the terminal per shot, they log at natural breakpoints (basket close, area handoff, complete+move).</w:t>
      </w:r>
    </w:p>
    <w:p>
      <w:pPr>
        <w:pStyle w:val="BodyText"/>
      </w:pPr>
      <w:r>
        <w:t xml:space="preserve">The Trim Shop has a different counting method than Die Cast. Parts come out of trim/deburr/wash in bulk, so the operator weighs the basket on a scale, reads the net weight, and the MES calculates a theoretical piece count based on the item’s</w:t>
      </w:r>
      <w:r>
        <w:t xml:space="preserve"> </w:t>
      </w:r>
      <w:r>
        <w:rPr>
          <w:rStyle w:val="VerbatimChar"/>
        </w:rPr>
        <w:t xml:space="preserve">UnitWeight</w:t>
      </w:r>
      <w:r>
        <w:t xml:space="preserve"> </w:t>
      </w:r>
      <w:r>
        <w:t xml:space="preserve">(per FRS 2.2.3). If the calculated count differs from the LOT’s current piece count, the operator can update it — the MES records the adjustment but takes no further action on a count discrepancy (FRS 2.2.3:</w:t>
      </w:r>
      <w:r>
        <w:t xml:space="preserve"> </w:t>
      </w:r>
      <w:r>
        <w:t xml:space="preserve">“MES takes no specific action if the LOT quantity has changed”</w:t>
      </w:r>
      <w:r>
        <w:t xml:space="preserve">). The</w:t>
      </w:r>
      <w:r>
        <w:t xml:space="preserve"> </w:t>
      </w:r>
      <w:r>
        <w:rPr>
          <w:rStyle w:val="VerbatimChar"/>
        </w:rPr>
        <w:t xml:space="preserve">LotAttributeChange</w:t>
      </w:r>
      <w:r>
        <w:t xml:space="preserve"> </w:t>
      </w:r>
      <w:r>
        <w:t xml:space="preserve">table logs the old and new values. The checkpoint</w:t>
      </w:r>
      <w:r>
        <w:t xml:space="preserve"> </w:t>
      </w:r>
      <w:r>
        <w:rPr>
          <w:rStyle w:val="VerbatimChar"/>
        </w:rPr>
        <w:t xml:space="preserve">ProductionEvent</w:t>
      </w:r>
      <w:r>
        <w:t xml:space="preserve"> </w:t>
      </w:r>
      <w:r>
        <w:t xml:space="preserve">captured the current cumulative counters; no per-event good/bad count is recorded — the</w:t>
      </w:r>
      <w:r>
        <w:t xml:space="preserve"> </w:t>
      </w:r>
      <w:r>
        <w:rPr>
          <w:rStyle w:val="VerbatimChar"/>
        </w:rPr>
        <w:t xml:space="preserve">PieceCount</w:t>
      </w:r>
      <w:r>
        <w:t xml:space="preserve"> </w:t>
      </w:r>
      <w:r>
        <w:t xml:space="preserve">adjustment itself carries the truth going forward.</w:t>
      </w:r>
    </w:p>
    <w:p>
      <w:pPr>
        <w:pStyle w:val="BodyText"/>
      </w:pPr>
      <w:r>
        <w:t xml:space="preserve">When the Trim operator is done processing the basket, they complete the LOT at Trim OUT. At this point two things happen: first, the sub-LOT split occurs — the MES creates child LOTs from the parent based on the default sub-lot quantity for the part (e.g., 24 pieces each for 5G0). Second, the</w:t>
      </w:r>
      <w:r>
        <w:t xml:space="preserve"> </w:t>
      </w:r>
      <w:r>
        <w:rPr>
          <w:b/>
          <w:bCs/>
        </w:rPr>
        <w:t xml:space="preserve">part-identity change</w:t>
      </w:r>
      <w:r>
        <w:t xml:space="preserve"> </w:t>
      </w:r>
      <w:r>
        <w:t xml:space="preserve">fires: MPP parts change part number at the Trim → Machining boundary — the trim part (</w:t>
      </w:r>
      <w:r>
        <w:rPr>
          <w:rStyle w:val="VerbatimChar"/>
        </w:rPr>
        <w:t xml:space="preserve">5G0-TRIM-4102</w:t>
      </w:r>
      <w:r>
        <w:t xml:space="preserve">) becomes the machining part (</w:t>
      </w:r>
      <w:r>
        <w:rPr>
          <w:rStyle w:val="VerbatimChar"/>
        </w:rPr>
        <w:t xml:space="preserve">5G0-MACH-4102</w:t>
      </w:r>
      <w:r>
        <w:t xml:space="preserve">). The MES prompts:</w:t>
      </w:r>
      <w:r>
        <w:t xml:space="preserve"> </w:t>
      </w:r>
      <w:r>
        <w:rPr>
          <w:i/>
          <w:iCs/>
        </w:rPr>
        <w:t xml:space="preserve">“Complete as 5G0-MACH-4102?”</w:t>
      </w:r>
      <w:r>
        <w:t xml:space="preserve">. The operator confirms. Under the hood this is a normal</w:t>
      </w:r>
      <w:r>
        <w:t xml:space="preserve"> </w:t>
      </w:r>
      <w:r>
        <w:rPr>
          <w:b/>
          <w:bCs/>
        </w:rPr>
        <w:t xml:space="preserve">1-line BOM consumption</w:t>
      </w:r>
      <w:r>
        <w:t xml:space="preserve">: the machining part’s BOM has a single line pointing back to the trim part at QtyPer=1. The MES creates new destination LOTs under the machining part, writes</w:t>
      </w:r>
      <w:r>
        <w:t xml:space="preserve"> </w:t>
      </w:r>
      <w:r>
        <w:rPr>
          <w:rStyle w:val="VerbatimChar"/>
        </w:rPr>
        <w:t xml:space="preserve">Workorder.ConsumptionEvent</w:t>
      </w:r>
      <w:r>
        <w:t xml:space="preserve"> </w:t>
      </w:r>
      <w:r>
        <w:t xml:space="preserve">rows (consumed trim / produced machining, piece-for-piece), and</w:t>
      </w:r>
      <w:r>
        <w:t xml:space="preserve"> </w:t>
      </w:r>
      <w:r>
        <w:rPr>
          <w:rStyle w:val="VerbatimChar"/>
        </w:rPr>
        <w:t xml:space="preserve">Lots.LotGenealogy</w:t>
      </w:r>
      <w:r>
        <w:t xml:space="preserve"> </w:t>
      </w:r>
      <w:r>
        <w:t xml:space="preserve">rows with</w:t>
      </w:r>
      <w:r>
        <w:t xml:space="preserve"> </w:t>
      </w:r>
      <w:r>
        <w:rPr>
          <w:rStyle w:val="VerbatimChar"/>
        </w:rPr>
        <w:t xml:space="preserve">RelationshipType = Consumption</w:t>
      </w:r>
      <w:r>
        <w:t xml:space="preserve"> </w:t>
      </w:r>
      <w:r>
        <w:t xml:space="preserve">link the generations. Honda backward trace walks the genealogy from shipped part → machining LOT → trim LOT → cast LOT → die / cavity / Carlos — same code path as any assembly consumption (FDS-05-033).</w:t>
      </w:r>
    </w:p>
    <w:bookmarkEnd w:id="85"/>
    <w:bookmarkStart w:id="86" w:name="am-machining-sub-lots-run-through-cnc"/>
    <w:p>
      <w:pPr>
        <w:pStyle w:val="Heading3"/>
      </w:pPr>
      <w:r>
        <w:t xml:space="preserve">10:00am — Machining: Sub-LOTs Run Through CNC</w:t>
      </w:r>
    </w:p>
    <w:p>
      <w:pPr>
        <w:pStyle w:val="FirstParagraph"/>
      </w:pPr>
      <w:r>
        <w:t xml:space="preserve">The sub-LOT baskets created at Trim OUT arrive at the Machine Shop already split and re-labeled. The FIFO queue is already populated — the split happened upstream. The machining operator uses the</w:t>
      </w:r>
      <w:r>
        <w:t xml:space="preserve"> </w:t>
      </w:r>
      <w:r>
        <w:rPr>
          <w:b/>
          <w:bCs/>
        </w:rPr>
        <w:t xml:space="preserve">Machining IN</w:t>
      </w:r>
      <w:r>
        <w:t xml:space="preserve"> </w:t>
      </w:r>
      <w:r>
        <w:t xml:space="preserve">screen to scan each sub-LOT barcode and receive it into a CNC machine (per FRS 2.2.4). The operator can override FIFO order if production needs require it.</w:t>
      </w:r>
    </w:p>
    <w:p>
      <w:pPr>
        <w:pStyle w:val="BodyText"/>
      </w:pPr>
      <w:r>
        <w:t xml:space="preserve">Sub-LOT A goes to CNC machine 12. The operator loads the parts, the machine runs.</w:t>
      </w:r>
      <w:r>
        <w:t xml:space="preserve"> </w:t>
      </w:r>
      <w:r>
        <w:rPr>
          <w:b/>
          <w:bCs/>
        </w:rPr>
        <w:t xml:space="preserve">Machining OUT is PLC-driven</w:t>
      </w:r>
      <w:r>
        <w:t xml:space="preserve"> </w:t>
      </w:r>
      <w:r>
        <w:t xml:space="preserve">— when the machine cycle completes, the PLC signals completion and the MES auto-completes the operation without requiring a separate operator submission (FDS-06-028). The MES writes the production event, updates piece count (23 good, 1 out-of-tolerance), records a reject event (code MS-OOT-01, quantity 1), and</w:t>
      </w:r>
      <w:r>
        <w:t xml:space="preserve"> </w:t>
      </w:r>
      <w:r>
        <w:rPr>
          <w:b/>
          <w:bCs/>
        </w:rPr>
        <w:t xml:space="preserve">automatically moves the sub-LOT to the coupled downstream Assembly Cell</w:t>
      </w:r>
      <w:r>
        <w:t xml:space="preserve"> </w:t>
      </w:r>
      <w:r>
        <w:t xml:space="preserve">defined by the</w:t>
      </w:r>
      <w:r>
        <w:t xml:space="preserve"> </w:t>
      </w:r>
      <w:r>
        <w:rPr>
          <w:rStyle w:val="VerbatimChar"/>
        </w:rPr>
        <w:t xml:space="preserve">CoupledDownstreamCellLocationId</w:t>
      </w:r>
      <w:r>
        <w:t xml:space="preserve"> </w:t>
      </w:r>
      <w:r>
        <w:t xml:space="preserve">location attribute on the Machining Cell. No separate</w:t>
      </w:r>
      <w:r>
        <w:t xml:space="preserve"> </w:t>
      </w:r>
      <w:r>
        <w:t xml:space="preserve">“move”</w:t>
      </w:r>
      <w:r>
        <w:t xml:space="preserve"> </w:t>
      </w:r>
      <w:r>
        <w:t xml:space="preserve">action is required from the operator — the LOT lands in the Assembly queue as soon as the machine signals done.</w:t>
      </w:r>
    </w:p>
    <w:p>
      <w:pPr>
        <w:pStyle w:val="BodyText"/>
      </w:pPr>
      <w:r>
        <w:t xml:space="preserve">Two new LTT labels were printed at the Trim OUT split — one for each sub-LOT basket. The</w:t>
      </w:r>
      <w:r>
        <w:t xml:space="preserve"> </w:t>
      </w:r>
      <w:r>
        <w:rPr>
          <w:rStyle w:val="VerbatimChar"/>
        </w:rPr>
        <w:t xml:space="preserve">LotGenealogy</w:t>
      </w:r>
      <w:r>
        <w:t xml:space="preserve"> </w:t>
      </w:r>
      <w:r>
        <w:t xml:space="preserve">table records both SPLIT relationships, permanently linking children to parent.</w:t>
      </w:r>
    </w:p>
    <w:bookmarkEnd w:id="86"/>
    <w:bookmarkStart w:id="87" w:name="Xe45f8832e7997e311c5f47e21b87e7afa8aeaa5"/>
    <w:p>
      <w:pPr>
        <w:pStyle w:val="Heading3"/>
      </w:pPr>
      <w:r>
        <w:t xml:space="preserve">11:30am — Assembly: Parts Are Consumed Into Finished Goods</w:t>
      </w:r>
    </w:p>
    <w:p>
      <w:pPr>
        <w:pStyle w:val="FirstParagraph"/>
      </w:pPr>
      <w:r>
        <w:t xml:space="preserve">Sub-LOT A (23 x 5G0 castings, machined) arrives at the 5G0 Assembly Front line. This is a serialized line — every finished assembly gets a laser-etched serial number. The line also needs PNA mounting pins — there’s a LOT of those staged at the lineside location.</w:t>
      </w:r>
    </w:p>
    <w:p>
      <w:pPr>
        <w:pStyle w:val="BodyText"/>
      </w:pPr>
      <w:r>
        <w:t xml:space="preserve">This is where the PLC integration kicks in. The Machine Integration Panel (MIP) is the handshake layer between the assembly automation and the MES. The assembly machine loads a casting from sub-LOT A, presses in two PNA pins, and the laser etches serial number</w:t>
      </w:r>
      <w:r>
        <w:t xml:space="preserve"> </w:t>
      </w:r>
      <w:r>
        <w:rPr>
          <w:rStyle w:val="VerbatimChar"/>
        </w:rPr>
        <w:t xml:space="preserve">5G0F-240406-00147</w:t>
      </w:r>
      <w:r>
        <w:t xml:space="preserve">. The PLC writes</w:t>
      </w:r>
      <w:r>
        <w:t xml:space="preserve"> </w:t>
      </w:r>
      <w:r>
        <w:rPr>
          <w:rStyle w:val="VerbatimChar"/>
        </w:rPr>
        <w:t xml:space="preserve">DataReady=1</w:t>
      </w:r>
      <w:r>
        <w:t xml:space="preserve">. The MES reads the serial number from</w:t>
      </w:r>
      <w:r>
        <w:t xml:space="preserve"> </w:t>
      </w:r>
      <w:r>
        <w:rPr>
          <w:rStyle w:val="VerbatimChar"/>
        </w:rPr>
        <w:t xml:space="preserve">PartSN</w:t>
      </w:r>
      <w:r>
        <w:t xml:space="preserve">, validates it (not a duplicate, correct format), writes</w:t>
      </w:r>
      <w:r>
        <w:t xml:space="preserve"> </w:t>
      </w:r>
      <w:r>
        <w:rPr>
          <w:rStyle w:val="VerbatimChar"/>
        </w:rPr>
        <w:t xml:space="preserve">PartValid=1</w:t>
      </w:r>
      <w:r>
        <w:t xml:space="preserve"> </w:t>
      </w:r>
      <w:r>
        <w:t xml:space="preserve">back to the PLC, and the machine releases the part.</w:t>
      </w:r>
    </w:p>
    <w:p>
      <w:pPr>
        <w:pStyle w:val="BodyText"/>
      </w:pPr>
      <w:r>
        <w:t xml:space="preserve">One important mode: the PLC also exposes a</w:t>
      </w:r>
      <w:r>
        <w:t xml:space="preserve"> </w:t>
      </w:r>
      <w:r>
        <w:rPr>
          <w:rStyle w:val="VerbatimChar"/>
        </w:rPr>
        <w:t xml:space="preserve">HardwareInterlockEnable</w:t>
      </w:r>
      <w:r>
        <w:t xml:space="preserve"> </w:t>
      </w:r>
      <w:r>
        <w:t xml:space="preserve">flag (per touchpoint agreement 1.1). When the automation sets this to false, the MES validation is bypassed — the MIP writes</w:t>
      </w:r>
      <w:r>
        <w:t xml:space="preserve"> </w:t>
      </w:r>
      <w:r>
        <w:rPr>
          <w:rStyle w:val="VerbatimChar"/>
        </w:rPr>
        <w:t xml:space="preserve">PartSN="NoRead"</w:t>
      </w:r>
      <w:r>
        <w:t xml:space="preserve"> </w:t>
      </w:r>
      <w:r>
        <w:t xml:space="preserve">and the machine proceeds without MES confirmation. This is an alternative operating mode, not an error state, and the MES must handle</w:t>
      </w:r>
      <w:r>
        <w:t xml:space="preserve"> </w:t>
      </w:r>
      <w:r>
        <w:rPr>
          <w:rStyle w:val="VerbatimChar"/>
        </w:rPr>
        <w:t xml:space="preserve">NoRead</w:t>
      </w:r>
      <w:r>
        <w:t xml:space="preserve"> </w:t>
      </w:r>
      <w:r>
        <w:t xml:space="preserve">serial numbers gracefully.</w:t>
      </w:r>
    </w:p>
    <w:p>
      <w:pPr>
        <w:pStyle w:val="BodyText"/>
      </w:pPr>
      <w:r>
        <w:t xml:space="preserve">Behind the scenes, the MES has just written a</w:t>
      </w:r>
      <w:r>
        <w:t xml:space="preserve"> </w:t>
      </w:r>
      <w:r>
        <w:rPr>
          <w:rStyle w:val="VerbatimChar"/>
        </w:rPr>
        <w:t xml:space="preserve">ConsumptionEvent</w:t>
      </w:r>
      <w:r>
        <w:t xml:space="preserve"> </w:t>
      </w:r>
      <w:r>
        <w:t xml:space="preserve">— 1 piece consumed from sub-LOT A (5G0 casting) and 2 pieces consumed from the PNA pin LOT, producing serial number</w:t>
      </w:r>
      <w:r>
        <w:t xml:space="preserve"> </w:t>
      </w:r>
      <w:r>
        <w:rPr>
          <w:rStyle w:val="VerbatimChar"/>
        </w:rPr>
        <w:t xml:space="preserve">5G0F-240406-00147</w:t>
      </w:r>
      <w:r>
        <w:t xml:space="preserve">. A</w:t>
      </w:r>
      <w:r>
        <w:t xml:space="preserve"> </w:t>
      </w:r>
      <w:r>
        <w:rPr>
          <w:rStyle w:val="VerbatimChar"/>
        </w:rPr>
        <w:t xml:space="preserve">SerializedPart</w:t>
      </w:r>
      <w:r>
        <w:t xml:space="preserve"> </w:t>
      </w:r>
      <w:r>
        <w:t xml:space="preserve">record is created, permanently linking that serial to sub-LOT A and the PNA LOT. Genealogy: this serial traces back through sub-LOT A → parent LOT</w:t>
      </w:r>
      <w:r>
        <w:t xml:space="preserve"> </w:t>
      </w:r>
      <w:r>
        <w:rPr>
          <w:rStyle w:val="VerbatimChar"/>
        </w:rPr>
        <w:t xml:space="preserve">MESL1710935</w:t>
      </w:r>
      <w:r>
        <w:t xml:space="preserve"> </w:t>
      </w:r>
      <w:r>
        <w:t xml:space="preserve">→ Die Cast Machine #7, Die DC-042, Cavity A, Carlos, 6:20am Tuesday. Honda can ask about any serial number and get the full tree.</w:t>
      </w:r>
    </w:p>
    <w:p>
      <w:pPr>
        <w:pStyle w:val="BodyText"/>
      </w:pPr>
      <w:r>
        <w:t xml:space="preserve">The finished part drops into a container tray. The MES tracks which tray position it went into via</w:t>
      </w:r>
      <w:r>
        <w:t xml:space="preserve"> </w:t>
      </w:r>
      <w:r>
        <w:rPr>
          <w:rStyle w:val="VerbatimChar"/>
        </w:rPr>
        <w:t xml:space="preserve">ContainerSerial</w:t>
      </w:r>
      <w:r>
        <w:t xml:space="preserve">. When the container hits 48 parts (4 trays x 12 parts), the MES closes the container and assigns a shipper ID from the</w:t>
      </w:r>
      <w:r>
        <w:t xml:space="preserve"> </w:t>
      </w:r>
      <w:r>
        <w:rPr>
          <w:b/>
          <w:bCs/>
        </w:rPr>
        <w:t xml:space="preserve">local AIM pool</w:t>
      </w:r>
      <w:r>
        <w:t xml:space="preserve"> </w:t>
      </w:r>
      <w:r>
        <w:t xml:space="preserve">(</w:t>
      </w:r>
      <w:r>
        <w:rPr>
          <w:rStyle w:val="VerbatimChar"/>
        </w:rPr>
        <w:t xml:space="preserve">Lots.AimShipperIdPool</w:t>
      </w:r>
      <w:r>
        <w:t xml:space="preserve">) — a pre-fetched block of IDs that was pulled from Honda’s</w:t>
      </w:r>
      <w:r>
        <w:t xml:space="preserve"> </w:t>
      </w:r>
      <w:r>
        <w:rPr>
          <w:rStyle w:val="VerbatimChar"/>
        </w:rPr>
        <w:t xml:space="preserve">GetNextNumber</w:t>
      </w:r>
      <w:r>
        <w:t xml:space="preserve"> </w:t>
      </w:r>
      <w:r>
        <w:t xml:space="preserve">endpoint by a background Gateway script. Using the pool means container closure is never blocked waiting on a live AIM call. The assigned shipper ID is</w:t>
      </w:r>
      <w:r>
        <w:t xml:space="preserve"> </w:t>
      </w:r>
      <w:r>
        <w:rPr>
          <w:rStyle w:val="VerbatimChar"/>
        </w:rPr>
        <w:t xml:space="preserve">SH-240406-0089</w:t>
      </w:r>
      <w:r>
        <w:t xml:space="preserve">. The MES dispatches a label print asynchronously via</w:t>
      </w:r>
      <w:r>
        <w:t xml:space="preserve"> </w:t>
      </w:r>
      <w:r>
        <w:rPr>
          <w:rStyle w:val="VerbatimChar"/>
        </w:rPr>
        <w:t xml:space="preserve">system.util.sendMessageAsync</w:t>
      </w:r>
      <w:r>
        <w:t xml:space="preserve"> </w:t>
      </w:r>
      <w:r>
        <w:t xml:space="preserve">to the Gateway print handler, which formats the ZPL and sends it to the Zebra. The</w:t>
      </w:r>
      <w:r>
        <w:t xml:space="preserve"> </w:t>
      </w:r>
      <w:r>
        <w:rPr>
          <w:rStyle w:val="VerbatimChar"/>
        </w:rPr>
        <w:t xml:space="preserve">ShippingLabel</w:t>
      </w:r>
      <w:r>
        <w:t xml:space="preserve"> </w:t>
      </w:r>
      <w:r>
        <w:t xml:space="preserve">table records the print request and its completion state. The container status goes from OPEN to COMPLETE.</w:t>
      </w:r>
    </w:p>
    <w:p>
      <w:pPr>
        <w:pStyle w:val="BlockText"/>
      </w:pPr>
      <w:r>
        <w:rPr>
          <w:b/>
          <w:bCs/>
        </w:rPr>
        <w:t xml:space="preserve">Note on non-serialized lines:</w:t>
      </w:r>
      <w:r>
        <w:t xml:space="preserve"> </w:t>
      </w:r>
      <w:r>
        <w:t xml:space="preserve">The flow above describes the 5G0 serialized assembly line with full PLC/MIP integration. Non-serialized lines (e.g., 6B2 Cam Holder, RPY Assembly Sets) use a simpler validation model — OPC tags show</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rather than individual serial numbers (per Appendix C OPC tags for MicroLogix1400 PLCs). On these lines, the operator identifies the source LOT(s), enters a good count, and the MES fills containers by count rather than part-by-part. Some inspection lines also use weight-based container closure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rather than piece count.</w:t>
      </w:r>
    </w:p>
    <w:bookmarkEnd w:id="87"/>
    <w:bookmarkStart w:id="88" w:name="pm-a-quality-hold"/>
    <w:p>
      <w:pPr>
        <w:pStyle w:val="Heading3"/>
      </w:pPr>
      <w:r>
        <w:t xml:space="preserve">1:15pm — A Quality Hold</w:t>
      </w:r>
    </w:p>
    <w:p>
      <w:pPr>
        <w:pStyle w:val="FirstParagraph"/>
      </w:pPr>
      <w:r>
        <w:t xml:space="preserve">The quality supervisor, Diane, gets a call from Honda. They’ve found a dimensional issue on 5G0 parts from yesterday’s shipment. Diane doesn’t know yet which LOTs are affected, but she needs to stop everything precautionary.</w:t>
      </w:r>
    </w:p>
    <w:p>
      <w:pPr>
        <w:pStyle w:val="BodyText"/>
      </w:pPr>
      <w:r>
        <w:t xml:space="preserve">She goes to her terminal, opens the Hold Management screen, and searches for all open 5G0 LOTs and containers. She selects them and places a hold — type: CUSTOMER_COMPLAINT, reason:</w:t>
      </w:r>
      <w:r>
        <w:t xml:space="preserve"> </w:t>
      </w:r>
      <w:r>
        <w:t xml:space="preserve">“Honda dimensional concern, pending investigation.”</w:t>
      </w:r>
      <w:r>
        <w:t xml:space="preserve"> </w:t>
      </w:r>
      <w:r>
        <w:t xml:space="preserve">The MES writes a</w:t>
      </w:r>
      <w:r>
        <w:t xml:space="preserve"> </w:t>
      </w:r>
      <w:r>
        <w:rPr>
          <w:rStyle w:val="VerbatimChar"/>
        </w:rPr>
        <w:t xml:space="preserve">HoldEvent</w:t>
      </w:r>
      <w:r>
        <w:t xml:space="preserve"> </w:t>
      </w:r>
      <w:r>
        <w:t xml:space="preserve">for each LOT. Each LOT’s status transitions from GOOD to HOLD. The</w:t>
      </w:r>
      <w:r>
        <w:t xml:space="preserve"> </w:t>
      </w:r>
      <w:r>
        <w:rPr>
          <w:rStyle w:val="VerbatimChar"/>
        </w:rPr>
        <w:t xml:space="preserve">LotStatusHistory</w:t>
      </w:r>
      <w:r>
        <w:t xml:space="preserve"> </w:t>
      </w:r>
      <w:r>
        <w:t xml:space="preserve">records each transition. The</w:t>
      </w:r>
      <w:r>
        <w:t xml:space="preserve"> </w:t>
      </w:r>
      <w:r>
        <w:rPr>
          <w:rStyle w:val="VerbatimChar"/>
        </w:rPr>
        <w:t xml:space="preserve">BlocksProduction</w:t>
      </w:r>
      <w:r>
        <w:t xml:space="preserve"> </w:t>
      </w:r>
      <w:r>
        <w:t xml:space="preserve">flag on the HOLD status code is true — from this moment, the MES prevents any further manufacturing operation completion activities against these LOTs (per FRS 3.16.10). The exact interlock point — whether the MES blocks at LOT selection time or at operation completion — is a design decision, but the effect is the same: held LOTs cannot progress through production.</w:t>
      </w:r>
    </w:p>
    <w:p>
      <w:pPr>
        <w:pStyle w:val="BodyText"/>
      </w:pPr>
      <w:r>
        <w:t xml:space="preserve">There’s a container already packed and staged at the Shipping Dock — container</w:t>
      </w:r>
      <w:r>
        <w:t xml:space="preserve"> </w:t>
      </w:r>
      <w:r>
        <w:rPr>
          <w:rStyle w:val="VerbatimChar"/>
        </w:rPr>
        <w:t xml:space="preserve">CTR-5G0-0412</w:t>
      </w:r>
      <w:r>
        <w:t xml:space="preserve">, shipper ID</w:t>
      </w:r>
      <w:r>
        <w:t xml:space="preserve"> </w:t>
      </w:r>
      <w:r>
        <w:rPr>
          <w:rStyle w:val="VerbatimChar"/>
        </w:rPr>
        <w:t xml:space="preserve">SH-240406-0089</w:t>
      </w:r>
      <w:r>
        <w:t xml:space="preserve">. Diane places that on hold too. The MES calls AIM:</w:t>
      </w:r>
      <w:r>
        <w:t xml:space="preserve"> </w:t>
      </w:r>
      <w:r>
        <w:rPr>
          <w:rStyle w:val="VerbatimChar"/>
        </w:rPr>
        <w:t xml:space="preserve">PlaceOnHold</w:t>
      </w:r>
      <w:r>
        <w:t xml:space="preserve"> </w:t>
      </w:r>
      <w:r>
        <w:t xml:space="preserve">with the shipper ID. AIM acknowledges. The container status goes to HOLD. It’s not going on the truck.</w:t>
      </w:r>
    </w:p>
    <w:bookmarkEnd w:id="88"/>
    <w:bookmarkStart w:id="89" w:name="pm-the-sort-cage"/>
    <w:p>
      <w:pPr>
        <w:pStyle w:val="Heading3"/>
      </w:pPr>
      <w:r>
        <w:t xml:space="preserve">2:00pm — The Sort Cage</w:t>
      </w:r>
    </w:p>
    <w:p>
      <w:pPr>
        <w:pStyle w:val="FirstParagraph"/>
      </w:pPr>
      <w:r>
        <w:t xml:space="preserve">After investigation, Diane determines the issue is isolated to cavity A of die #42, from yesterday’s second shift only. From her desk she clicks the</w:t>
      </w:r>
      <w:r>
        <w:t xml:space="preserve"> </w:t>
      </w:r>
      <w:r>
        <w:rPr>
          <w:b/>
          <w:bCs/>
        </w:rPr>
        <w:t xml:space="preserve">Track</w:t>
      </w:r>
      <w:r>
        <w:t xml:space="preserve"> </w:t>
      </w:r>
      <w:r>
        <w:t xml:space="preserve">tile on the MES home page (FDS-12-012), types in one of the Honda-reported serial numbers, and immediately sees the full genealogy tree — cavity, die, Carlos, timestamp, and forward through to the containers and shipper IDs where that serial landed. From that tree she pivots into a search on</w:t>
      </w:r>
      <w:r>
        <w:t xml:space="preserve"> </w:t>
      </w:r>
      <w:r>
        <w:rPr>
          <w:rStyle w:val="VerbatimChar"/>
        </w:rPr>
        <w:t xml:space="preserve">die=42 AND cavity=A AND createdAt BETWEEN yesterday 14:00 AND 22:00</w:t>
      </w:r>
      <w:r>
        <w:t xml:space="preserve">. Three LOTs come back. Two are already in containers at the dock. One is still in WIP storage at the Machine Shop.</w:t>
      </w:r>
    </w:p>
    <w:p>
      <w:pPr>
        <w:pStyle w:val="BodyText"/>
      </w:pPr>
      <w:r>
        <w:t xml:space="preserve">The WIP LOT is easy — she splits it. The MES creates a new child LOT with the 12 suspect pieces, leaves the remaining 36 in the original. She scraps the suspect child from the</w:t>
      </w:r>
      <w:r>
        <w:t xml:space="preserve"> </w:t>
      </w:r>
      <w:r>
        <w:rPr>
          <w:b/>
          <w:bCs/>
        </w:rPr>
        <w:t xml:space="preserve">Selected Location</w:t>
      </w:r>
      <w:r>
        <w:t xml:space="preserve"> </w:t>
      </w:r>
      <w:r>
        <w:t xml:space="preserve">(the Machine Shop Cell where the in-process pieces are) — not from Inventory — because the parts haven’t yet returned to unallocated LOT stock. The</w:t>
      </w:r>
      <w:r>
        <w:t xml:space="preserve"> </w:t>
      </w:r>
      <w:r>
        <w:rPr>
          <w:rStyle w:val="VerbatimChar"/>
        </w:rPr>
        <w:t xml:space="preserve">Workorder.ProductionEvent.ScrapSourceId</w:t>
      </w:r>
      <w:r>
        <w:t xml:space="preserve"> </w:t>
      </w:r>
      <w:r>
        <w:t xml:space="preserve">on the resulting scrap event records</w:t>
      </w:r>
      <w:r>
        <w:t xml:space="preserve"> </w:t>
      </w:r>
      <w:r>
        <w:rPr>
          <w:rStyle w:val="VerbatimChar"/>
        </w:rPr>
        <w:t xml:space="preserve">Location</w:t>
      </w:r>
      <w:r>
        <w:t xml:space="preserve"> </w:t>
      </w:r>
      <w:r>
        <w:t xml:space="preserve">per FDS-06-023a so the scrap-rate analytics tie cleanly to the Machine Shop Cell. The suspect child LOT’s status goes to SCRAP. The original stays on HOLD until she releases it.</w:t>
      </w:r>
    </w:p>
    <w:p>
      <w:pPr>
        <w:pStyle w:val="BlockText"/>
      </w:pPr>
      <w:r>
        <w:rPr>
          <w:b/>
          <w:bCs/>
        </w:rPr>
        <w:t xml:space="preserve">Scope note:</w:t>
      </w:r>
      <w:r>
        <w:t xml:space="preserve"> </w:t>
      </w:r>
      <w:r>
        <w:t xml:space="preserve">This split-and-scrap workflow uses the LOT split and hold mechanisms, both of which are MVP. Formal NCM disposition codes (USE_AS_IS, REWORK, SCRAP, RETURN_TO_VENDOR) and structured failure analysis are FUTURE capabilities. In MVP, Diane uses holds and LOT splits as the operational tools for quality disposition; the</w:t>
      </w:r>
      <w:r>
        <w:t xml:space="preserve"> </w:t>
      </w:r>
      <w:r>
        <w:rPr>
          <w:rStyle w:val="VerbatimChar"/>
        </w:rPr>
        <w:t xml:space="preserve">NonConformance</w:t>
      </w:r>
      <w:r>
        <w:t xml:space="preserve"> </w:t>
      </w:r>
      <w:r>
        <w:t xml:space="preserve">table is not populated. MPP currently uses Intelex for formal NCM/failure analysis tracking, separate from the MES.</w:t>
      </w:r>
    </w:p>
    <w:p>
      <w:pPr>
        <w:pStyle w:val="FirstParagraph"/>
      </w:pPr>
      <w:r>
        <w:t xml:space="preserve">The two containers go to the Sort Cage — a physical location in the plant where containers are unpacked, parts re-inspected, and re-packed. The containers move (location: Sort Cage). Operators unpack them, inspect each part. Good parts get re-packed into new containers — the MES must support</w:t>
      </w:r>
      <w:r>
        <w:t xml:space="preserve"> </w:t>
      </w:r>
      <w:r>
        <w:t xml:space="preserve">“part replacement”</w:t>
      </w:r>
      <w:r>
        <w:t xml:space="preserve"> </w:t>
      </w:r>
      <w:r>
        <w:t xml:space="preserve">within containers (per FRS 2.1.10 and 2.2.7). For serialized parts, the MES handles serial number migration — the</w:t>
      </w:r>
      <w:r>
        <w:t xml:space="preserve"> </w:t>
      </w:r>
      <w:r>
        <w:rPr>
          <w:rStyle w:val="VerbatimChar"/>
        </w:rPr>
        <w:t xml:space="preserve">ContainerSerial</w:t>
      </w:r>
      <w:r>
        <w:t xml:space="preserve"> </w:t>
      </w:r>
      <w:r>
        <w:t xml:space="preserve">records are updated to point to the new containers and tray positions. When containers are re-packed, AIM must also be updated via</w:t>
      </w:r>
      <w:r>
        <w:t xml:space="preserve"> </w:t>
      </w:r>
      <w:r>
        <w:rPr>
          <w:rStyle w:val="VerbatimChar"/>
        </w:rPr>
        <w:t xml:space="preserve">UpdateAim</w:t>
      </w:r>
      <w:r>
        <w:t xml:space="preserve"> </w:t>
      </w:r>
      <w:r>
        <w:t xml:space="preserve">(which accepts</w:t>
      </w:r>
      <w:r>
        <w:t xml:space="preserve"> </w:t>
      </w:r>
      <w:r>
        <w:rPr>
          <w:rStyle w:val="VerbatimChar"/>
        </w:rPr>
        <w:t xml:space="preserve">serial</w:t>
      </w:r>
      <w:r>
        <w:t xml:space="preserve"> </w:t>
      </w:r>
      <w:r>
        <w:t xml:space="preserve">and</w:t>
      </w:r>
      <w:r>
        <w:t xml:space="preserve"> </w:t>
      </w:r>
      <w:r>
        <w:rPr>
          <w:rStyle w:val="VerbatimChar"/>
        </w:rPr>
        <w:t xml:space="preserve">previousSerial</w:t>
      </w:r>
      <w:r>
        <w:t xml:space="preserve"> </w:t>
      </w:r>
      <w:r>
        <w:t xml:space="preserve">parameters, per Appendix L). New LTT labels print for any new LOTs created during re-sort. New shipping labels print for the re-packed containers. Old shipping labels are voided (</w:t>
      </w:r>
      <w:r>
        <w:rPr>
          <w:rStyle w:val="VerbatimChar"/>
        </w:rPr>
        <w:t xml:space="preserve">is_void=1</w:t>
      </w:r>
      <w:r>
        <w:t xml:space="preserve">,</w:t>
      </w:r>
      <w:r>
        <w:t xml:space="preserve"> </w:t>
      </w:r>
      <w:r>
        <w:rPr>
          <w:rStyle w:val="VerbatimChar"/>
        </w:rPr>
        <w:t xml:space="preserve">VoidedAt</w:t>
      </w:r>
      <w:r>
        <w:t xml:space="preserve"> </w:t>
      </w:r>
      <w:r>
        <w:t xml:space="preserve">recorded). AIM gets updated:</w:t>
      </w:r>
      <w:r>
        <w:t xml:space="preserve"> </w:t>
      </w:r>
      <w:r>
        <w:rPr>
          <w:rStyle w:val="VerbatimChar"/>
        </w:rPr>
        <w:t xml:space="preserve">ReleaseFromHold</w:t>
      </w:r>
      <w:r>
        <w:t xml:space="preserve"> </w:t>
      </w:r>
      <w:r>
        <w:t xml:space="preserve">for the new good containers, the old shipper IDs are cancelled.</w:t>
      </w:r>
    </w:p>
    <w:p>
      <w:pPr>
        <w:pStyle w:val="BodyText"/>
      </w:pPr>
      <w:r>
        <w:t xml:space="preserve">Diane releases the hold on the good LOTs. The</w:t>
      </w:r>
      <w:r>
        <w:t xml:space="preserve"> </w:t>
      </w:r>
      <w:r>
        <w:rPr>
          <w:rStyle w:val="VerbatimChar"/>
        </w:rPr>
        <w:t xml:space="preserve">HoldEvent</w:t>
      </w:r>
      <w:r>
        <w:t xml:space="preserve"> </w:t>
      </w:r>
      <w:r>
        <w:t xml:space="preserve">gets</w:t>
      </w:r>
      <w:r>
        <w:t xml:space="preserve"> </w:t>
      </w:r>
      <w:r>
        <w:rPr>
          <w:rStyle w:val="VerbatimChar"/>
        </w:rPr>
        <w:t xml:space="preserve">ReleasedByUserId</w:t>
      </w:r>
      <w:r>
        <w:t xml:space="preserve"> </w:t>
      </w:r>
      <w:r>
        <w:t xml:space="preserve">and</w:t>
      </w:r>
      <w:r>
        <w:t xml:space="preserve"> </w:t>
      </w:r>
      <w:r>
        <w:rPr>
          <w:rStyle w:val="VerbatimChar"/>
        </w:rPr>
        <w:t xml:space="preserve">ReleasedAt</w:t>
      </w:r>
      <w:r>
        <w:t xml:space="preserve"> </w:t>
      </w:r>
      <w:r>
        <w:t xml:space="preserve">populated. LOT status goes back to GOOD. Production can resume.</w:t>
      </w:r>
    </w:p>
    <w:bookmarkEnd w:id="89"/>
    <w:bookmarkStart w:id="90" w:name="Xef0509370e552f9e4610b8262e70be2381c36f2"/>
    <w:p>
      <w:pPr>
        <w:pStyle w:val="Heading3"/>
      </w:pPr>
      <w:r>
        <w:t xml:space="preserve">3:30pm — Receiving Dock: A Pass-Through Part Arrives</w:t>
      </w:r>
    </w:p>
    <w:p>
      <w:pPr>
        <w:pStyle w:val="FirstParagraph"/>
      </w:pPr>
      <w:r>
        <w:t xml:space="preserve">A truck pulls up with a delivery of 6MA Cam Holder housings from an outside supplier. These are pass-through parts — MPP doesn’t manufacture them, just assembles them. The receiving operator scans the packing slip, creates a LOT in the MES: origin type Received, vendor lot number</w:t>
      </w:r>
      <w:r>
        <w:t xml:space="preserve"> </w:t>
      </w:r>
      <w:r>
        <w:rPr>
          <w:rStyle w:val="VerbatimChar"/>
        </w:rPr>
        <w:t xml:space="preserve">VND-88721</w:t>
      </w:r>
      <w:r>
        <w:t xml:space="preserve">, piece count 500, part number 6MA-HSG. The LOT enters the system at the Receiving Dock location.</w:t>
      </w:r>
    </w:p>
    <w:p>
      <w:pPr>
        <w:pStyle w:val="BlockText"/>
      </w:pPr>
      <w:r>
        <w:rPr>
          <w:b/>
          <w:bCs/>
        </w:rPr>
        <w:t xml:space="preserve">Scope note:</w:t>
      </w:r>
      <w:r>
        <w:t xml:space="preserve"> </w:t>
      </w:r>
      <w:r>
        <w:t xml:space="preserve">Receiving pass-through parts into the MES is MVP (Scope Matrix row 3). Once created, a received LOT is identical to a manufactured LOT — same movement tracking, hold management, consumption, and genealogy. The data model makes no distinction beyond</w:t>
      </w:r>
      <w:r>
        <w:t xml:space="preserve"> </w:t>
      </w:r>
      <w:r>
        <w:rPr>
          <w:rStyle w:val="VerbatimChar"/>
        </w:rPr>
        <w:t xml:space="preserve">LotOriginType</w:t>
      </w:r>
      <w:r>
        <w:t xml:space="preserve">. The</w:t>
      </w:r>
      <w:r>
        <w:t xml:space="preserve"> </w:t>
      </w:r>
      <w:r>
        <w:t xml:space="preserve">“Future”</w:t>
      </w:r>
      <w:r>
        <w:t xml:space="preserve"> </w:t>
      </w:r>
      <w:r>
        <w:t xml:space="preserve">note on Scope Matrix row 20 refers to the dedicated operational workflows — Perspective screens for receiving inspection, vendor lot verification, and staging procedures specific to pass-through parts — not to the underlying tracking capability.</w:t>
      </w:r>
    </w:p>
    <w:bookmarkEnd w:id="90"/>
    <w:bookmarkStart w:id="91" w:name="pm-shipping-the-truck-leaves"/>
    <w:p>
      <w:pPr>
        <w:pStyle w:val="Heading3"/>
      </w:pPr>
      <w:r>
        <w:t xml:space="preserve">4:45pm — Shipping: The Truck Leaves</w:t>
      </w:r>
    </w:p>
    <w:p>
      <w:pPr>
        <w:pStyle w:val="FirstParagraph"/>
      </w:pPr>
      <w:r>
        <w:t xml:space="preserve">The released containers — the good ones from this morning’s production, plus the re-sorted containers from the Sort Cage — are loaded onto the Honda truck. The shipping operator scans each container’s shipping label. The MES confirms: status Complete (not HOLD, not VOID), AIM shipper ID valid. Each container’s location moves to Shipping Dock → Shipped. The truck rolls out. Honda can trace every part on it back to the melt.</w:t>
      </w:r>
    </w:p>
    <w:bookmarkEnd w:id="91"/>
    <w:bookmarkStart w:id="92" w:name="end-of-shift"/>
    <w:p>
      <w:pPr>
        <w:pStyle w:val="Heading3"/>
      </w:pPr>
      <w:r>
        <w:t xml:space="preserve">End of Shift</w:t>
      </w:r>
    </w:p>
    <w:p>
      <w:pPr>
        <w:pStyle w:val="FirstParagraph"/>
      </w:pPr>
      <w:r>
        <w:t xml:space="preserve">About 15 minutes before 2pm, a time-entry control appears in the terminal header on every first-shift terminal. Carlos presses it. Because he’s on a</w:t>
      </w:r>
      <w:r>
        <w:t xml:space="preserve"> </w:t>
      </w:r>
      <w:r>
        <w:rPr>
          <w:b/>
          <w:bCs/>
        </w:rPr>
        <w:t xml:space="preserve">dedicated terminal</w:t>
      </w:r>
      <w:r>
        <w:t xml:space="preserve"> </w:t>
      </w:r>
      <w:r>
        <w:t xml:space="preserve">(one-to-one with Machine #7), the submission is a single button press — no prompts, no selection. The MES records whether he took lunch and which breaks he took using the schedule defaults, and automatically writes</w:t>
      </w:r>
      <w:r>
        <w:t xml:space="preserve"> </w:t>
      </w:r>
      <w:r>
        <w:rPr>
          <w:rStyle w:val="VerbatimChar"/>
        </w:rPr>
        <w:t xml:space="preserve">Oee.DowntimeEvent</w:t>
      </w:r>
      <w:r>
        <w:t xml:space="preserve"> </w:t>
      </w:r>
      <w:r>
        <w:t xml:space="preserve">rows for each — using the durations configured on the shift schedule (e.g., 30 minutes for lunch, 10 minutes for each break). Carlos doesn’t enter any durations; the system already knows them. On a</w:t>
      </w:r>
      <w:r>
        <w:t xml:space="preserve"> </w:t>
      </w:r>
      <w:r>
        <w:rPr>
          <w:b/>
          <w:bCs/>
        </w:rPr>
        <w:t xml:space="preserve">shared terminal</w:t>
      </w:r>
      <w:r>
        <w:t xml:space="preserve">, the operator would additionally enter their initials and confirm each break taken before submitting.</w:t>
      </w:r>
    </w:p>
    <w:p>
      <w:pPr>
        <w:pStyle w:val="BodyText"/>
      </w:pPr>
      <w:r>
        <w:t xml:space="preserve">At 2pm, Carlos triggers the</w:t>
      </w:r>
      <w:r>
        <w:t xml:space="preserve"> </w:t>
      </w:r>
      <w:r>
        <w:rPr>
          <w:b/>
          <w:bCs/>
        </w:rPr>
        <w:t xml:space="preserve">Shift Handover</w:t>
      </w:r>
      <w:r>
        <w:t xml:space="preserve"> </w:t>
      </w:r>
      <w:r>
        <w:t xml:space="preserve">action. The MES presents a one-screen summary of in-flight state at his terminal: open LOTs still at his machine, open downtime events, and any open containers. Carlos reviews it, acknowledges it, and the system logs the handover to</w:t>
      </w:r>
      <w:r>
        <w:t xml:space="preserve"> </w:t>
      </w:r>
      <w:r>
        <w:rPr>
          <w:rStyle w:val="VerbatimChar"/>
        </w:rPr>
        <w:t xml:space="preserve">Audit.OperationLog</w:t>
      </w:r>
      <w:r>
        <w:t xml:space="preserve">. The incoming second-shift operator is prompted for their initials to establish a new presence context (per FDS-04-009). Open LOTs, paused LOTs, and in-process events are not auto-closed at the shift boundary — they persist and carry into second shift.</w:t>
      </w:r>
    </w:p>
    <w:p>
      <w:pPr>
        <w:pStyle w:val="BodyText"/>
      </w:pPr>
      <w:r>
        <w:t xml:space="preserve">Available runtime for OEE purposes is derived from</w:t>
      </w:r>
      <w:r>
        <w:t xml:space="preserve"> </w:t>
      </w:r>
      <w:r>
        <w:rPr>
          <w:rStyle w:val="VerbatimChar"/>
        </w:rPr>
        <w:t xml:space="preserve">(ScheduledEnd − ScheduledStart) − SUM(DowntimeEvent durations within the shift window)</w:t>
      </w:r>
      <w:r>
        <w:t xml:space="preserve">. No manual runtime adjustment column exists — the downtime events are the source of truth.</w:t>
      </w:r>
    </w:p>
    <w:p>
      <w:pPr>
        <w:pStyle w:val="BodyText"/>
      </w:pPr>
      <w:r>
        <w:t xml:space="preserve">Everything that happened today — every LOT creation, movement, split, production event, consumption event, reject, downtime event, hold, release, label print, AIM call — is in the</w:t>
      </w:r>
      <w:r>
        <w:t xml:space="preserve"> </w:t>
      </w:r>
      <w:r>
        <w:rPr>
          <w:rStyle w:val="VerbatimChar"/>
        </w:rPr>
        <w:t xml:space="preserve">OperationLog</w:t>
      </w:r>
      <w:r>
        <w:t xml:space="preserve"> </w:t>
      </w:r>
      <w:r>
        <w:t xml:space="preserve">and</w:t>
      </w:r>
      <w:r>
        <w:t xml:space="preserve"> </w:t>
      </w:r>
      <w:r>
        <w:rPr>
          <w:rStyle w:val="VerbatimChar"/>
        </w:rPr>
        <w:t xml:space="preserve">InterfaceLog</w:t>
      </w:r>
      <w:r>
        <w:t xml:space="preserve"> </w:t>
      </w:r>
      <w:r>
        <w:t xml:space="preserve">tables. Immutable. 20 years from now, if Honda asks</w:t>
      </w:r>
      <w:r>
        <w:t xml:space="preserve"> </w:t>
      </w:r>
      <w:r>
        <w:t xml:space="preserve">“who made serial number</w:t>
      </w:r>
      <w:r>
        <w:t xml:space="preserve"> </w:t>
      </w:r>
      <w:r>
        <w:rPr>
          <w:rStyle w:val="VerbatimChar"/>
        </w:rPr>
        <w:t xml:space="preserve">5G0F-240406-00147</w:t>
      </w:r>
      <w:r>
        <w:t xml:space="preserve"> </w:t>
      </w:r>
      <w:r>
        <w:t xml:space="preserve">and what aluminum went into it,”</w:t>
      </w:r>
      <w:r>
        <w:t xml:space="preserve"> </w:t>
      </w:r>
      <w:r>
        <w:t xml:space="preserve">the answer is there.</w:t>
      </w:r>
    </w:p>
    <w:p>
      <w:pPr>
        <w:pStyle w:val="BlockText"/>
      </w:pPr>
      <w:r>
        <w:rPr>
          <w:b/>
          <w:bCs/>
        </w:rPr>
        <w:t xml:space="preserve">Note on Productivity DB replacement:</w:t>
      </w:r>
      <w:r>
        <w:t xml:space="preserve"> </w:t>
      </w:r>
      <w:r>
        <w:t xml:space="preserve">Today, MPP staff enter production data into a separate Productivity Database (PD) application approximately 2 hours after shift end — a data entry clerk manually keys in the numbers from the paper sheets. The new MES is intended to eliminate this double-entry by capturing data at the point of action in real time (per FRS 5.6.6). This is a fundamental process change, not just a UI replacement, and will require change management on the shop floor. The reports that currently come from the PD (Die Shot Report, Rejects Report, Downtime Report, Production Report) should be generated directly from MES data.</w:t>
      </w:r>
    </w:p>
    <w:p>
      <w:r>
        <w:pict>
          <v:rect style="width:0;height:1.5pt" o:hralign="center" o:hrstd="t" o:hr="t"/>
        </w:pict>
      </w:r>
    </w:p>
    <w:bookmarkEnd w:id="92"/>
    <w:bookmarkEnd w:id="93"/>
    <w:bookmarkStart w:id="113" w:name="assumptions-open-decisions"/>
    <w:p>
      <w:pPr>
        <w:pStyle w:val="Heading2"/>
      </w:pPr>
      <w:r>
        <w:t xml:space="preserve">Assumptions &amp; Open Decisions</w:t>
      </w:r>
    </w:p>
    <w:p>
      <w:pPr>
        <w:pStyle w:val="FirstParagraph"/>
      </w:pPr>
      <w:r>
        <w:t xml:space="preserve">These are the places where the narrative filled in gaps that the FRS and data model don’t fully prescribe. Each one needs an answer before the corresponding Perspective screens can be designed.</w:t>
      </w:r>
    </w:p>
    <w:p>
      <w:pPr>
        <w:pStyle w:val="BodyText"/>
      </w:pPr>
      <w:r>
        <w:rPr>
          <w:b/>
          <w:bCs/>
        </w:rPr>
        <w:t xml:space="preserve">Status legend:</w:t>
      </w:r>
      <w:r>
        <w:t xml:space="preserve"> </w:t>
      </w:r>
      <w:r>
        <w:t xml:space="preserve">✅ Resolved | 🔶 Pending Customer Validation / Pending Internal Review | ⬜ Open</w:t>
      </w:r>
    </w:p>
    <w:bookmarkStart w:id="94" w:name="X5b90eb551c604f4716bb765ca587f0c2360571b"/>
    <w:p>
      <w:pPr>
        <w:pStyle w:val="Heading3"/>
      </w:pPr>
      <w:r>
        <w:t xml:space="preserve">1. Operator Identity &amp; Elevation Model — ✅ Resolved</w:t>
      </w:r>
    </w:p>
    <w:p>
      <w:pPr>
        <w:pStyle w:val="FirstParagraph"/>
      </w:pPr>
      <w:r>
        <w:rPr>
          <w:b/>
          <w:bCs/>
        </w:rPr>
        <w:t xml:space="preserve">Assumption made (pre-2026-04-20):</w:t>
      </w:r>
      <w:r>
        <w:t xml:space="preserve"> </w:t>
      </w:r>
      <w:r>
        <w:t xml:space="preserve">Operators badge in once at shift start with clock number + PIN, and stay authenticated for the shift at that terminal. Every action is attributed to them without re-authentication.</w:t>
      </w:r>
    </w:p>
    <w:p>
      <w:pPr>
        <w:pStyle w:val="BodyText"/>
      </w:pPr>
      <w:r>
        <w:rPr>
          <w:b/>
          <w:bCs/>
        </w:rPr>
        <w:t xml:space="preserve">Decision (2026-04-20, OI-06 closed):</w:t>
      </w:r>
      <w:r>
        <w:t xml:space="preserve"> </w:t>
      </w:r>
      <w:r>
        <w:t xml:space="preserve">Operators don’t authenticate at all. They are identified on a terminal by their</w:t>
      </w:r>
      <w:r>
        <w:t xml:space="preserve"> </w:t>
      </w:r>
      <w:r>
        <w:rPr>
          <w:b/>
          <w:bCs/>
        </w:rPr>
        <w:t xml:space="preserve">initials</w:t>
      </w:r>
      <w:r>
        <w:t xml:space="preserve"> </w:t>
      </w:r>
      <w:r>
        <w:t xml:space="preserve">(no clock number, no PIN), which establish an operator presence context and pre-populate an editable Initials field on every mutation screen. Dedicated terminals (approx. 80% of the plant, one-to-one with a Cell) retain the presence through the shift, subject only to a 30-minute idle re-confirmation popup (</w:t>
      </w:r>
      <w:r>
        <w:t xml:space="preserve">“Operate as CM? Yes / No — change”</w:t>
      </w:r>
      <w:r>
        <w:t xml:space="preserve">). Shared terminals prompt for initials on first action after any idle period. Elevated actions (holds, overrides, scrap, maintenance WOs, admin edits) require a fresh Active Directory login at the moment of action — no session-sticky elevation, no 5-minute-timeout. Operator</w:t>
      </w:r>
      <w:r>
        <w:t xml:space="preserve"> </w:t>
      </w:r>
      <w:r>
        <w:rPr>
          <w:rStyle w:val="VerbatimChar"/>
        </w:rPr>
        <w:t xml:space="preserve">AppUser</w:t>
      </w:r>
      <w:r>
        <w:t xml:space="preserve"> </w:t>
      </w:r>
      <w:r>
        <w:t xml:space="preserve">rows are managed by the Configuration Tool (Admin screen); operators have no AD account.</w:t>
      </w:r>
      <w:r>
        <w:t xml:space="preserve"> </w:t>
      </w:r>
      <w:r>
        <w:rPr>
          <w:i/>
          <w:iCs/>
        </w:rPr>
        <w:t xml:space="preserve">See FDS §4.</w:t>
      </w:r>
    </w:p>
    <w:bookmarkEnd w:id="94"/>
    <w:bookmarkStart w:id="95" w:name="X8a97f2b45aacffcfde53291572bcd0cf661d011"/>
    <w:p>
      <w:pPr>
        <w:pStyle w:val="Heading3"/>
      </w:pPr>
      <w:r>
        <w:t xml:space="preserve">2. LOT Creation Flow at Die Cast — 🔶 Pending Customer Validation</w:t>
      </w:r>
    </w:p>
    <w:p>
      <w:pPr>
        <w:pStyle w:val="FirstParagraph"/>
      </w:pPr>
      <w:r>
        <w:rPr>
          <w:b/>
          <w:bCs/>
        </w:rPr>
        <w:t xml:space="preserve">Assumption made:</w:t>
      </w:r>
      <w:r>
        <w:t xml:space="preserve"> </w:t>
      </w:r>
      <w:r>
        <w:t xml:space="preserve">LTT tags are pre-printed in blocks (physical stickers with barcodes), and the operator grabs one, sticks it on a basket, then scans it to create the LOT in MES.</w:t>
      </w:r>
    </w:p>
    <w:p>
      <w:pPr>
        <w:pStyle w:val="BodyText"/>
      </w:pPr>
      <w:r>
        <w:rPr>
          <w:b/>
          <w:bCs/>
        </w:rPr>
        <w:t xml:space="preserve">Decision (2026-04-09):</w:t>
      </w:r>
      <w:r>
        <w:t xml:space="preserve"> </w:t>
      </w:r>
      <w:r>
        <w:t xml:space="preserve">LTT tags are pre-printed, but the first scan of a barcode creates the LOT record in the MES. No pre-registration of barcodes. No LOT tag inventory feature. Confirms FDS-05-002.</w:t>
      </w:r>
    </w:p>
    <w:p>
      <w:pPr>
        <w:pStyle w:val="BodyText"/>
      </w:pPr>
      <w:r>
        <w:rPr>
          <w:b/>
          <w:bCs/>
        </w:rPr>
        <w:t xml:space="preserve">Addendum (2026-04-23, v0.8):</w:t>
      </w:r>
      <w:r>
        <w:t xml:space="preserve"> </w:t>
      </w:r>
      <w:r>
        <w:t xml:space="preserve">LOT creation is</w:t>
      </w:r>
      <w:r>
        <w:t xml:space="preserve"> </w:t>
      </w:r>
      <w:r>
        <w:rPr>
          <w:b/>
          <w:bCs/>
        </w:rPr>
        <w:t xml:space="preserve">lazy and operator-driven</w:t>
      </w:r>
      <w:r>
        <w:t xml:space="preserve">. The system does not prescribe when Carlos logs a LOT — it can be at basket-full, after the prior LOT is done, or any other moment he chooses. No auto-create of N LOTs at run start. Physical-but-unlogged baskets exist until the operator logs them. Tool + Cavity assignment happens at</w:t>
      </w:r>
      <w:r>
        <w:t xml:space="preserve"> </w:t>
      </w:r>
      <w:r>
        <w:rPr>
          <w:rStyle w:val="VerbatimChar"/>
        </w:rPr>
        <w:t xml:space="preserve">Lot_Create</w:t>
      </w:r>
      <w:r>
        <w:t xml:space="preserve"> </w:t>
      </w:r>
      <w:r>
        <w:t xml:space="preserve">time (operator selects/confirms which cavity). See FDS-05-036.</w:t>
      </w:r>
    </w:p>
    <w:bookmarkEnd w:id="95"/>
    <w:bookmarkStart w:id="96" w:name="X02d9ed5b59999fee2ed9f775d0d739f5d3a01b0"/>
    <w:p>
      <w:pPr>
        <w:pStyle w:val="Heading3"/>
      </w:pPr>
      <w:r>
        <w:t xml:space="preserve">3. When and How Sub-LOT Splits Happen — 🔶 Pending Internal Review</w:t>
      </w:r>
    </w:p>
    <w:p>
      <w:pPr>
        <w:pStyle w:val="FirstParagraph"/>
      </w:pPr>
      <w:r>
        <w:rPr>
          <w:b/>
          <w:bCs/>
        </w:rPr>
        <w:t xml:space="preserve">Assumption made:</w:t>
      </w:r>
      <w:r>
        <w:t xml:space="preserve"> </w:t>
      </w:r>
      <w:r>
        <w:t xml:space="preserve">The machining operator manually initiates the split — they scan the parent LOT and tell the MES</w:t>
      </w:r>
      <w:r>
        <w:t xml:space="preserve"> </w:t>
      </w:r>
      <w:r>
        <w:t xml:space="preserve">“split this into batches of 24.”</w:t>
      </w:r>
    </w:p>
    <w:p>
      <w:pPr>
        <w:pStyle w:val="BodyText"/>
      </w:pPr>
      <w:r>
        <w:rPr>
          <w:b/>
          <w:bCs/>
        </w:rPr>
        <w:t xml:space="preserve">Decision (2026-04-09):</w:t>
      </w:r>
      <w:r>
        <w:t xml:space="preserve"> </w:t>
      </w:r>
      <w:r>
        <w:t xml:space="preserve">Auto-split at the boundary into N sublots based on the item’s default sub-lot quantity, with a confirmation dialog. Sublots are treated identically to lot splits in the data model (</w:t>
      </w:r>
      <w:r>
        <w:rPr>
          <w:rStyle w:val="VerbatimChar"/>
        </w:rPr>
        <w:t xml:space="preserve">LotGenealogy</w:t>
      </w:r>
      <w:r>
        <w:t xml:space="preserve"> </w:t>
      </w:r>
      <w:r>
        <w:t xml:space="preserve">with relationship_type = Split). Operator can adjust quantities or cancel the auto-split. Needs review with Ben.</w:t>
      </w:r>
    </w:p>
    <w:p>
      <w:pPr>
        <w:pStyle w:val="BodyText"/>
      </w:pPr>
      <w:r>
        <w:rPr>
          <w:b/>
          <w:bCs/>
        </w:rPr>
        <w:t xml:space="preserve">Clarification (2026-04-23, v0.8):</w:t>
      </w:r>
      <w:r>
        <w:t xml:space="preserve"> </w:t>
      </w:r>
      <w:r>
        <w:t xml:space="preserve">Sub-LOT split is the</w:t>
      </w:r>
      <w:r>
        <w:t xml:space="preserve"> </w:t>
      </w:r>
      <w:r>
        <w:rPr>
          <w:b/>
          <w:bCs/>
        </w:rPr>
        <w:t xml:space="preserve">Trim OUT</w:t>
      </w:r>
      <w:r>
        <w:t xml:space="preserve"> </w:t>
      </w:r>
      <w:r>
        <w:t xml:space="preserve">sublot pattern (parent FK + split genealogy). Split happens when the Trim operator completes the LOT at Trim OUT — not on arrival at Machining. Sub-LOTs arrive at Machining already split and re-labeled.</w:t>
      </w:r>
      <w:r>
        <w:t xml:space="preserve"> </w:t>
      </w:r>
      <w:r>
        <w:rPr>
          <w:b/>
          <w:bCs/>
        </w:rPr>
        <w:t xml:space="preserve">Cavity-parallel LOTs at Die Cast are NOT sublots</w:t>
      </w:r>
      <w:r>
        <w:t xml:space="preserve"> </w:t>
      </w:r>
      <w:r>
        <w:t xml:space="preserve">— a multi-cavity die produces N first-class peer LOTs, each with its own</w:t>
      </w:r>
      <w:r>
        <w:t xml:space="preserve"> </w:t>
      </w:r>
      <w:r>
        <w:rPr>
          <w:rStyle w:val="VerbatimChar"/>
        </w:rPr>
        <w:t xml:space="preserve">ToolCavityId</w:t>
      </w:r>
      <w:r>
        <w:t xml:space="preserve"> </w:t>
      </w:r>
      <w:r>
        <w:t xml:space="preserve">set at creation. The 2026-04-20 meeting notes conflated the two concepts; OI-09 closes this by locking the cavity-parallel-as-peer model in Data Model v1.9. See FDS-05-022 (sublots, Machining) and FDS-05-034 (cavity-parallel LOTs, Die Cast).</w:t>
      </w:r>
    </w:p>
    <w:bookmarkEnd w:id="96"/>
    <w:bookmarkStart w:id="97" w:name="X8d9059566608ee12c9183bcb0fe5f5e27b15363"/>
    <w:p>
      <w:pPr>
        <w:pStyle w:val="Heading3"/>
      </w:pPr>
      <w:r>
        <w:t xml:space="preserve">4. Container Lifecycle on Non-Serialized Lines — ⬜ Open</w:t>
      </w:r>
    </w:p>
    <w:p>
      <w:pPr>
        <w:pStyle w:val="FirstParagraph"/>
      </w:pPr>
      <w:r>
        <w:rPr>
          <w:b/>
          <w:bCs/>
        </w:rPr>
        <w:t xml:space="preserve">Assumption made:</w:t>
      </w:r>
      <w:r>
        <w:t xml:space="preserve"> </w:t>
      </w:r>
      <w:r>
        <w:t xml:space="preserve">The narrative focused heavily on the serialized assembly line (5G0) where the PLC handshake fills containers part-by-part. For non-serialized lines, the story is much less clear.</w:t>
      </w:r>
    </w:p>
    <w:p>
      <w:pPr>
        <w:pStyle w:val="BodyText"/>
      </w:pPr>
      <w:r>
        <w:rPr>
          <w:b/>
          <w:bCs/>
        </w:rPr>
        <w:t xml:space="preserve">Decision (2026-04-09):</w:t>
      </w:r>
      <w:r>
        <w:t xml:space="preserve"> </w:t>
      </w:r>
      <w:r>
        <w:t xml:space="preserve">Assumption is containers are auto-created on LOT arrival. AIM shipper ID requested at the last route step for the part, prior to LOT closure. Needs discussion with Ben.</w:t>
      </w:r>
      <w:r>
        <w:t xml:space="preserve"> </w:t>
      </w:r>
      <w:r>
        <w:rPr>
          <w:i/>
          <w:iCs/>
        </w:rPr>
        <w:t xml:space="preserve">Maps to OI-02.</w:t>
      </w:r>
    </w:p>
    <w:bookmarkEnd w:id="97"/>
    <w:bookmarkStart w:id="98" w:name="sort-cage-serial-number-migration-open"/>
    <w:p>
      <w:pPr>
        <w:pStyle w:val="Heading3"/>
      </w:pPr>
      <w:r>
        <w:t xml:space="preserve">5. Sort Cage Serial Number Migration — ⬜ Open</w:t>
      </w:r>
    </w:p>
    <w:p>
      <w:pPr>
        <w:pStyle w:val="FirstParagraph"/>
      </w:pPr>
      <w:r>
        <w:rPr>
          <w:b/>
          <w:bCs/>
        </w:rPr>
        <w:t xml:space="preserve">Assumption made:</w:t>
      </w:r>
      <w:r>
        <w:t xml:space="preserve"> </w:t>
      </w:r>
      <w:r>
        <w:t xml:space="preserve">When a serialized container is sent to Sort Cage and parts are re-inspected and re-packed, the MES updates</w:t>
      </w:r>
      <w:r>
        <w:t xml:space="preserve"> </w:t>
      </w:r>
      <w:r>
        <w:rPr>
          <w:rStyle w:val="VerbatimChar"/>
        </w:rPr>
        <w:t xml:space="preserve">ContainerSerial</w:t>
      </w:r>
      <w:r>
        <w:t xml:space="preserve"> </w:t>
      </w:r>
      <w:r>
        <w:t xml:space="preserve">records to point to new containers.</w:t>
      </w:r>
    </w:p>
    <w:p>
      <w:pPr>
        <w:pStyle w:val="BodyText"/>
      </w:pPr>
      <w:r>
        <w:rPr>
          <w:b/>
          <w:bCs/>
        </w:rPr>
        <w:t xml:space="preserve">Decision (2026-04-09):</w:t>
      </w:r>
      <w:r>
        <w:t xml:space="preserve"> </w:t>
      </w:r>
      <w:r>
        <w:t xml:space="preserve">Greatest risk for losing traceability. Flagged for discussion with customer. The void-and-recreate vs. update-in-place decision affects whether a</w:t>
      </w:r>
      <w:r>
        <w:t xml:space="preserve"> </w:t>
      </w:r>
      <w:r>
        <w:rPr>
          <w:rStyle w:val="VerbatimChar"/>
        </w:rPr>
        <w:t xml:space="preserve">ContainerSerialHistory</w:t>
      </w:r>
      <w:r>
        <w:t xml:space="preserve"> </w:t>
      </w:r>
      <w:r>
        <w:t xml:space="preserve">table is needed.</w:t>
      </w:r>
    </w:p>
    <w:bookmarkEnd w:id="98"/>
    <w:bookmarkStart w:id="99" w:name="off-site-receiving-resolved"/>
    <w:p>
      <w:pPr>
        <w:pStyle w:val="Heading3"/>
      </w:pPr>
      <w:r>
        <w:t xml:space="preserve">6. Off-Site Receiving — ✅ Resolved</w:t>
      </w:r>
    </w:p>
    <w:p>
      <w:pPr>
        <w:pStyle w:val="FirstParagraph"/>
      </w:pPr>
      <w:r>
        <w:rPr>
          <w:b/>
          <w:bCs/>
        </w:rPr>
        <w:t xml:space="preserve">Assumption made:</w:t>
      </w:r>
      <w:r>
        <w:t xml:space="preserve"> </w:t>
      </w:r>
      <w:r>
        <w:t xml:space="preserve">The off-site receiving uses the same Ignition Perspective app, just accessed remotely (VPN or published gateway).</w:t>
      </w:r>
    </w:p>
    <w:p>
      <w:pPr>
        <w:pStyle w:val="BodyText"/>
      </w:pPr>
      <w:r>
        <w:rPr>
          <w:b/>
          <w:bCs/>
        </w:rPr>
        <w:t xml:space="preserve">Decision (2026-04-09):</w:t>
      </w:r>
      <w:r>
        <w:t xml:space="preserve"> </w:t>
      </w:r>
      <w:r>
        <w:t xml:space="preserve">Online capability confirmed. No concerns about network reliability or offline requirements. Standard Ignition Perspective via VPN/published gateway.</w:t>
      </w:r>
    </w:p>
    <w:bookmarkEnd w:id="99"/>
    <w:bookmarkStart w:id="100" w:name="work-order-visibility-and-lifecycle-open"/>
    <w:p>
      <w:pPr>
        <w:pStyle w:val="Heading3"/>
      </w:pPr>
      <w:r>
        <w:t xml:space="preserve">7. Work Order Visibility and Lifecycle — ⬜ Open</w:t>
      </w:r>
    </w:p>
    <w:p>
      <w:pPr>
        <w:pStyle w:val="FirstParagraph"/>
      </w:pPr>
      <w:r>
        <w:rPr>
          <w:b/>
          <w:bCs/>
        </w:rPr>
        <w:t xml:space="preserve">Assumption made:</w:t>
      </w:r>
      <w:r>
        <w:t xml:space="preserve"> </w:t>
      </w:r>
      <w:r>
        <w:t xml:space="preserve">Operators</w:t>
      </w:r>
      <w:r>
        <w:t xml:space="preserve"> </w:t>
      </w:r>
      <w:r>
        <w:t xml:space="preserve">“never see”</w:t>
      </w:r>
      <w:r>
        <w:t xml:space="preserve"> </w:t>
      </w:r>
      <w:r>
        <w:t xml:space="preserve">work orders, but the data model has them and the scope matrix lists them as CONDITIONAL.</w:t>
      </w:r>
    </w:p>
    <w:p>
      <w:pPr>
        <w:pStyle w:val="BodyText"/>
      </w:pPr>
      <w:r>
        <w:rPr>
          <w:b/>
          <w:bCs/>
        </w:rPr>
        <w:t xml:space="preserve">Decision (2026-04-09):</w:t>
      </w:r>
      <w:r>
        <w:t xml:space="preserve"> </w:t>
      </w:r>
      <w:r>
        <w:t xml:space="preserve">Work orders included but hidden (MVP-lite) — auto-generated, invisible to operators, no WO screens. Work orders can also be derived from an external ERP system, but the ERP integration spec is undefined. Lifecycle triggers need customer discussion.</w:t>
      </w:r>
      <w:r>
        <w:t xml:space="preserve"> </w:t>
      </w:r>
      <w:r>
        <w:rPr>
          <w:i/>
          <w:iCs/>
        </w:rPr>
        <w:t xml:space="preserve">Maps to OI-07.</w:t>
      </w:r>
    </w:p>
    <w:bookmarkEnd w:id="100"/>
    <w:bookmarkStart w:id="101" w:name="lot-merge-business-rules-open"/>
    <w:p>
      <w:pPr>
        <w:pStyle w:val="Heading3"/>
      </w:pPr>
      <w:r>
        <w:t xml:space="preserve">8. LOT Merge Business Rules — ⬜ Open</w:t>
      </w:r>
    </w:p>
    <w:p>
      <w:pPr>
        <w:pStyle w:val="FirstParagraph"/>
      </w:pPr>
      <w:r>
        <w:rPr>
          <w:b/>
          <w:bCs/>
        </w:rPr>
        <w:t xml:space="preserve">Assumption made:</w:t>
      </w:r>
      <w:r>
        <w:t xml:space="preserve"> </w:t>
      </w:r>
      <w:r>
        <w:t xml:space="preserve">Merges exist in the data model (</w:t>
      </w:r>
      <w:r>
        <w:rPr>
          <w:rStyle w:val="VerbatimChar"/>
        </w:rPr>
        <w:t xml:space="preserve">GenealogyRelationshipType</w:t>
      </w:r>
      <w:r>
        <w:t xml:space="preserve"> </w:t>
      </w:r>
      <w:r>
        <w:t xml:space="preserve">has MERGE) but the narrative skipped over them because the FRS explicitly says</w:t>
      </w:r>
      <w:r>
        <w:t xml:space="preserve"> </w:t>
      </w:r>
      <w:r>
        <w:t xml:space="preserve">“business rules TBD.”</w:t>
      </w:r>
    </w:p>
    <w:p>
      <w:pPr>
        <w:pStyle w:val="BodyText"/>
      </w:pPr>
      <w:r>
        <w:rPr>
          <w:b/>
          <w:bCs/>
        </w:rPr>
        <w:t xml:space="preserve">Decision (2026-04-09):</w:t>
      </w:r>
      <w:r>
        <w:t xml:space="preserve"> </w:t>
      </w:r>
      <w:r>
        <w:t xml:space="preserve">Configurable business rules recommended. Examples for MPP: same part number, same die, same cavity. Where these rules are defined (configuration screen vs. code) needs discussion with Ben.</w:t>
      </w:r>
      <w:r>
        <w:t xml:space="preserve"> </w:t>
      </w:r>
      <w:r>
        <w:rPr>
          <w:i/>
          <w:iCs/>
        </w:rPr>
        <w:t xml:space="preserve">Maps to OI-05.</w:t>
      </w:r>
    </w:p>
    <w:p>
      <w:pPr>
        <w:pStyle w:val="BodyText"/>
      </w:pPr>
      <w:r>
        <w:rPr>
          <w:b/>
          <w:bCs/>
        </w:rPr>
        <w:t xml:space="preserve">Addendum (2026-04-23, v0.8):</w:t>
      </w:r>
      <w:r>
        <w:t xml:space="preserve"> </w:t>
      </w:r>
      <w:r>
        <w:t xml:space="preserve">Post-merge LOT carries</w:t>
      </w:r>
      <w:r>
        <w:t xml:space="preserve"> </w:t>
      </w:r>
      <w:r>
        <w:rPr>
          <w:b/>
          <w:bCs/>
        </w:rPr>
        <w:t xml:space="preserve">NULL</w:t>
      </w:r>
      <w:r>
        <w:rPr>
          <w:b/>
          <w:bCs/>
        </w:rPr>
        <w:t xml:space="preserve"> </w:t>
      </w:r>
      <w:r>
        <w:rPr>
          <w:rStyle w:val="VerbatimChar"/>
          <w:b/>
          <w:bCs/>
        </w:rPr>
        <w:t xml:space="preserve">ToolId</w:t>
      </w:r>
      <w:r>
        <w:rPr>
          <w:b/>
          <w:bCs/>
        </w:rPr>
        <w:t xml:space="preserve"> </w:t>
      </w:r>
      <w:r>
        <w:rPr>
          <w:b/>
          <w:bCs/>
        </w:rPr>
        <w:t xml:space="preserve">and</w:t>
      </w:r>
      <w:r>
        <w:rPr>
          <w:b/>
          <w:bCs/>
        </w:rPr>
        <w:t xml:space="preserve"> </w:t>
      </w:r>
      <w:r>
        <w:rPr>
          <w:rStyle w:val="VerbatimChar"/>
          <w:b/>
          <w:bCs/>
        </w:rPr>
        <w:t xml:space="preserve">ToolCavityId</w:t>
      </w:r>
      <w:r>
        <w:t xml:space="preserve"> </w:t>
      </w:r>
      <w:r>
        <w:t xml:space="preserve">— blended-origin material can’t be denormalized into a single FK pair. Tool-specific trace reconstructed via</w:t>
      </w:r>
      <w:r>
        <w:t xml:space="preserve"> </w:t>
      </w:r>
      <w:r>
        <w:rPr>
          <w:rStyle w:val="VerbatimChar"/>
        </w:rPr>
        <w:t xml:space="preserve">LotGenealogy</w:t>
      </w:r>
      <w:r>
        <w:t xml:space="preserve"> </w:t>
      </w:r>
      <w:r>
        <w:t xml:space="preserve">walk of the pre-merge source LOTs (each retains its own Tool/Cavity FKs immutably). See FDS-05-030.</w:t>
      </w:r>
    </w:p>
    <w:bookmarkEnd w:id="101"/>
    <w:bookmarkStart w:id="102" w:name="Xaf546f60fbb4131369bf8f225358aae274b9155"/>
    <w:p>
      <w:pPr>
        <w:pStyle w:val="Heading3"/>
      </w:pPr>
      <w:r>
        <w:t xml:space="preserve">9. What</w:t>
      </w:r>
      <w:r>
        <w:t xml:space="preserve"> </w:t>
      </w:r>
      <w:r>
        <w:t xml:space="preserve">“Material Verification”</w:t>
      </w:r>
      <w:r>
        <w:t xml:space="preserve"> </w:t>
      </w:r>
      <w:r>
        <w:t xml:space="preserve">Means at Assembly — 🔶 Pending Customer Validation</w:t>
      </w:r>
    </w:p>
    <w:p>
      <w:pPr>
        <w:pStyle w:val="FirstParagraph"/>
      </w:pPr>
      <w:r>
        <w:rPr>
          <w:b/>
          <w:bCs/>
        </w:rPr>
        <w:t xml:space="preserve">Assumption made:</w:t>
      </w:r>
      <w:r>
        <w:t xml:space="preserve"> </w:t>
      </w:r>
      <w:r>
        <w:t xml:space="preserve">The operation template flag</w:t>
      </w:r>
      <w:r>
        <w:t xml:space="preserve"> </w:t>
      </w:r>
      <w:r>
        <w:rPr>
          <w:rStyle w:val="VerbatimChar"/>
        </w:rPr>
        <w:t xml:space="preserve">RequiresMaterialVerification</w:t>
      </w:r>
      <w:r>
        <w:t xml:space="preserve"> </w:t>
      </w:r>
      <w:r>
        <w:t xml:space="preserve">means the operator must scan the source LOT barcode before consuming it, proving the right material is being used.</w:t>
      </w:r>
    </w:p>
    <w:p>
      <w:pPr>
        <w:pStyle w:val="BodyText"/>
      </w:pPr>
      <w:r>
        <w:rPr>
          <w:b/>
          <w:bCs/>
        </w:rPr>
        <w:t xml:space="preserve">Decision (2026-04-09):</w:t>
      </w:r>
      <w:r>
        <w:t xml:space="preserve"> </w:t>
      </w:r>
      <w:r>
        <w:t xml:space="preserve">BOM-based check. The scanned source LOT’s part number must match a component in the active BOM version. Substitute parts are rejected. Needs MPP confirmation.</w:t>
      </w:r>
    </w:p>
    <w:bookmarkEnd w:id="102"/>
    <w:bookmarkStart w:id="103" w:name="X995e1e4ac5d76a23e79fd42d716037cc2767524"/>
    <w:p>
      <w:pPr>
        <w:pStyle w:val="Heading3"/>
      </w:pPr>
      <w:r>
        <w:t xml:space="preserve">10. Shift Boundary Handling — 🔶 Partially Resolved</w:t>
      </w:r>
    </w:p>
    <w:p>
      <w:pPr>
        <w:pStyle w:val="FirstParagraph"/>
      </w:pPr>
      <w:r>
        <w:rPr>
          <w:b/>
          <w:bCs/>
        </w:rPr>
        <w:t xml:space="preserve">Assumption made:</w:t>
      </w:r>
      <w:r>
        <w:t xml:space="preserve"> </w:t>
      </w:r>
      <w:r>
        <w:t xml:space="preserve">The narrative cleanly ended a shift and started another. Reality is messier.</w:t>
      </w:r>
    </w:p>
    <w:p>
      <w:pPr>
        <w:pStyle w:val="BodyText"/>
      </w:pPr>
      <w:r>
        <w:rPr>
          <w:b/>
          <w:bCs/>
        </w:rPr>
        <w:t xml:space="preserve">Decision (2026-04-09):</w:t>
      </w:r>
      <w:r>
        <w:t xml:space="preserve"> </w:t>
      </w:r>
      <w:r>
        <w:t xml:space="preserve">Flagged for discussion with customer. Open downtime events, partial containers, and in-progress LOTs at shift boundary all need MPP input.</w:t>
      </w:r>
      <w:r>
        <w:t xml:space="preserve"> </w:t>
      </w:r>
      <w:r>
        <w:rPr>
          <w:i/>
          <w:iCs/>
        </w:rPr>
        <w:t xml:space="preserve">Maps to OI-03.</w:t>
      </w:r>
    </w:p>
    <w:p>
      <w:pPr>
        <w:pStyle w:val="BodyText"/>
      </w:pPr>
      <w:r>
        <w:rPr>
          <w:b/>
          <w:bCs/>
        </w:rPr>
        <w:t xml:space="preserve">Addendum (2026-04-29, v0.9):</w:t>
      </w:r>
      <w:r>
        <w:t xml:space="preserve"> </w:t>
      </w:r>
      <w:r>
        <w:t xml:space="preserve">End-of-shift time entry is now specified (FDS-09-013) — single button press ~15 min before shift end; dedicated terminals auto-submit with schedule defaults; shared terminals prompt initials + break selection. System writes</w:t>
      </w:r>
      <w:r>
        <w:t xml:space="preserve"> </w:t>
      </w:r>
      <w:r>
        <w:rPr>
          <w:rStyle w:val="VerbatimChar"/>
        </w:rPr>
        <w:t xml:space="preserve">DowntimeEvent</w:t>
      </w:r>
      <w:r>
        <w:t xml:space="preserve"> </w:t>
      </w:r>
      <w:r>
        <w:t xml:space="preserve">rows for each break automatically. Shift-end handover summary screen specified (FDS-09-015) — outgoing operator reviews in-flight LOTs / open events / open containers, acknowledges, and the incoming operator’s initials prompt fires. Open events and LOTs are NOT auto-closed at shift boundary. Remaining open question is the full treatment of multi-shift downtime events that span the boundary (FDS-09-010: associated to the shift they started in, not split).</w:t>
      </w:r>
    </w:p>
    <w:bookmarkEnd w:id="103"/>
    <w:bookmarkStart w:id="104" w:name="paper-to-screen-transition-open"/>
    <w:p>
      <w:pPr>
        <w:pStyle w:val="Heading3"/>
      </w:pPr>
      <w:r>
        <w:t xml:space="preserve">11. Paper to Screen Transition — ⬜ Open</w:t>
      </w:r>
    </w:p>
    <w:p>
      <w:pPr>
        <w:pStyle w:val="FirstParagraph"/>
      </w:pPr>
      <w:r>
        <w:rPr>
          <w:b/>
          <w:bCs/>
        </w:rPr>
        <w:t xml:space="preserve">Assumption made:</w:t>
      </w:r>
      <w:r>
        <w:t xml:space="preserve"> </w:t>
      </w:r>
      <w:r>
        <w:t xml:space="preserve">The narrative assumed clean digital workflows where operators enter data in real time at the machine.</w:t>
      </w:r>
    </w:p>
    <w:p>
      <w:pPr>
        <w:pStyle w:val="BodyText"/>
      </w:pPr>
      <w:r>
        <w:rPr>
          <w:b/>
          <w:bCs/>
        </w:rPr>
        <w:t xml:space="preserve">Decision (2026-04-09):</w:t>
      </w:r>
      <w:r>
        <w:t xml:space="preserve"> </w:t>
      </w:r>
      <w:r>
        <w:t xml:space="preserve">Flagged for discussion with Ben. Whether Perspective screens replace paper at point-of-action or some stations retain paper-first workflow is a process change that requires MPP commitment.</w:t>
      </w:r>
    </w:p>
    <w:bookmarkEnd w:id="104"/>
    <w:bookmarkStart w:id="105" w:name="Xe804a3ad95a44227a72a1c70b67b2009dab422f"/>
    <w:p>
      <w:pPr>
        <w:pStyle w:val="Heading3"/>
      </w:pPr>
      <w:r>
        <w:t xml:space="preserve">12. Terminal-to-Machine Mapping — 🔶 Pending Customer Validation</w:t>
      </w:r>
    </w:p>
    <w:p>
      <w:pPr>
        <w:pStyle w:val="FirstParagraph"/>
      </w:pPr>
      <w:r>
        <w:rPr>
          <w:b/>
          <w:bCs/>
        </w:rPr>
        <w:t xml:space="preserve">Assumption made:</w:t>
      </w:r>
      <w:r>
        <w:t xml:space="preserve"> </w:t>
      </w:r>
      <w:r>
        <w:t xml:space="preserve">Each terminal is at a fixed location (one terminal per machine, or per small group of machines).</w:t>
      </w:r>
    </w:p>
    <w:p>
      <w:pPr>
        <w:pStyle w:val="BodyText"/>
      </w:pPr>
      <w:r>
        <w:rPr>
          <w:b/>
          <w:bCs/>
        </w:rPr>
        <w:t xml:space="preserve">Decision (2026-04-09):</w:t>
      </w:r>
      <w:r>
        <w:t xml:space="preserve"> </w:t>
      </w:r>
      <w:r>
        <w:t xml:space="preserve">Terminals are shared (fewer terminals than machines). Operator scans a machine barcode/QR code as the first step of any interaction. Terminals are now a location type in the plant hierarchy (</w:t>
      </w:r>
      <w:r>
        <w:rPr>
          <w:rStyle w:val="VerbatimChar"/>
        </w:rPr>
        <w:t xml:space="preserve">LocationType</w:t>
      </w:r>
      <w:r>
        <w:t xml:space="preserve"> </w:t>
      </w:r>
      <w:r>
        <w:t xml:space="preserve">= Terminal) with configuration stored as</w:t>
      </w:r>
      <w:r>
        <w:t xml:space="preserve"> </w:t>
      </w:r>
      <w:r>
        <w:rPr>
          <w:rStyle w:val="VerbatimChar"/>
        </w:rPr>
        <w:t xml:space="preserve">LocationAttribute</w:t>
      </w:r>
      <w:r>
        <w:t xml:space="preserve"> </w:t>
      </w:r>
      <w:r>
        <w:t xml:space="preserve">entries.</w:t>
      </w:r>
      <w:r>
        <w:t xml:space="preserve"> </w:t>
      </w:r>
      <w:r>
        <w:rPr>
          <w:i/>
          <w:iCs/>
        </w:rPr>
        <w:t xml:space="preserve">Maps to OI-08.</w:t>
      </w:r>
    </w:p>
    <w:bookmarkEnd w:id="105"/>
    <w:bookmarkStart w:id="106" w:name="X8e24df2bda92e5ad3fb585d738c7c6e20f422e8"/>
    <w:p>
      <w:pPr>
        <w:pStyle w:val="Heading3"/>
      </w:pPr>
      <w:r>
        <w:t xml:space="preserve">13. Weight vs. Count-Based Container Closure — ⬜ Open</w:t>
      </w:r>
    </w:p>
    <w:p>
      <w:pPr>
        <w:pStyle w:val="FirstParagraph"/>
      </w:pPr>
      <w:r>
        <w:rPr>
          <w:b/>
          <w:bCs/>
        </w:rPr>
        <w:t xml:space="preserve">Assumption made:</w:t>
      </w:r>
      <w:r>
        <w:t xml:space="preserve"> </w:t>
      </w:r>
      <w:r>
        <w:t xml:space="preserve">The narrative describes container closure by part count (48 parts = 4 trays x 12 parts). But OPC tags show weight-based closure on some lines —</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scales (per Appendix C).</w:t>
      </w:r>
    </w:p>
    <w:p>
      <w:pPr>
        <w:pStyle w:val="BodyText"/>
      </w:pPr>
      <w:r>
        <w:rPr>
          <w:b/>
          <w:bCs/>
        </w:rPr>
        <w:t xml:space="preserve">Decision (2026-04-09):</w:t>
      </w:r>
      <w:r>
        <w:t xml:space="preserve"> </w:t>
      </w:r>
      <w:r>
        <w:t xml:space="preserve">Flagged for discussion with Ben. Non-serialized lines should receive scale feedback (per OI-02), but the full dual-closure logic (count vs. weight, per-product config) needs design review.</w:t>
      </w:r>
      <w:r>
        <w:t xml:space="preserve"> </w:t>
      </w:r>
      <w:r>
        <w:rPr>
          <w:i/>
          <w:iCs/>
        </w:rPr>
        <w:t xml:space="preserve">Maps to OI-02.</w:t>
      </w:r>
    </w:p>
    <w:bookmarkEnd w:id="106"/>
    <w:bookmarkStart w:id="107" w:name="X75c3ffd8ebfd8ddc104a3e286b8172282a721ca"/>
    <w:p>
      <w:pPr>
        <w:pStyle w:val="Heading3"/>
      </w:pPr>
      <w:r>
        <w:t xml:space="preserve">14. Warm-Up Shots and Setup Tracking — 🔶 Pending Internal Review</w:t>
      </w:r>
    </w:p>
    <w:p>
      <w:pPr>
        <w:pStyle w:val="FirstParagraph"/>
      </w:pPr>
      <w:r>
        <w:rPr>
          <w:b/>
          <w:bCs/>
        </w:rPr>
        <w:t xml:space="preserve">Assumption made:</w:t>
      </w:r>
      <w:r>
        <w:t xml:space="preserve"> </w:t>
      </w:r>
      <w:r>
        <w:t xml:space="preserve">The narrative now mentions warm-up shots at Die Cast but doesn’t fully resolve how they flow through the data model.</w:t>
      </w:r>
    </w:p>
    <w:p>
      <w:pPr>
        <w:pStyle w:val="BodyText"/>
      </w:pPr>
      <w:r>
        <w:rPr>
          <w:b/>
          <w:bCs/>
        </w:rPr>
        <w:t xml:space="preserve">Decision (2026-04-09):</w:t>
      </w:r>
      <w:r>
        <w:t xml:space="preserve"> </w:t>
      </w:r>
      <w:r>
        <w:t xml:space="preserve">Warm-up shots tracked as a downtime sub-category (</w:t>
      </w:r>
      <w:r>
        <w:rPr>
          <w:rStyle w:val="VerbatimChar"/>
        </w:rPr>
        <w:t xml:space="preserve">ReasonType</w:t>
      </w:r>
      <w:r>
        <w:t xml:space="preserve"> </w:t>
      </w:r>
      <w:r>
        <w:t xml:space="preserve">= Setup). The warm-up shot count is stored as a</w:t>
      </w:r>
      <w:r>
        <w:t xml:space="preserve"> </w:t>
      </w:r>
      <w:r>
        <w:rPr>
          <w:rStyle w:val="VerbatimChar"/>
        </w:rPr>
        <w:t xml:space="preserve">ShotCount</w:t>
      </w:r>
      <w:r>
        <w:t xml:space="preserve"> </w:t>
      </w:r>
      <w:r>
        <w:t xml:space="preserve">attribute on the</w:t>
      </w:r>
      <w:r>
        <w:t xml:space="preserve"> </w:t>
      </w:r>
      <w:r>
        <w:rPr>
          <w:rStyle w:val="VerbatimChar"/>
        </w:rPr>
        <w:t xml:space="preserve">DowntimeEvent</w:t>
      </w:r>
      <w:r>
        <w:t xml:space="preserve"> </w:t>
      </w:r>
      <w:r>
        <w:t xml:space="preserve">record. Good/bad production shot counts remain on</w:t>
      </w:r>
      <w:r>
        <w:t xml:space="preserve"> </w:t>
      </w:r>
      <w:r>
        <w:rPr>
          <w:rStyle w:val="VerbatimChar"/>
        </w:rPr>
        <w:t xml:space="preserve">ProductionEvent</w:t>
      </w:r>
      <w:r>
        <w:t xml:space="preserve">. Needs review with Ben.</w:t>
      </w:r>
    </w:p>
    <w:bookmarkEnd w:id="107"/>
    <w:bookmarkStart w:id="108" w:name="multi-part-number-lines-resolved"/>
    <w:p>
      <w:pPr>
        <w:pStyle w:val="Heading3"/>
      </w:pPr>
      <w:r>
        <w:t xml:space="preserve">15. Multi-Part-Number Lines — ✅ Resolved</w:t>
      </w:r>
    </w:p>
    <w:p>
      <w:pPr>
        <w:pStyle w:val="FirstParagraph"/>
      </w:pPr>
      <w:r>
        <w:rPr>
          <w:b/>
          <w:bCs/>
        </w:rPr>
        <w:t xml:space="preserve">Assumption made:</w:t>
      </w:r>
      <w:r>
        <w:t xml:space="preserve"> </w:t>
      </w:r>
      <w:r>
        <w:t xml:space="preserve">The narrative assumes 1:1 mapping of part number to production run. But MS1FM production sheets show multiple part numbers on single lines — e.g., MS1FM-1028 runs 59B, 5PA, and 6NA Fuel Pump variants on one inspection line.</w:t>
      </w:r>
    </w:p>
    <w:p>
      <w:pPr>
        <w:pStyle w:val="BodyText"/>
      </w:pPr>
      <w:r>
        <w:rPr>
          <w:b/>
          <w:bCs/>
        </w:rPr>
        <w:t xml:space="preserve">Decision (2026-04-09):</w:t>
      </w:r>
      <w:r>
        <w:t xml:space="preserve"> </w:t>
      </w:r>
      <w:r>
        <w:t xml:space="preserve">Lines run one part number at a time, not concurrently. The operator selects the active LOT for consumption, which determines the part number. Changeover between part numbers is an operator action. No mixed-part containers.</w:t>
      </w:r>
      <w:r>
        <w:t xml:space="preserve"> </w:t>
      </w:r>
      <w:r>
        <w:rPr>
          <w:i/>
          <w:iCs/>
        </w:rPr>
        <w:t xml:space="preserve">Maps to OI-09.</w:t>
      </w:r>
    </w:p>
    <w:bookmarkEnd w:id="108"/>
    <w:bookmarkStart w:id="109" w:name="X85424eed8302993ab5871a0056003e0a784b765"/>
    <w:p>
      <w:pPr>
        <w:pStyle w:val="Heading3"/>
      </w:pPr>
      <w:r>
        <w:t xml:space="preserve">16. Hardware Interlock Bypass Mode — 🔶 Pending Internal Review</w:t>
      </w:r>
    </w:p>
    <w:p>
      <w:pPr>
        <w:pStyle w:val="FirstParagraph"/>
      </w:pPr>
      <w:r>
        <w:rPr>
          <w:b/>
          <w:bCs/>
        </w:rPr>
        <w:t xml:space="preserve">Assumption made:</w:t>
      </w:r>
      <w:r>
        <w:t xml:space="preserve"> </w:t>
      </w:r>
      <w:r>
        <w:t xml:space="preserve">The narrative now mentions</w:t>
      </w:r>
      <w:r>
        <w:t xml:space="preserve"> </w:t>
      </w:r>
      <w:r>
        <w:rPr>
          <w:rStyle w:val="VerbatimChar"/>
        </w:rPr>
        <w:t xml:space="preserve">HardwareInterlockEnable=false</w:t>
      </w:r>
      <w:r>
        <w:t xml:space="preserve"> </w:t>
      </w:r>
      <w:r>
        <w:t xml:space="preserve">and</w:t>
      </w:r>
      <w:r>
        <w:t xml:space="preserve"> </w:t>
      </w:r>
      <w:r>
        <w:rPr>
          <w:rStyle w:val="VerbatimChar"/>
        </w:rPr>
        <w:t xml:space="preserve">PartSN="NoRead"</w:t>
      </w:r>
      <w:r>
        <w:t xml:space="preserve">. But the full implications aren’t resolved.</w:t>
      </w:r>
    </w:p>
    <w:p>
      <w:pPr>
        <w:pStyle w:val="BodyText"/>
      </w:pPr>
      <w:r>
        <w:rPr>
          <w:b/>
          <w:bCs/>
        </w:rPr>
        <w:t xml:space="preserve">Decision (2026-04-09):</w:t>
      </w:r>
      <w:r>
        <w:t xml:space="preserve"> </w:t>
      </w:r>
      <w:r>
        <w:t xml:space="preserve">A</w:t>
      </w:r>
      <w:r>
        <w:t xml:space="preserve"> </w:t>
      </w:r>
      <w:r>
        <w:rPr>
          <w:rStyle w:val="VerbatimChar"/>
        </w:rPr>
        <w:t xml:space="preserve">HardwareInterlockBypassed</w:t>
      </w:r>
      <w:r>
        <w:t xml:space="preserve"> </w:t>
      </w:r>
      <w:r>
        <w:t xml:space="preserve">flag should be added to the data model to record when interlock was disabled and serial validation was skipped. Two options under consideration: (a) on</w:t>
      </w:r>
      <w:r>
        <w:t xml:space="preserve"> </w:t>
      </w:r>
      <w:r>
        <w:rPr>
          <w:rStyle w:val="VerbatimChar"/>
        </w:rPr>
        <w:t xml:space="preserve">ContainerSerial</w:t>
      </w:r>
      <w:r>
        <w:t xml:space="preserve">, (b) on</w:t>
      </w:r>
      <w:r>
        <w:t xml:space="preserve"> </w:t>
      </w:r>
      <w:r>
        <w:rPr>
          <w:rStyle w:val="VerbatimChar"/>
        </w:rPr>
        <w:t xml:space="preserve">ProductionEvent</w:t>
      </w:r>
      <w:r>
        <w:t xml:space="preserve">. The circumstances under which MPP bypasses the interlock are not yet understood. Both options flagged for discussion with Ben.</w:t>
      </w:r>
    </w:p>
    <w:bookmarkEnd w:id="109"/>
    <w:bookmarkStart w:id="110" w:name="X7711411ed0c744b11ef8373c23e3eb986c2f7d7"/>
    <w:p>
      <w:pPr>
        <w:pStyle w:val="Heading3"/>
      </w:pPr>
      <w:r>
        <w:t xml:space="preserve">17. Vision System vs. Barcode Confirmation — 🔶 Pending Internal Review</w:t>
      </w:r>
    </w:p>
    <w:p>
      <w:pPr>
        <w:pStyle w:val="FirstParagraph"/>
      </w:pPr>
      <w:r>
        <w:rPr>
          <w:b/>
          <w:bCs/>
        </w:rPr>
        <w:t xml:space="preserve">Assumption made:</w:t>
      </w:r>
      <w:r>
        <w:t xml:space="preserve"> </w:t>
      </w:r>
      <w:r>
        <w:t xml:space="preserve">The narrative assumes operators confirm part numbers by barcode scan. But OPC tags show</w:t>
      </w:r>
      <w:r>
        <w:t xml:space="preserve"> </w:t>
      </w:r>
      <w:r>
        <w:rPr>
          <w:rStyle w:val="VerbatimChar"/>
        </w:rPr>
        <w:t xml:space="preserve">VisionPartNumber</w:t>
      </w:r>
      <w:r>
        <w:t xml:space="preserve"> </w:t>
      </w:r>
      <w:r>
        <w:t xml:space="preserve">on some MicroLogix PLCs (6B2, 6C2/6MA Oil Pan lines per Appendix C).</w:t>
      </w:r>
    </w:p>
    <w:p>
      <w:pPr>
        <w:pStyle w:val="BodyText"/>
      </w:pPr>
      <w:r>
        <w:rPr>
          <w:b/>
          <w:bCs/>
        </w:rPr>
        <w:t xml:space="preserve">Decision (2026-04-09):</w:t>
      </w:r>
      <w:r>
        <w:t xml:space="preserve"> </w:t>
      </w:r>
      <w:r>
        <w:t xml:space="preserve">Vision conflict resolution: auto-hold LOT + supervisor override popup (per OI-04). Flagged for discussion with Ben.</w:t>
      </w:r>
      <w:r>
        <w:t xml:space="preserve"> </w:t>
      </w:r>
      <w:r>
        <w:rPr>
          <w:i/>
          <w:iCs/>
        </w:rPr>
        <w:t xml:space="preserve">Maps to OI-04.</w:t>
      </w:r>
    </w:p>
    <w:bookmarkEnd w:id="110"/>
    <w:bookmarkStart w:id="111" w:name="Xab206fe5b2e47cb27c7a3d7b41cdcb57343f541"/>
    <w:p>
      <w:pPr>
        <w:pStyle w:val="Heading3"/>
      </w:pPr>
      <w:r>
        <w:t xml:space="preserve">18. Event Processing: Synchronous vs. Asynchronous — ⬜ Open</w:t>
      </w:r>
    </w:p>
    <w:p>
      <w:pPr>
        <w:pStyle w:val="FirstParagraph"/>
      </w:pPr>
      <w:r>
        <w:rPr>
          <w:b/>
          <w:bCs/>
        </w:rPr>
        <w:t xml:space="preserve">Assumption made:</w:t>
      </w:r>
      <w:r>
        <w:t xml:space="preserve"> </w:t>
      </w:r>
      <w:r>
        <w:t xml:space="preserve">The narrative describes immediate, synchronous calls — operator scans LTT, LOT is created, label prints instantly, AIM is called as soon as a container closes.</w:t>
      </w:r>
    </w:p>
    <w:p>
      <w:pPr>
        <w:pStyle w:val="BodyText"/>
      </w:pPr>
      <w:r>
        <w:rPr>
          <w:b/>
          <w:bCs/>
        </w:rPr>
        <w:t xml:space="preserve">Decision (2026-04-09):</w:t>
      </w:r>
      <w:r>
        <w:t xml:space="preserve"> </w:t>
      </w:r>
      <w:r>
        <w:t xml:space="preserve">The FRS doesn’t actually require an outbox pattern — just logging of all sent and received content (FRS 3.17.4). External calls are made directly from the Ignition application layer with results logged to</w:t>
      </w:r>
      <w:r>
        <w:t xml:space="preserve"> </w:t>
      </w:r>
      <w:r>
        <w:rPr>
          <w:rStyle w:val="VerbatimChar"/>
        </w:rPr>
        <w:t xml:space="preserve">Audit.InterfaceLog</w:t>
      </w:r>
      <w:r>
        <w:t xml:space="preserve">. However, latency implications at label-printing touchpoints need validation with Ben.</w:t>
      </w:r>
      <w:r>
        <w:t xml:space="preserve"> </w:t>
      </w:r>
      <w:r>
        <w:rPr>
          <w:i/>
          <w:iCs/>
        </w:rPr>
        <w:t xml:space="preserve">Maps to OI-01.</w:t>
      </w:r>
    </w:p>
    <w:bookmarkEnd w:id="111"/>
    <w:bookmarkStart w:id="112" w:name="Xc0ae84e509ec30bacfcc0a2e20bcc2db236d541"/>
    <w:p>
      <w:pPr>
        <w:pStyle w:val="Heading3"/>
      </w:pPr>
      <w:r>
        <w:t xml:space="preserve">19. Productivity DB Replacement and Change Management — ⬜ Open</w:t>
      </w:r>
    </w:p>
    <w:p>
      <w:pPr>
        <w:pStyle w:val="FirstParagraph"/>
      </w:pPr>
      <w:r>
        <w:rPr>
          <w:b/>
          <w:bCs/>
        </w:rPr>
        <w:t xml:space="preserve">Assumption made:</w:t>
      </w:r>
      <w:r>
        <w:t xml:space="preserve"> </w:t>
      </w:r>
      <w:r>
        <w:t xml:space="preserve">The narrative assumes real-time data entry at the machine replaces the legacy paper-then-clerk workflow.</w:t>
      </w:r>
    </w:p>
    <w:p>
      <w:pPr>
        <w:pStyle w:val="BodyText"/>
      </w:pPr>
      <w:r>
        <w:rPr>
          <w:b/>
          <w:bCs/>
        </w:rPr>
        <w:t xml:space="preserve">Decision (2026-04-09):</w:t>
      </w:r>
      <w:r>
        <w:t xml:space="preserve"> </w:t>
      </w:r>
      <w:r>
        <w:t xml:space="preserve">Flagged for discussion with customer. The transition from paper-then-clerk to real-time operator entry is a process change, not just technology. MPP must confirm commitment at all stations. Four PD reports (Die Shot, Rejects, Downtime, Production) must be replicated in MES reporting.</w:t>
      </w:r>
    </w:p>
    <w:p>
      <w:r>
        <w:pict>
          <v:rect style="width:0;height:1.5pt" o:hralign="center" o:hrstd="t" o:hr="t"/>
        </w:pict>
      </w:r>
    </w:p>
    <w:bookmarkEnd w:id="112"/>
    <w:bookmarkEnd w:id="113"/>
    <w:bookmarkStart w:id="114" w:name="impact-matrix"/>
    <w:p>
      <w:pPr>
        <w:pStyle w:val="Heading2"/>
      </w:pPr>
      <w:r>
        <w:t xml:space="preserve">Impact Matrix</w:t>
      </w:r>
    </w:p>
    <w:p>
      <w:pPr>
        <w:pStyle w:val="FirstParagraph"/>
      </w:pPr>
      <w:r>
        <w:t xml:space="preserve">The assumptions above don’t just affect documentation — they gate screen design. Here’s how they cluster: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Decision Cluster</w:t>
            </w:r>
          </w:p>
        </w:tc>
        <w:tc>
          <w:tcPr>
            <w:shd w:val="clear" w:color="auto" w:fill="1F4E79"/>
          </w:tcPr>
          <w:tcPr/>
          <w:p>
            <w:pPr>
              <w:pStyle w:val="Compact"/>
            </w:pPr>
            <w:r>
              <w:rPr>
                <w:b/>
                <w:color w:val="FFFFFF"/>
              </w:rPr>
              <w:t xml:space="preserve">Blocks</w:t>
            </w:r>
          </w:p>
        </w:tc>
        <w:tc>
          <w:tcPr>
            <w:shd w:val="clear" w:color="auto" w:fill="1F4E79"/>
          </w:tcPr>
          <w:tcPr/>
          <w:p>
            <w:pPr>
              <w:pStyle w:val="Compact"/>
            </w:pPr>
            <w:r>
              <w:rPr>
                <w:b/>
                <w:color w:val="FFFFFF"/>
              </w:rPr>
              <w:t xml:space="preserve">Affected Screens</w:t>
            </w:r>
          </w:p>
        </w:tc>
      </w:tr>
      <w:tr>
        <w:tc>
          <w:tcPr/>
          <w:p>
            <w:pPr>
              <w:pStyle w:val="Compact"/>
            </w:pPr>
            <w:r>
              <w:rPr>
                <w:b/>
                <w:bCs/>
              </w:rPr>
              <w:t xml:space="preserve">Auth &amp; session model</w:t>
            </w:r>
            <w:r>
              <w:t xml:space="preserve"> </w:t>
            </w:r>
            <w:r>
              <w:t xml:space="preserve">(#1)</w:t>
            </w:r>
          </w:p>
        </w:tc>
        <w:tc>
          <w:tcPr/>
          <w:p>
            <w:pPr>
              <w:pStyle w:val="Compact"/>
            </w:pPr>
            <w:r>
              <w:t xml:space="preserve">Every screen</w:t>
            </w:r>
          </w:p>
        </w:tc>
        <w:tc>
          <w:tcPr/>
          <w:p>
            <w:pPr>
              <w:pStyle w:val="Compact"/>
            </w:pPr>
            <w:r>
              <w:t xml:space="preserve">Login, all operator interactions</w:t>
            </w:r>
          </w:p>
        </w:tc>
      </w:tr>
      <w:tr>
        <w:tc>
          <w:tcPr>
            <w:shd w:val="clear" w:color="auto" w:fill="F2F2F2"/>
          </w:tcPr>
          <w:tcPr/>
          <w:p>
            <w:pPr>
              <w:pStyle w:val="Compact"/>
            </w:pPr>
            <w:r>
              <w:rPr>
                <w:b/>
                <w:bCs/>
              </w:rPr>
              <w:t xml:space="preserve">LOT creation flow</w:t>
            </w:r>
            <w:r>
              <w:t xml:space="preserve"> </w:t>
            </w:r>
            <w:r>
              <w:t xml:space="preserve">(#2, #3, #14)</w:t>
            </w:r>
          </w:p>
        </w:tc>
        <w:tc>
          <w:tcPr>
            <w:shd w:val="clear" w:color="auto" w:fill="F2F2F2"/>
          </w:tcPr>
          <w:tcPr/>
          <w:p>
            <w:pPr>
              <w:pStyle w:val="Compact"/>
            </w:pPr>
            <w:r>
              <w:t xml:space="preserve">Die Cast and Machining screens</w:t>
            </w:r>
          </w:p>
        </w:tc>
        <w:tc>
          <w:tcPr>
            <w:shd w:val="clear" w:color="auto" w:fill="F2F2F2"/>
          </w:tcPr>
          <w:tcPr/>
          <w:p>
            <w:pPr>
              <w:pStyle w:val="Compact"/>
            </w:pPr>
            <w:r>
              <w:t xml:space="preserve">LOT creation, sub-LOT split, warm-up shot entry</w:t>
            </w:r>
          </w:p>
        </w:tc>
      </w:tr>
      <w:tr>
        <w:tc>
          <w:tcPr/>
          <w:p>
            <w:pPr>
              <w:pStyle w:val="Compact"/>
            </w:pPr>
            <w:r>
              <w:rPr>
                <w:b/>
                <w:bCs/>
              </w:rPr>
              <w:t xml:space="preserve">Container lifecycle</w:t>
            </w:r>
            <w:r>
              <w:t xml:space="preserve"> </w:t>
            </w:r>
            <w:r>
              <w:t xml:space="preserve">(#4, #5, #13, #15)</w:t>
            </w:r>
          </w:p>
        </w:tc>
        <w:tc>
          <w:tcPr/>
          <w:p>
            <w:pPr>
              <w:pStyle w:val="Compact"/>
            </w:pPr>
            <w:r>
              <w:t xml:space="preserve">Assembly and Shipping screens</w:t>
            </w:r>
          </w:p>
        </w:tc>
        <w:tc>
          <w:tcPr/>
          <w:p>
            <w:pPr>
              <w:pStyle w:val="Compact"/>
            </w:pPr>
            <w:r>
              <w:t xml:space="preserve">Container management, Sort Cage, weight vs. count closure, multi-part lines</w:t>
            </w:r>
          </w:p>
        </w:tc>
      </w:tr>
      <w:tr>
        <w:tc>
          <w:tcPr>
            <w:shd w:val="clear" w:color="auto" w:fill="F2F2F2"/>
          </w:tcPr>
          <w:tcPr/>
          <w:p>
            <w:pPr>
              <w:pStyle w:val="Compact"/>
            </w:pPr>
            <w:r>
              <w:rPr>
                <w:b/>
                <w:bCs/>
              </w:rPr>
              <w:t xml:space="preserve">Work order model</w:t>
            </w:r>
            <w:r>
              <w:t xml:space="preserve"> </w:t>
            </w:r>
            <w:r>
              <w:t xml:space="preserve">(#7)</w:t>
            </w:r>
          </w:p>
        </w:tc>
        <w:tc>
          <w:tcPr>
            <w:shd w:val="clear" w:color="auto" w:fill="F2F2F2"/>
          </w:tcPr>
          <w:tcPr/>
          <w:p>
            <w:pPr>
              <w:pStyle w:val="Compact"/>
            </w:pPr>
            <w:r>
              <w:t xml:space="preserve">Production tracking architecture</w:t>
            </w:r>
          </w:p>
        </w:tc>
        <w:tc>
          <w:tcPr>
            <w:shd w:val="clear" w:color="auto" w:fill="F2F2F2"/>
          </w:tcPr>
          <w:tcPr/>
          <w:p>
            <w:pPr>
              <w:pStyle w:val="Compact"/>
            </w:pPr>
            <w:r>
              <w:t xml:space="preserve">Whether WO screens exist at all</w:t>
            </w:r>
          </w:p>
        </w:tc>
      </w:tr>
      <w:tr>
        <w:tc>
          <w:tcPr/>
          <w:p>
            <w:pPr>
              <w:pStyle w:val="Compact"/>
            </w:pPr>
            <w:r>
              <w:rPr>
                <w:b/>
                <w:bCs/>
              </w:rPr>
              <w:t xml:space="preserve">Merge rules</w:t>
            </w:r>
            <w:r>
              <w:t xml:space="preserve"> </w:t>
            </w:r>
            <w:r>
              <w:t xml:space="preserve">(#8)</w:t>
            </w:r>
          </w:p>
        </w:tc>
        <w:tc>
          <w:tcPr/>
          <w:p>
            <w:pPr>
              <w:pStyle w:val="Compact"/>
            </w:pPr>
            <w:r>
              <w:t xml:space="preserve">LOT management screens</w:t>
            </w:r>
          </w:p>
        </w:tc>
        <w:tc>
          <w:tcPr/>
          <w:p>
            <w:pPr>
              <w:pStyle w:val="Compact"/>
            </w:pPr>
            <w:r>
              <w:t xml:space="preserve">Merge workflow (if it exists in MVP)</w:t>
            </w:r>
          </w:p>
        </w:tc>
      </w:tr>
      <w:tr>
        <w:tc>
          <w:tcPr>
            <w:shd w:val="clear" w:color="auto" w:fill="F2F2F2"/>
          </w:tcPr>
          <w:tcPr/>
          <w:p>
            <w:pPr>
              <w:pStyle w:val="Compact"/>
            </w:pPr>
            <w:r>
              <w:rPr>
                <w:b/>
                <w:bCs/>
              </w:rPr>
              <w:t xml:space="preserve">Material verification &amp; interlocks</w:t>
            </w:r>
            <w:r>
              <w:t xml:space="preserve"> </w:t>
            </w:r>
            <w:r>
              <w:t xml:space="preserve">(#9, #16, #17)</w:t>
            </w:r>
          </w:p>
        </w:tc>
        <w:tc>
          <w:tcPr>
            <w:shd w:val="clear" w:color="auto" w:fill="F2F2F2"/>
          </w:tcPr>
          <w:tcPr/>
          <w:p>
            <w:pPr>
              <w:pStyle w:val="Compact"/>
            </w:pPr>
            <w:r>
              <w:t xml:space="preserve">Assembly screens</w:t>
            </w:r>
          </w:p>
        </w:tc>
        <w:tc>
          <w:tcPr>
            <w:shd w:val="clear" w:color="auto" w:fill="F2F2F2"/>
          </w:tcPr>
          <w:tcPr/>
          <w:p>
            <w:pPr>
              <w:pStyle w:val="Compact"/>
            </w:pPr>
            <w:r>
              <w:t xml:space="preserve">Consumption recording, interlock behavior, hardware bypass, vision confirmation</w:t>
            </w:r>
          </w:p>
        </w:tc>
      </w:tr>
      <w:tr>
        <w:tc>
          <w:tcPr/>
          <w:p>
            <w:pPr>
              <w:pStyle w:val="Compact"/>
            </w:pPr>
            <w:r>
              <w:rPr>
                <w:b/>
                <w:bCs/>
              </w:rPr>
              <w:t xml:space="preserve">Shift boundaries</w:t>
            </w:r>
            <w:r>
              <w:t xml:space="preserve"> </w:t>
            </w:r>
            <w:r>
              <w:t xml:space="preserve">(#10)</w:t>
            </w:r>
          </w:p>
        </w:tc>
        <w:tc>
          <w:tcPr/>
          <w:p>
            <w:pPr>
              <w:pStyle w:val="Compact"/>
            </w:pPr>
            <w:r>
              <w:t xml:space="preserve">All production screens</w:t>
            </w:r>
          </w:p>
        </w:tc>
        <w:tc>
          <w:tcPr/>
          <w:p>
            <w:pPr>
              <w:pStyle w:val="Compact"/>
            </w:pPr>
            <w:r>
              <w:t xml:space="preserve">Handoff workflows, downtime continuity</w:t>
            </w:r>
          </w:p>
        </w:tc>
      </w:tr>
      <w:tr>
        <w:tc>
          <w:tcPr>
            <w:shd w:val="clear" w:color="auto" w:fill="F2F2F2"/>
          </w:tcPr>
          <w:tcPr/>
          <w:p>
            <w:pPr>
              <w:pStyle w:val="Compact"/>
            </w:pPr>
            <w:r>
              <w:rPr>
                <w:b/>
                <w:bCs/>
              </w:rPr>
              <w:t xml:space="preserve">Paper vs. real-time</w:t>
            </w:r>
            <w:r>
              <w:t xml:space="preserve"> </w:t>
            </w:r>
            <w:r>
              <w:t xml:space="preserve">(#11, #12, #19)</w:t>
            </w:r>
          </w:p>
        </w:tc>
        <w:tc>
          <w:tcPr>
            <w:shd w:val="clear" w:color="auto" w:fill="F2F2F2"/>
          </w:tcPr>
          <w:tcPr/>
          <w:p>
            <w:pPr>
              <w:pStyle w:val="Compact"/>
            </w:pPr>
            <w:r>
              <w:t xml:space="preserve">All operator screens</w:t>
            </w:r>
          </w:p>
        </w:tc>
        <w:tc>
          <w:tcPr>
            <w:shd w:val="clear" w:color="auto" w:fill="F2F2F2"/>
          </w:tcPr>
          <w:tcPr/>
          <w:p>
            <w:pPr>
              <w:pStyle w:val="Compact"/>
            </w:pPr>
            <w:r>
              <w:t xml:space="preserve">UX patterns, screen complexity, terminal count, PD replacement</w:t>
            </w:r>
          </w:p>
        </w:tc>
      </w:tr>
      <w:tr>
        <w:tc>
          <w:tcPr/>
          <w:p>
            <w:pPr>
              <w:pStyle w:val="Compact"/>
            </w:pPr>
            <w:r>
              <w:rPr>
                <w:b/>
                <w:bCs/>
              </w:rPr>
              <w:t xml:space="preserve">System architecture</w:t>
            </w:r>
            <w:r>
              <w:t xml:space="preserve"> </w:t>
            </w:r>
            <w:r>
              <w:t xml:space="preserve">(#18)</w:t>
            </w:r>
          </w:p>
        </w:tc>
        <w:tc>
          <w:tcPr/>
          <w:p>
            <w:pPr>
              <w:pStyle w:val="Compact"/>
            </w:pPr>
            <w:r>
              <w:t xml:space="preserve">All label/AIM touchpoints</w:t>
            </w:r>
          </w:p>
        </w:tc>
        <w:tc>
          <w:tcPr/>
          <w:p>
            <w:pPr>
              <w:pStyle w:val="Compact"/>
            </w:pPr>
            <w:r>
              <w:t xml:space="preserve">Sync vs. async event processing, UX latency expectations</w:t>
            </w:r>
          </w:p>
        </w:tc>
      </w:tr>
    </w:tbl>
    <w:p>
      <w:r>
        <w:pict>
          <v:rect style="width:0;height:1.5pt" o:hralign="center" o:hrstd="t" o:hr="t"/>
        </w:pict>
      </w:r>
    </w:p>
    <w:bookmarkEnd w:id="114"/>
    <w:bookmarkStart w:id="115"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Relevance</w:t>
            </w:r>
          </w:p>
        </w:tc>
      </w:tr>
      <w:tr>
        <w:tc>
          <w:tcPr/>
          <w:p>
            <w:pPr>
              <w:pStyle w:val="Compact"/>
            </w:pPr>
            <w:r>
              <w:rPr>
                <w:rStyle w:val="VerbatimChar"/>
              </w:rPr>
              <w:t xml:space="preserve">MPP_MES_SUMMARY.md</w:t>
            </w:r>
          </w:p>
        </w:tc>
        <w:tc>
          <w:tcPr/>
          <w:p>
            <w:pPr>
              <w:pStyle w:val="Compact"/>
            </w:pPr>
            <w:r>
              <w:t xml:space="preserve">Primary source for requirements, scope flags, and data model overview</w:t>
            </w:r>
          </w:p>
        </w:tc>
      </w:tr>
      <w:tr>
        <w:tc>
          <w:tcPr>
            <w:shd w:val="clear" w:color="auto" w:fill="F2F2F2"/>
          </w:tcPr>
          <w:tcPr/>
          <w:p>
            <w:pPr>
              <w:pStyle w:val="Compact"/>
            </w:pPr>
            <w:r>
              <w:rPr>
                <w:rStyle w:val="VerbatimChar"/>
              </w:rPr>
              <w:t xml:space="preserve">MPP_MES_DATA_MODEL.md</w:t>
            </w:r>
          </w:p>
        </w:tc>
        <w:tc>
          <w:tcPr>
            <w:shd w:val="clear" w:color="auto" w:fill="F2F2F2"/>
          </w:tcPr>
          <w:tcPr/>
          <w:p>
            <w:pPr>
              <w:pStyle w:val="Compact"/>
            </w:pPr>
            <w:r>
              <w:t xml:space="preserve">Column-level schema backing every table referenced in the narratives</w:t>
            </w:r>
          </w:p>
        </w:tc>
      </w:tr>
      <w:tr>
        <w:tc>
          <w:tcPr/>
          <w:p>
            <w:pPr>
              <w:pStyle w:val="Compact"/>
            </w:pPr>
            <w:r>
              <w:rPr>
                <w:rStyle w:val="VerbatimChar"/>
              </w:rPr>
              <w:t xml:space="preserve">MPP_MES_ERD.html</w:t>
            </w:r>
          </w:p>
        </w:tc>
        <w:tc>
          <w:tcPr/>
          <w:p>
            <w:pPr>
              <w:pStyle w:val="Compact"/>
            </w:pPr>
            <w:r>
              <w:t xml:space="preserve">Visual ERD with scope badges showing MVP/Future table status</w:t>
            </w:r>
          </w:p>
        </w:tc>
      </w:tr>
      <w:tr>
        <w:tc>
          <w:tcPr>
            <w:shd w:val="clear" w:color="auto" w:fill="F2F2F2"/>
          </w:tcPr>
          <w:tcPr/>
          <w:p>
            <w:pPr>
              <w:pStyle w:val="Compact"/>
            </w:pPr>
            <w:r>
              <w:rPr>
                <w:rStyle w:val="VerbatimChar"/>
              </w:rPr>
              <w:t xml:space="preserve">reference/5GO_AP4_Automation_Touchpoint_Agreement.md</w:t>
            </w:r>
          </w:p>
        </w:tc>
        <w:tc>
          <w:tcPr>
            <w:shd w:val="clear" w:color="auto" w:fill="F2F2F2"/>
          </w:tcPr>
          <w:tcPr/>
          <w:p>
            <w:pPr>
              <w:pStyle w:val="Compact"/>
            </w:pPr>
            <w:r>
              <w:t xml:space="preserve">Plc handshake protocol for the serialized assembly line described in Arc 2</w:t>
            </w:r>
          </w:p>
        </w:tc>
      </w:tr>
      <w:tr>
        <w:tc>
          <w:tcPr/>
          <w:p>
            <w:pPr>
              <w:pStyle w:val="Compact"/>
            </w:pPr>
            <w:r>
              <w:rPr>
                <w:rStyle w:val="VerbatimChar"/>
              </w:rPr>
              <w:t xml:space="preserve">reference/Excel Prod Sheets.xlsx</w:t>
            </w:r>
          </w:p>
        </w:tc>
        <w:tc>
          <w:tcPr/>
          <w:p>
            <w:pPr>
              <w:pStyle w:val="Compact"/>
            </w:pPr>
            <w:r>
              <w:t xml:space="preserve">Paper forms that Arc 2’s screens replace</w:t>
            </w:r>
          </w:p>
        </w:tc>
      </w:tr>
      <w:tr>
        <w:tc>
          <w:tcPr>
            <w:shd w:val="clear" w:color="auto" w:fill="F2F2F2"/>
          </w:tcPr>
          <w:tcPr/>
          <w:p>
            <w:pPr>
              <w:pStyle w:val="Compact"/>
            </w:pPr>
            <w:r>
              <w:rPr>
                <w:rStyle w:val="VerbatimChar"/>
              </w:rPr>
              <w:t xml:space="preserve">reference/MS1FM-*.xlsx</w:t>
            </w:r>
          </w:p>
        </w:tc>
        <w:tc>
          <w:tcPr>
            <w:shd w:val="clear" w:color="auto" w:fill="F2F2F2"/>
          </w:tcPr>
          <w:tcPr/>
          <w:p>
            <w:pPr>
              <w:pStyle w:val="Compact"/>
            </w:pPr>
            <w:r>
              <w:t xml:space="preserve">Line-specific production sheets showing per-line data entry fields</w:t>
            </w:r>
          </w:p>
        </w:tc>
      </w:tr>
    </w:tbl>
    <w:p>
      <w:r>
        <w:pict>
          <v:rect style="width:0;height:1.5pt" o:hralign="center" o:hrstd="t" o:hr="t"/>
        </w:pict>
      </w:r>
    </w:p>
    <w:bookmarkEnd w:id="115"/>
    <w:bookmarkStart w:id="116" w:name="validation-log-2026-04-06"/>
    <w:p>
      <w:pPr>
        <w:pStyle w:val="Heading2"/>
      </w:pPr>
      <w:r>
        <w:t xml:space="preserve">Validation Log — 2026-04-06</w:t>
      </w:r>
    </w:p>
    <w:p>
      <w:pPr>
        <w:pStyle w:val="FirstParagraph"/>
      </w:pPr>
      <w:r>
        <w:t xml:space="preserve">Narratives validated against all source documents. Changes made: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Finding</w:t>
            </w:r>
          </w:p>
        </w:tc>
        <w:tc>
          <w:tcPr>
            <w:shd w:val="clear" w:color="auto" w:fill="1F4E79"/>
          </w:tcPr>
          <w:tcPr/>
          <w:p>
            <w:pPr>
              <w:pStyle w:val="Compact"/>
            </w:pPr>
            <w:r>
              <w:rPr>
                <w:b/>
                <w:color w:val="FFFFFF"/>
              </w:rPr>
              <w:t xml:space="preserve">Action Taken</w:t>
            </w:r>
          </w:p>
        </w:tc>
      </w:tr>
      <w:tr>
        <w:tc>
          <w:tcPr/>
          <w:p>
            <w:pPr>
              <w:pStyle w:val="Compact"/>
            </w:pPr>
            <w:r>
              <w:t xml:space="preserve">FRS 2.2.2</w:t>
            </w:r>
          </w:p>
        </w:tc>
        <w:tc>
          <w:tcPr/>
          <w:p>
            <w:pPr>
              <w:pStyle w:val="Compact"/>
            </w:pPr>
            <w:r>
              <w:t xml:space="preserve">LOT creation requires manual data entry (part, die, cavity), not pre-populated from terminal config</w:t>
            </w:r>
          </w:p>
        </w:tc>
        <w:tc>
          <w:tcPr/>
          <w:p>
            <w:pPr>
              <w:pStyle w:val="Compact"/>
            </w:pPr>
            <w:r>
              <w:rPr>
                <w:b/>
                <w:bCs/>
              </w:rPr>
              <w:t xml:space="preserve">Corrected</w:t>
            </w:r>
            <w:r>
              <w:t xml:space="preserve"> </w:t>
            </w:r>
            <w:r>
              <w:t xml:space="preserve">— Die Cast narrative updated</w:t>
            </w:r>
          </w:p>
        </w:tc>
      </w:tr>
      <w:tr>
        <w:tc>
          <w:tcPr>
            <w:shd w:val="clear" w:color="auto" w:fill="F2F2F2"/>
          </w:tcPr>
          <w:tcPr/>
          <w:p>
            <w:pPr>
              <w:pStyle w:val="Compact"/>
            </w:pPr>
            <w:r>
              <w:t xml:space="preserve">FRS 2.2.3</w:t>
            </w:r>
          </w:p>
        </w:tc>
        <w:tc>
          <w:tcPr>
            <w:shd w:val="clear" w:color="auto" w:fill="F2F2F2"/>
          </w:tcPr>
          <w:tcPr/>
          <w:p>
            <w:pPr>
              <w:pStyle w:val="Compact"/>
            </w:pPr>
            <w:r>
              <w:t xml:space="preserve">Trim Shop uses weight-based piece count estimation, not physical count confirmation</w:t>
            </w:r>
          </w:p>
        </w:tc>
        <w:tc>
          <w:tcPr>
            <w:shd w:val="clear" w:color="auto" w:fill="F2F2F2"/>
          </w:tcPr>
          <w:tcPr/>
          <w:p>
            <w:pPr>
              <w:pStyle w:val="Compact"/>
            </w:pPr>
            <w:r>
              <w:rPr>
                <w:b/>
                <w:bCs/>
              </w:rPr>
              <w:t xml:space="preserve">Corrected</w:t>
            </w:r>
            <w:r>
              <w:t xml:space="preserve"> </w:t>
            </w:r>
            <w:r>
              <w:t xml:space="preserve">— Trim narrative expanded</w:t>
            </w:r>
          </w:p>
        </w:tc>
      </w:tr>
      <w:tr>
        <w:tc>
          <w:tcPr/>
          <w:p>
            <w:pPr>
              <w:pStyle w:val="Compact"/>
            </w:pPr>
            <w:r>
              <w:t xml:space="preserve">FRS 2.2.4–2.2.5</w:t>
            </w:r>
          </w:p>
        </w:tc>
        <w:tc>
          <w:tcPr/>
          <w:p>
            <w:pPr>
              <w:pStyle w:val="Compact"/>
            </w:pPr>
            <w:r>
              <w:t xml:space="preserve">Machining uses IN/OUT screens and FIFO queue with operator override</w:t>
            </w:r>
          </w:p>
        </w:tc>
        <w:tc>
          <w:tcPr/>
          <w:p>
            <w:pPr>
              <w:pStyle w:val="Compact"/>
            </w:pPr>
            <w:r>
              <w:rPr>
                <w:b/>
                <w:bCs/>
              </w:rPr>
              <w:t xml:space="preserve">Corrected</w:t>
            </w:r>
            <w:r>
              <w:t xml:space="preserve"> </w:t>
            </w:r>
            <w:r>
              <w:t xml:space="preserve">— Machining narrative expanded</w:t>
            </w:r>
          </w:p>
        </w:tc>
      </w:tr>
      <w:tr>
        <w:tc>
          <w:tcPr>
            <w:shd w:val="clear" w:color="auto" w:fill="F2F2F2"/>
          </w:tcPr>
          <w:tcPr/>
          <w:p>
            <w:pPr>
              <w:pStyle w:val="Compact"/>
            </w:pPr>
            <w:r>
              <w:t xml:space="preserve">FRS Section 4</w:t>
            </w:r>
          </w:p>
        </w:tc>
        <w:tc>
          <w:tcPr>
            <w:shd w:val="clear" w:color="auto" w:fill="F2F2F2"/>
          </w:tcPr>
          <w:tcPr/>
          <w:p>
            <w:pPr>
              <w:pStyle w:val="Compact"/>
            </w:pPr>
            <w:r>
              <w:t xml:space="preserve">Reject/scrap data is</w:t>
            </w:r>
            <w:r>
              <w:t xml:space="preserve"> </w:t>
            </w:r>
            <w:r>
              <w:t xml:space="preserve">“not considered part of the permanent production records”</w:t>
            </w:r>
            <w:r>
              <w:t xml:space="preserve">; recording is optional per step</w:t>
            </w:r>
          </w:p>
        </w:tc>
        <w:tc>
          <w:tcPr>
            <w:shd w:val="clear" w:color="auto" w:fill="F2F2F2"/>
          </w:tcPr>
          <w:tcPr/>
          <w:p>
            <w:pPr>
              <w:pStyle w:val="Compact"/>
            </w:pPr>
            <w:r>
              <w:rPr>
                <w:b/>
                <w:bCs/>
              </w:rPr>
              <w:t xml:space="preserve">Corrected</w:t>
            </w:r>
            <w:r>
              <w:t xml:space="preserve"> </w:t>
            </w:r>
            <w:r>
              <w:t xml:space="preserve">— reject entry caveat added</w:t>
            </w:r>
          </w:p>
        </w:tc>
      </w:tr>
      <w:tr>
        <w:tc>
          <w:tcPr/>
          <w:p>
            <w:pPr>
              <w:pStyle w:val="Compact"/>
            </w:pPr>
            <w:r>
              <w:t xml:space="preserve">FRS 3.16.10</w:t>
            </w:r>
          </w:p>
        </w:tc>
        <w:tc>
          <w:tcPr/>
          <w:p>
            <w:pPr>
              <w:pStyle w:val="Compact"/>
            </w:pPr>
            <w:r>
              <w:t xml:space="preserve">Hold blocks</w:t>
            </w:r>
            <w:r>
              <w:t xml:space="preserve"> </w:t>
            </w:r>
            <w:r>
              <w:t xml:space="preserve">“operation completion activities”</w:t>
            </w:r>
            <w:r>
              <w:t xml:space="preserve">, not necessarily LOT selection</w:t>
            </w:r>
          </w:p>
        </w:tc>
        <w:tc>
          <w:tcPr/>
          <w:p>
            <w:pPr>
              <w:pStyle w:val="Compact"/>
            </w:pPr>
            <w:r>
              <w:rPr>
                <w:b/>
                <w:bCs/>
              </w:rPr>
              <w:t xml:space="preserve">Corrected</w:t>
            </w:r>
            <w:r>
              <w:t xml:space="preserve"> </w:t>
            </w:r>
            <w:r>
              <w:t xml:space="preserve">— hold interlock wording softened</w:t>
            </w:r>
          </w:p>
        </w:tc>
      </w:tr>
      <w:tr>
        <w:tc>
          <w:tcPr>
            <w:shd w:val="clear" w:color="auto" w:fill="F2F2F2"/>
          </w:tcPr>
          <w:tcPr/>
          <w:p>
            <w:pPr>
              <w:pStyle w:val="Compact"/>
            </w:pPr>
            <w:r>
              <w:t xml:space="preserve">FRS 2.1.10, 2.2.7</w:t>
            </w:r>
          </w:p>
        </w:tc>
        <w:tc>
          <w:tcPr>
            <w:shd w:val="clear" w:color="auto" w:fill="F2F2F2"/>
          </w:tcPr>
          <w:tcPr/>
          <w:p>
            <w:pPr>
              <w:pStyle w:val="Compact"/>
            </w:pPr>
            <w:r>
              <w:t xml:space="preserve">Sort Cage requires</w:t>
            </w:r>
            <w:r>
              <w:t xml:space="preserve"> </w:t>
            </w:r>
            <w:r>
              <w:t xml:space="preserve">“part replacement”</w:t>
            </w:r>
            <w:r>
              <w:t xml:space="preserve"> </w:t>
            </w:r>
            <w:r>
              <w:t xml:space="preserve">capability; AIM</w:t>
            </w:r>
            <w:r>
              <w:t xml:space="preserve"> </w:t>
            </w:r>
            <w:r>
              <w:rPr>
                <w:rStyle w:val="VerbatimChar"/>
              </w:rPr>
              <w:t xml:space="preserve">UpdateAim</w:t>
            </w:r>
            <w:r>
              <w:t xml:space="preserve"> </w:t>
            </w:r>
            <w:r>
              <w:t xml:space="preserve">supports</w:t>
            </w:r>
            <w:r>
              <w:t xml:space="preserve"> </w:t>
            </w:r>
            <w:r>
              <w:rPr>
                <w:rStyle w:val="VerbatimChar"/>
              </w:rPr>
              <w:t xml:space="preserve">previousSerial</w:t>
            </w:r>
          </w:p>
        </w:tc>
        <w:tc>
          <w:tcPr>
            <w:shd w:val="clear" w:color="auto" w:fill="F2F2F2"/>
          </w:tcPr>
          <w:tcPr/>
          <w:p>
            <w:pPr>
              <w:pStyle w:val="Compact"/>
            </w:pPr>
            <w:r>
              <w:rPr>
                <w:b/>
                <w:bCs/>
              </w:rPr>
              <w:t xml:space="preserve">Added</w:t>
            </w:r>
            <w:r>
              <w:t xml:space="preserve"> </w:t>
            </w:r>
            <w:r>
              <w:t xml:space="preserve">— Sort Cage narrative expanded</w:t>
            </w:r>
          </w:p>
        </w:tc>
      </w:tr>
      <w:tr>
        <w:tc>
          <w:tcPr/>
          <w:p>
            <w:pPr>
              <w:pStyle w:val="Compact"/>
            </w:pPr>
            <w:r>
              <w:t xml:space="preserve">Appendix E</w:t>
            </w:r>
          </w:p>
        </w:tc>
        <w:tc>
          <w:tcPr/>
          <w:p>
            <w:pPr>
              <w:pStyle w:val="Compact"/>
            </w:pPr>
            <w:r>
              <w:t xml:space="preserve">Defect code count is ~145, not ~170; includes HSP department</w:t>
            </w:r>
          </w:p>
        </w:tc>
        <w:tc>
          <w:tcPr/>
          <w:p>
            <w:pPr>
              <w:pStyle w:val="Compact"/>
            </w:pPr>
            <w:r>
              <w:rPr>
                <w:b/>
                <w:bCs/>
              </w:rPr>
              <w:t xml:space="preserve">Corrected</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Non-serialized lines have defined PLC integration (PartDisposition, ContainerName), not undefined</w:t>
            </w:r>
          </w:p>
        </w:tc>
        <w:tc>
          <w:tcPr>
            <w:shd w:val="clear" w:color="auto" w:fill="F2F2F2"/>
          </w:tcPr>
          <w:tcPr/>
          <w:p>
            <w:pPr>
              <w:pStyle w:val="Compact"/>
            </w:pPr>
            <w:r>
              <w:rPr>
                <w:b/>
                <w:bCs/>
              </w:rPr>
              <w:t xml:space="preserve">Added</w:t>
            </w:r>
            <w:r>
              <w:t xml:space="preserve"> </w:t>
            </w:r>
            <w:r>
              <w:t xml:space="preserve">— non-serialized line note in Assembly</w:t>
            </w:r>
          </w:p>
        </w:tc>
      </w:tr>
      <w:tr>
        <w:tc>
          <w:tcPr/>
          <w:p>
            <w:pPr>
              <w:pStyle w:val="Compact"/>
            </w:pPr>
            <w:r>
              <w:t xml:space="preserve">Appendix C OPC tags</w:t>
            </w:r>
          </w:p>
        </w:tc>
        <w:tc>
          <w:tcPr/>
          <w:p>
            <w:pPr>
              <w:pStyle w:val="Compact"/>
            </w:pPr>
            <w:r>
              <w:t xml:space="preserve">Weight-based container closure exists on some lines (OmniServer scales)</w:t>
            </w:r>
          </w:p>
        </w:tc>
        <w:tc>
          <w:tcPr/>
          <w:p>
            <w:pPr>
              <w:pStyle w:val="Compact"/>
            </w:pPr>
            <w:r>
              <w:rPr>
                <w:b/>
                <w:bCs/>
              </w:rPr>
              <w:t xml:space="preserve">Added</w:t>
            </w:r>
            <w:r>
              <w:t xml:space="preserve"> </w:t>
            </w:r>
            <w:r>
              <w:t xml:space="preserve">— assumption #13</w:t>
            </w:r>
          </w:p>
        </w:tc>
      </w:tr>
      <w:tr>
        <w:tc>
          <w:tcPr>
            <w:shd w:val="clear" w:color="auto" w:fill="F2F2F2"/>
          </w:tcPr>
          <w:tcPr/>
          <w:p>
            <w:pPr>
              <w:pStyle w:val="Compact"/>
            </w:pPr>
            <w:r>
              <w:t xml:space="preserve">Touchpoint Agreement 1.1</w:t>
            </w:r>
          </w:p>
        </w:tc>
        <w:tc>
          <w:tcPr>
            <w:shd w:val="clear" w:color="auto" w:fill="F2F2F2"/>
          </w:tcPr>
          <w:tcPr/>
          <w:p>
            <w:pPr>
              <w:pStyle w:val="Compact"/>
            </w:pPr>
            <w:r>
              <w:rPr>
                <w:rStyle w:val="VerbatimChar"/>
              </w:rPr>
              <w:t xml:space="preserve">HardwareInterlockEnable=false</w:t>
            </w:r>
            <w:r>
              <w:t xml:space="preserve"> </w:t>
            </w:r>
            <w:r>
              <w:t xml:space="preserve">is a valid bypass mode, not an error</w:t>
            </w:r>
          </w:p>
        </w:tc>
        <w:tc>
          <w:tcPr>
            <w:shd w:val="clear" w:color="auto" w:fill="F2F2F2"/>
          </w:tcPr>
          <w:tcPr/>
          <w:p>
            <w:pPr>
              <w:pStyle w:val="Compact"/>
            </w:pPr>
            <w:r>
              <w:rPr>
                <w:b/>
                <w:bCs/>
              </w:rPr>
              <w:t xml:space="preserve">Added</w:t>
            </w:r>
            <w:r>
              <w:t xml:space="preserve"> </w:t>
            </w:r>
            <w:r>
              <w:t xml:space="preserve">— assumption #16</w:t>
            </w:r>
          </w:p>
        </w:tc>
      </w:tr>
      <w:tr>
        <w:tc>
          <w:tcPr/>
          <w:p>
            <w:pPr>
              <w:pStyle w:val="Compact"/>
            </w:pPr>
            <w:r>
              <w:t xml:space="preserve">DCFM paper sheets</w:t>
            </w:r>
          </w:p>
        </w:tc>
        <w:tc>
          <w:tcPr/>
          <w:p>
            <w:pPr>
              <w:pStyle w:val="Compact"/>
            </w:pPr>
            <w:r>
              <w:t xml:space="preserve">Warm-up shots tracked separately from production shots</w:t>
            </w:r>
          </w:p>
        </w:tc>
        <w:tc>
          <w:tcPr/>
          <w:p>
            <w:pPr>
              <w:pStyle w:val="Compact"/>
            </w:pPr>
            <w:r>
              <w:rPr>
                <w:b/>
                <w:bCs/>
              </w:rPr>
              <w:t xml:space="preserve">Added</w:t>
            </w:r>
            <w:r>
              <w:t xml:space="preserve"> </w:t>
            </w:r>
            <w:r>
              <w:t xml:space="preserve">— warm-up shots in Die Cast narrative + assumption #14</w:t>
            </w:r>
          </w:p>
        </w:tc>
      </w:tr>
      <w:tr>
        <w:tc>
          <w:tcPr>
            <w:shd w:val="clear" w:color="auto" w:fill="F2F2F2"/>
          </w:tcPr>
          <w:tcPr/>
          <w:p>
            <w:pPr>
              <w:pStyle w:val="Compact"/>
            </w:pPr>
            <w:r>
              <w:t xml:space="preserve">DCFM paper sheets</w:t>
            </w:r>
          </w:p>
        </w:tc>
        <w:tc>
          <w:tcPr>
            <w:shd w:val="clear" w:color="auto" w:fill="F2F2F2"/>
          </w:tcPr>
          <w:tcPr/>
          <w:p>
            <w:pPr>
              <w:pStyle w:val="Compact"/>
            </w:pPr>
            <w:r>
              <w:t xml:space="preserve">Shift runtime adjustments (lunch, breaks, overtime) are manual additions</w:t>
            </w:r>
          </w:p>
        </w:tc>
        <w:tc>
          <w:tcPr>
            <w:shd w:val="clear" w:color="auto" w:fill="F2F2F2"/>
          </w:tcPr>
          <w:tcPr/>
          <w:p>
            <w:pPr>
              <w:pStyle w:val="Compact"/>
            </w:pPr>
            <w:r>
              <w:rPr>
                <w:b/>
                <w:bCs/>
              </w:rPr>
              <w:t xml:space="preserve">Added</w:t>
            </w:r>
            <w:r>
              <w:t xml:space="preserve"> </w:t>
            </w:r>
            <w:r>
              <w:t xml:space="preserve">— End of Shift narrative expanded</w:t>
            </w:r>
          </w:p>
        </w:tc>
      </w:tr>
      <w:tr>
        <w:tc>
          <w:tcPr/>
          <w:p>
            <w:pPr>
              <w:pStyle w:val="Compact"/>
            </w:pPr>
            <w:r>
              <w:t xml:space="preserve">FRS 5.6.6 / Appendix F</w:t>
            </w:r>
          </w:p>
        </w:tc>
        <w:tc>
          <w:tcPr/>
          <w:p>
            <w:pPr>
              <w:pStyle w:val="Compact"/>
            </w:pPr>
            <w:r>
              <w:t xml:space="preserve">PD application replacement is a process change; clerk enters data 2hr post-shift</w:t>
            </w:r>
          </w:p>
        </w:tc>
        <w:tc>
          <w:tcPr/>
          <w:p>
            <w:pPr>
              <w:pStyle w:val="Compact"/>
            </w:pPr>
            <w:r>
              <w:rPr>
                <w:b/>
                <w:bCs/>
              </w:rPr>
              <w:t xml:space="preserve">Added</w:t>
            </w:r>
            <w:r>
              <w:t xml:space="preserve"> </w:t>
            </w:r>
            <w:r>
              <w:t xml:space="preserve">— PD replacement note + assumption #19</w:t>
            </w:r>
          </w:p>
        </w:tc>
      </w:tr>
      <w:tr>
        <w:tc>
          <w:tcPr>
            <w:shd w:val="clear" w:color="auto" w:fill="F2F2F2"/>
          </w:tcPr>
          <w:tcPr/>
          <w:p>
            <w:pPr>
              <w:pStyle w:val="Compact"/>
            </w:pPr>
            <w:r>
              <w:t xml:space="preserve">Spark Dependency Register B.12</w:t>
            </w:r>
          </w:p>
        </w:tc>
        <w:tc>
          <w:tcPr>
            <w:shd w:val="clear" w:color="auto" w:fill="F2F2F2"/>
          </w:tcPr>
          <w:tcPr/>
          <w:p>
            <w:pPr>
              <w:pStyle w:val="Compact"/>
            </w:pPr>
            <w:r>
              <w:t xml:space="preserve">Event outbox + background worker pattern makes AIM/label calls async</w:t>
            </w:r>
          </w:p>
        </w:tc>
        <w:tc>
          <w:tcPr>
            <w:shd w:val="clear" w:color="auto" w:fill="F2F2F2"/>
          </w:tcPr>
          <w:tcPr/>
          <w:p>
            <w:pPr>
              <w:pStyle w:val="Compact"/>
            </w:pPr>
            <w:r>
              <w:rPr>
                <w:b/>
                <w:bCs/>
              </w:rPr>
              <w:t xml:space="preserve">Added</w:t>
            </w:r>
            <w:r>
              <w:t xml:space="preserve"> </w:t>
            </w:r>
            <w:r>
              <w:t xml:space="preserve">— assumption #18</w:t>
            </w:r>
          </w:p>
        </w:tc>
      </w:tr>
      <w:tr>
        <w:tc>
          <w:tcPr/>
          <w:p>
            <w:pPr>
              <w:pStyle w:val="Compact"/>
            </w:pPr>
            <w:r>
              <w:t xml:space="preserve">Scope Matrix row 14</w:t>
            </w:r>
          </w:p>
        </w:tc>
        <w:tc>
          <w:tcPr/>
          <w:p>
            <w:pPr>
              <w:pStyle w:val="Compact"/>
            </w:pPr>
            <w:r>
              <w:t xml:space="preserve">NCM/Failure Analysis is FUTURE; Sort Cage uses holds-only in MVP</w:t>
            </w:r>
          </w:p>
        </w:tc>
        <w:tc>
          <w:tcPr/>
          <w:p>
            <w:pPr>
              <w:pStyle w:val="Compact"/>
            </w:pPr>
            <w:r>
              <w:rPr>
                <w:b/>
                <w:bCs/>
              </w:rPr>
              <w:t xml:space="preserve">Added</w:t>
            </w:r>
            <w:r>
              <w:t xml:space="preserve"> </w:t>
            </w:r>
            <w:r>
              <w:t xml:space="preserve">— scope note in Sort Cage narrative</w:t>
            </w:r>
          </w:p>
        </w:tc>
      </w:tr>
      <w:tr>
        <w:tc>
          <w:tcPr>
            <w:shd w:val="clear" w:color="auto" w:fill="F2F2F2"/>
          </w:tcPr>
          <w:tcPr/>
          <w:p>
            <w:pPr>
              <w:pStyle w:val="Compact"/>
            </w:pPr>
            <w:r>
              <w:t xml:space="preserve">Scope Matrix row 20</w:t>
            </w:r>
          </w:p>
        </w:tc>
        <w:tc>
          <w:tcPr>
            <w:shd w:val="clear" w:color="auto" w:fill="F2F2F2"/>
          </w:tcPr>
          <w:tcPr/>
          <w:p>
            <w:pPr>
              <w:pStyle w:val="Compact"/>
            </w:pPr>
            <w:r>
              <w:t xml:space="preserve">Pass-through full workflow is FUTURE; receiving is MVP</w:t>
            </w:r>
          </w:p>
        </w:tc>
        <w:tc>
          <w:tcPr>
            <w:shd w:val="clear" w:color="auto" w:fill="F2F2F2"/>
          </w:tcPr>
          <w:tcPr/>
          <w:p>
            <w:pPr>
              <w:pStyle w:val="Compact"/>
            </w:pPr>
            <w:r>
              <w:rPr>
                <w:b/>
                <w:bCs/>
              </w:rPr>
              <w:t xml:space="preserve">Added</w:t>
            </w:r>
            <w:r>
              <w:t xml:space="preserve"> </w:t>
            </w:r>
            <w:r>
              <w:t xml:space="preserve">— scope note in Receiving narrative</w:t>
            </w:r>
          </w:p>
        </w:tc>
      </w:tr>
      <w:tr>
        <w:tc>
          <w:tcPr/>
          <w:p>
            <w:pPr>
              <w:pStyle w:val="Compact"/>
            </w:pPr>
            <w:r>
              <w:t xml:space="preserve">MS1FM production sheets</w:t>
            </w:r>
          </w:p>
        </w:tc>
        <w:tc>
          <w:tcPr/>
          <w:p>
            <w:pPr>
              <w:pStyle w:val="Compact"/>
            </w:pPr>
            <w:r>
              <w:t xml:space="preserve">Multi-part inspection lines (59B/5PA/6NA on one line)</w:t>
            </w:r>
          </w:p>
        </w:tc>
        <w:tc>
          <w:tcPr/>
          <w:p>
            <w:pPr>
              <w:pStyle w:val="Compact"/>
            </w:pPr>
            <w:r>
              <w:rPr>
                <w:b/>
                <w:bCs/>
              </w:rPr>
              <w:t xml:space="preserve">Added</w:t>
            </w:r>
            <w:r>
              <w:t xml:space="preserve"> </w:t>
            </w:r>
            <w:r>
              <w:t xml:space="preserve">— assumption #15</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Vision-based part confirmation on some lines (VisionPartNumber)</w:t>
            </w:r>
          </w:p>
        </w:tc>
        <w:tc>
          <w:tcPr>
            <w:shd w:val="clear" w:color="auto" w:fill="F2F2F2"/>
          </w:tcPr>
          <w:tcPr/>
          <w:p>
            <w:pPr>
              <w:pStyle w:val="Compact"/>
            </w:pPr>
            <w:r>
              <w:rPr>
                <w:b/>
                <w:bCs/>
              </w:rPr>
              <w:t xml:space="preserve">Added</w:t>
            </w:r>
            <w:r>
              <w:t xml:space="preserve"> </w:t>
            </w:r>
            <w:r>
              <w:t xml:space="preserve">— assumption #17</w:t>
            </w:r>
          </w:p>
        </w:tc>
      </w:tr>
      <w:tr>
        <w:tc>
          <w:tcPr/>
          <w:p>
            <w:pPr>
              <w:pStyle w:val="Compact"/>
            </w:pPr>
            <w:r>
              <w:t xml:space="preserve">Appendix B</w:t>
            </w:r>
          </w:p>
        </w:tc>
        <w:tc>
          <w:tcPr/>
          <w:p>
            <w:pPr>
              <w:pStyle w:val="Compact"/>
            </w:pPr>
            <w:r>
              <w:t xml:space="preserve">Machine count of ~230 confirmed (230 entries in FRS)</w:t>
            </w:r>
          </w:p>
        </w:tc>
        <w:tc>
          <w:tcPr/>
          <w:p>
            <w:pPr>
              <w:pStyle w:val="Compact"/>
            </w:pPr>
            <w:r>
              <w:t xml:space="preserve">Verified — no change needed</w:t>
            </w:r>
          </w:p>
        </w:tc>
      </w:tr>
      <w:tr>
        <w:tc>
          <w:tcPr>
            <w:shd w:val="clear" w:color="auto" w:fill="F2F2F2"/>
          </w:tcPr>
          <w:tcPr/>
          <w:p>
            <w:pPr>
              <w:pStyle w:val="Compact"/>
            </w:pPr>
            <w:r>
              <w:t xml:space="preserve">Appendix D</w:t>
            </w:r>
          </w:p>
        </w:tc>
        <w:tc>
          <w:tcPr>
            <w:shd w:val="clear" w:color="auto" w:fill="F2F2F2"/>
          </w:tcPr>
          <w:tcPr/>
          <w:p>
            <w:pPr>
              <w:pStyle w:val="Compact"/>
            </w:pPr>
            <w:r>
              <w:t xml:space="preserve">Downtime code count of ~660 confirmed (662 entries in FRS)</w:t>
            </w:r>
          </w:p>
        </w:tc>
        <w:tc>
          <w:tcPr>
            <w:shd w:val="clear" w:color="auto" w:fill="F2F2F2"/>
          </w:tcPr>
          <w:tcPr/>
          <w:p>
            <w:pPr>
              <w:pStyle w:val="Compact"/>
            </w:pPr>
            <w:r>
              <w:t xml:space="preserve">Verified — no change needed</w:t>
            </w:r>
          </w:p>
        </w:tc>
      </w:tr>
      <w:tr>
        <w:tc>
          <w:tcPr/>
          <w:p>
            <w:pPr>
              <w:pStyle w:val="Compact"/>
            </w:pPr>
            <w:r>
              <w:t xml:space="preserve">Appendix L</w:t>
            </w:r>
          </w:p>
        </w:tc>
        <w:tc>
          <w:tcPr/>
          <w:p>
            <w:pPr>
              <w:pStyle w:val="Compact"/>
            </w:pPr>
            <w:r>
              <w:t xml:space="preserve">AIM interface methods (GetNextNumber, UpdateAim, PlaceOnHold, ReleaseFromHold) confirmed</w:t>
            </w:r>
          </w:p>
        </w:tc>
        <w:tc>
          <w:tcPr/>
          <w:p>
            <w:pPr>
              <w:pStyle w:val="Compact"/>
            </w:pPr>
            <w:r>
              <w:t xml:space="preserve">Verified — no change needed</w:t>
            </w:r>
          </w:p>
        </w:tc>
      </w:tr>
      <w:tr>
        <w:tc>
          <w:tcPr>
            <w:shd w:val="clear" w:color="auto" w:fill="F2F2F2"/>
          </w:tcPr>
          <w:tcPr/>
          <w:p>
            <w:pPr>
              <w:pStyle w:val="Compact"/>
            </w:pPr>
            <w:r>
              <w:t xml:space="preserve">Appendix H, I</w:t>
            </w:r>
          </w:p>
        </w:tc>
        <w:tc>
          <w:tcPr>
            <w:shd w:val="clear" w:color="auto" w:fill="F2F2F2"/>
          </w:tcPr>
          <w:tcPr/>
          <w:p>
            <w:pPr>
              <w:pStyle w:val="Compact"/>
            </w:pPr>
            <w:r>
              <w:t xml:space="preserve">Legacy UI screens and work instructions are placeholder-only in FRS — cannot validate operator workflows</w:t>
            </w:r>
          </w:p>
        </w:tc>
        <w:tc>
          <w:tcPr>
            <w:shd w:val="clear" w:color="auto" w:fill="F2F2F2"/>
          </w:tcPr>
          <w:tcPr/>
          <w:p>
            <w:pPr>
              <w:pStyle w:val="Compact"/>
            </w:pPr>
            <w:r>
              <w:t xml:space="preserve">Noted — no action possible</w:t>
            </w:r>
          </w:p>
        </w:tc>
      </w:tr>
    </w:tbl>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44" Target="media/rId44.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63" Target="media/rId63.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2026-04-29T19:22:34Z</dcterms:created>
  <dcterms:modified xsi:type="dcterms:W3CDTF">2026-04-29T19:22:34Z</dcterms:modified>
</cp:coreProperties>
</file>

<file path=docProps/custom.xml><?xml version="1.0" encoding="utf-8"?>
<Properties xmlns="http://schemas.openxmlformats.org/officeDocument/2006/custom-properties" xmlns:vt="http://schemas.openxmlformats.org/officeDocument/2006/docPropsVTypes"/>
</file>