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MPP MES — Data Model Reference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0" w:name="mpp-mes-data-model-reference"/>
    <w:p>
      <w:pPr>
        <w:pStyle w:val="Heading1"/>
      </w:pPr>
      <w:r>
        <w:t xml:space="preserve">MPP MES — Data Model Reference</w:t>
      </w:r>
    </w:p>
    <w:p>
      <w:pPr>
        <w:pStyle w:val="FirstParagraph"/>
      </w:pPr>
      <w:r>
        <w:rPr>
          <w:b/>
          <w:bCs/>
        </w:rPr>
        <w:t xml:space="preserve">Version:</w:t>
      </w:r>
      <w:r>
        <w:t xml:space="preserve"> </w:t>
      </w:r>
      <w:r>
        <w:t xml:space="preserve">Working draft</w:t>
      </w:r>
      <w:r>
        <w:t xml:space="preserve"> </w:t>
      </w:r>
      <w:r>
        <w:rPr>
          <w:b/>
          <w:bCs/>
        </w:rPr>
        <w:t xml:space="preserve">Schemas:</w:t>
      </w:r>
      <w:r>
        <w:t xml:space="preserve"> </w:t>
      </w:r>
      <w:r>
        <w:t xml:space="preserve">7 |</w:t>
      </w:r>
      <w:r>
        <w:t xml:space="preserve"> </w:t>
      </w:r>
      <w:r>
        <w:rPr>
          <w:b/>
          <w:bCs/>
        </w:rPr>
        <w:t xml:space="preserve">Tables:</w:t>
      </w:r>
      <w:r>
        <w:t xml:space="preserve"> </w:t>
      </w:r>
      <w:r>
        <w:t xml:space="preserve">~50</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Status fields backed by code tables with FK — no magic integers or free-text</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w:t>
            </w:r>
          </w:p>
        </w:tc>
        <w:tc>
          <w:tcPr/>
          <w:p>
            <w:pPr>
              <w:pStyle w:val="Compact"/>
            </w:pPr>
            <w:r>
              <w:t xml:space="preserve">VARCHAR(100)</w:t>
            </w:r>
          </w:p>
        </w:tc>
        <w:tc>
          <w:tcPr/>
          <w:p>
            <w:pPr>
              <w:pStyle w:val="Compact"/>
            </w:pPr>
            <w:r>
              <w:t xml:space="preserve">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backed by Active Directory. Roles managed in Ignition.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AdAccount</w:t>
            </w:r>
          </w:p>
        </w:tc>
        <w:tc>
          <w:tcPr>
            <w:shd w:val="clear" w:color="auto" w:fill="F2F2F2"/>
          </w:tcPr>
          <w:tcPr/>
          <w:p>
            <w:pPr>
              <w:pStyle w:val="Compact"/>
            </w:pPr>
            <w:r>
              <w:t xml:space="preserve">VARCHAR(100)</w:t>
            </w:r>
          </w:p>
        </w:tc>
        <w:tc>
          <w:tcPr>
            <w:shd w:val="clear" w:color="auto" w:fill="F2F2F2"/>
          </w:tcPr>
          <w:tcPr/>
          <w:p>
            <w:pPr>
              <w:pStyle w:val="Compact"/>
            </w:pPr>
            <w:r>
              <w:t xml:space="preserve">NOT NULL, UNIQUE</w:t>
            </w:r>
          </w:p>
        </w:tc>
        <w:tc>
          <w:tcPr>
            <w:shd w:val="clear" w:color="auto" w:fill="F2F2F2"/>
          </w:tcPr>
          <w:tcPr/>
          <w:p>
            <w:pPr>
              <w:pStyle w:val="Compact"/>
            </w:pPr>
            <w:r>
              <w:t xml:space="preserve">Active Directory identity</w:t>
            </w:r>
          </w:p>
        </w:tc>
      </w:tr>
      <w:tr>
        <w:tc>
          <w:tcPr/>
          <w:p>
            <w:pPr>
              <w:pStyle w:val="Compact"/>
            </w:pPr>
            <w:r>
              <w:t xml:space="preserve">DisplayName</w:t>
            </w:r>
          </w:p>
        </w:tc>
        <w:tc>
          <w:tcPr/>
          <w:p>
            <w:pPr>
              <w:pStyle w:val="Compact"/>
            </w:pPr>
            <w:r>
              <w:t xml:space="preserve">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ClockNumber</w:t>
            </w:r>
          </w:p>
        </w:tc>
        <w:tc>
          <w:tcPr>
            <w:shd w:val="clear" w:color="auto" w:fill="F2F2F2"/>
          </w:tcPr>
          <w:tcPr/>
          <w:p>
            <w:pPr>
              <w:pStyle w:val="Compact"/>
            </w:pPr>
            <w:r>
              <w:t xml:space="preserve">VARCHAR(20)</w:t>
            </w:r>
          </w:p>
        </w:tc>
        <w:tc>
          <w:tcPr>
            <w:shd w:val="clear" w:color="auto" w:fill="F2F2F2"/>
          </w:tcPr>
          <w:tcPr/>
          <w:p>
            <w:pPr>
              <w:pStyle w:val="Compact"/>
            </w:pPr>
            <w:r>
              <w:t xml:space="preserve">NULL</w:t>
            </w:r>
          </w:p>
        </w:tc>
        <w:tc>
          <w:tcPr>
            <w:shd w:val="clear" w:color="auto" w:fill="F2F2F2"/>
          </w:tcPr>
          <w:tcPr/>
          <w:p>
            <w:pPr>
              <w:pStyle w:val="Compact"/>
            </w:pPr>
            <w:r>
              <w:t xml:space="preserve">Shop-floor identification</w:t>
            </w:r>
          </w:p>
        </w:tc>
      </w:tr>
      <w:tr>
        <w:tc>
          <w:tcPr/>
          <w:p>
            <w:pPr>
              <w:pStyle w:val="Compact"/>
            </w:pPr>
            <w:r>
              <w:t xml:space="preserve">PinHash</w:t>
            </w:r>
          </w:p>
        </w:tc>
        <w:tc>
          <w:tcPr/>
          <w:p>
            <w:pPr>
              <w:pStyle w:val="Compact"/>
            </w:pPr>
            <w:r>
              <w:t xml:space="preserve">VARCHAR(255)</w:t>
            </w:r>
          </w:p>
        </w:tc>
        <w:tc>
          <w:tcPr/>
          <w:p>
            <w:pPr>
              <w:pStyle w:val="Compact"/>
            </w:pPr>
            <w:r>
              <w:t xml:space="preserve">NULL</w:t>
            </w:r>
          </w:p>
        </w:tc>
        <w:tc>
          <w:tcPr/>
          <w:p>
            <w:pPr>
              <w:pStyle w:val="Compact"/>
            </w:pPr>
            <w:r>
              <w:t xml:space="preserve">Hashed PIN for terminal auth</w:t>
            </w:r>
          </w:p>
        </w:tc>
      </w:tr>
      <w:tr>
        <w:tc>
          <w:tcPr>
            <w:shd w:val="clear" w:color="auto" w:fill="F2F2F2"/>
          </w:tcPr>
          <w:tcPr/>
          <w:p>
            <w:pPr>
              <w:pStyle w:val="Compact"/>
            </w:pPr>
            <w:r>
              <w:t xml:space="preserve">IgnitionRole</w:t>
            </w:r>
          </w:p>
        </w:tc>
        <w:tc>
          <w:tcPr>
            <w:shd w:val="clear" w:color="auto" w:fill="F2F2F2"/>
          </w:tcPr>
          <w:tcPr/>
          <w:p>
            <w:pPr>
              <w:pStyle w:val="Compact"/>
            </w:pPr>
            <w:r>
              <w:t xml:space="preserve">VARCHAR(100)</w:t>
            </w:r>
          </w:p>
        </w:tc>
        <w:tc>
          <w:tcPr>
            <w:shd w:val="clear" w:color="auto" w:fill="F2F2F2"/>
          </w:tcPr>
          <w:tcPr/>
          <w:p>
            <w:pPr>
              <w:pStyle w:val="Compact"/>
            </w:pPr>
            <w:r>
              <w:t xml:space="preserve">NULL</w:t>
            </w:r>
          </w:p>
        </w:tc>
        <w:tc>
          <w:tcPr>
            <w:shd w:val="clear" w:color="auto" w:fill="F2F2F2"/>
          </w:tcPr>
          <w:tcPr/>
          <w:p>
            <w:pPr>
              <w:pStyle w:val="Compact"/>
            </w:pPr>
            <w:r>
              <w:t xml:space="preserve">References Ignition’s internal role config</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18"/>
    <w:bookmarkEnd w:id="19"/>
    <w:bookmarkStart w:id="31"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t xml:space="preserve">Reasonability check ceiling</w:t>
            </w:r>
          </w:p>
        </w:tc>
      </w:tr>
      <w:tr>
        <w:tc>
          <w:tcPr>
            <w:shd w:val="clear" w:color="auto" w:fill="F2F2F2"/>
          </w:tcPr>
          <w:tcPr/>
          <w:p>
            <w:pPr>
              <w:pStyle w:val="Compact"/>
            </w:pPr>
            <w:r>
              <w:t xml:space="preserve">UomId</w:t>
            </w:r>
          </w:p>
        </w:tc>
        <w:tc>
          <w:tcPr>
            <w:shd w:val="clear" w:color="auto" w:fill="F2F2F2"/>
          </w:tcPr>
          <w:tcPr/>
          <w:p>
            <w:pPr>
              <w:pStyle w:val="Compact"/>
            </w:pPr>
            <w:r>
              <w:t xml:space="preserve">INT</w:t>
            </w:r>
          </w:p>
        </w:tc>
        <w:tc>
          <w:tcPr>
            <w:shd w:val="clear" w:color="auto" w:fill="F2F2F2"/>
          </w:tcPr>
          <w:tcPr/>
          <w:p>
            <w:pPr>
              <w:pStyle w:val="Compact"/>
            </w:pPr>
            <w:r>
              <w:t xml:space="preserve">FK → Uom.Id, NOT NULL</w:t>
            </w:r>
          </w:p>
        </w:tc>
        <w:tc>
          <w:tcPr>
            <w:shd w:val="clear" w:color="auto" w:fill="F2F2F2"/>
          </w:tcPr>
          <w:tcPr/>
          <w:p>
            <w:pPr>
              <w:pStyle w:val="Compact"/>
            </w:pPr>
            <w:r>
              <w:t xml:space="preserve">Counting UOM</w:t>
            </w:r>
          </w:p>
        </w:tc>
      </w:tr>
      <w:tr>
        <w:tc>
          <w:tcPr/>
          <w:p>
            <w:pPr>
              <w:pStyle w:val="Compact"/>
            </w:pPr>
            <w:r>
              <w:t xml:space="preserve">UnitWeight</w:t>
            </w:r>
          </w:p>
        </w:tc>
        <w:tc>
          <w:tcPr/>
          <w:p>
            <w:pPr>
              <w:pStyle w:val="Compact"/>
            </w:pPr>
            <w:r>
              <w:t xml:space="preserve">DECIMAL(10,4)</w:t>
            </w:r>
          </w:p>
        </w:tc>
        <w:tc>
          <w:tcPr/>
          <w:p>
            <w:pPr>
              <w:pStyle w:val="Compact"/>
            </w:pPr>
            <w:r>
              <w:t xml:space="preserve">NULL</w:t>
            </w:r>
          </w:p>
        </w:tc>
        <w:tc>
          <w:tcPr/>
          <w:p>
            <w:pPr>
              <w:pStyle w:val="Compact"/>
            </w:pPr>
            <w:r>
              <w:t xml:space="preserve">Weight per piece</w:t>
            </w:r>
          </w:p>
        </w:tc>
      </w:tr>
      <w:tr>
        <w:tc>
          <w:tcPr>
            <w:shd w:val="clear" w:color="auto" w:fill="F2F2F2"/>
          </w:tcPr>
          <w:tcPr/>
          <w:p>
            <w:pPr>
              <w:pStyle w:val="Compact"/>
            </w:pPr>
            <w:r>
              <w:t xml:space="preserve">WeightUomId</w:t>
            </w:r>
          </w:p>
        </w:tc>
        <w:tc>
          <w:tcPr>
            <w:shd w:val="clear" w:color="auto" w:fill="F2F2F2"/>
          </w:tcPr>
          <w:tcPr/>
          <w:p>
            <w:pPr>
              <w:pStyle w:val="Compact"/>
            </w:pPr>
            <w:r>
              <w:t xml:space="preserve">INT</w:t>
            </w:r>
          </w:p>
        </w:tc>
        <w:tc>
          <w:tcPr>
            <w:shd w:val="clear" w:color="auto" w:fill="F2F2F2"/>
          </w:tcPr>
          <w:tcPr/>
          <w:p>
            <w:pPr>
              <w:pStyle w:val="Compact"/>
            </w:pPr>
            <w:r>
              <w:t xml:space="preserve">FK → Uom.Id, NULL</w:t>
            </w:r>
          </w:p>
        </w:tc>
        <w:tc>
          <w:tcPr>
            <w:shd w:val="clear" w:color="auto" w:fill="F2F2F2"/>
          </w:tcPr>
          <w:tcPr/>
          <w:p>
            <w:pPr>
              <w:pStyle w:val="Compact"/>
            </w:pPr>
            <w:r>
              <w:t xml:space="preserve">Weight UOM</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w:t>
            </w:r>
          </w:p>
        </w:tc>
        <w:tc>
          <w:tcPr/>
          <w:p>
            <w:pPr>
              <w:pStyle w:val="Compact"/>
            </w:pPr>
            <w:r>
              <w:t xml:space="preserve">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UpdatedBy</w:t>
            </w:r>
          </w:p>
        </w:tc>
        <w:tc>
          <w:tcPr>
            <w:shd w:val="clear" w:color="auto" w:fill="F2F2F2"/>
          </w:tcPr>
          <w:tcPr/>
          <w:p>
            <w:pPr>
              <w:pStyle w:val="Compact"/>
            </w:pPr>
            <w:r>
              <w:t xml:space="preserve">VARCHAR(100)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w:t>
            </w:r>
          </w:p>
        </w:tc>
        <w:tc>
          <w:tcPr/>
          <w:p>
            <w:pPr>
              <w:pStyle w:val="Compact"/>
            </w:pPr>
            <w:r>
              <w:t xml:space="preserve">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Code</w:t>
            </w:r>
          </w:p>
        </w:tc>
        <w:tc>
          <w:tcPr/>
          <w:p>
            <w:pPr>
              <w:pStyle w:val="Compact"/>
            </w:pPr>
            <w:r>
              <w:t xml:space="preserve">VARCHAR(20)</w:t>
            </w:r>
          </w:p>
        </w:tc>
        <w:tc>
          <w:tcPr/>
          <w:p>
            <w:pPr>
              <w:pStyle w:val="Compact"/>
            </w:pPr>
            <w:r>
              <w:t xml:space="preserve">NOT NULL, UNIQUE</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RequiresMaterialVerification</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RequiresSerialNumber</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CollectsDieInfo</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CollectsCavityInfo</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CollectsWeight</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CollectsGoodCount</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p>
        </w:tc>
      </w:tr>
      <w:tr>
        <w:tc>
          <w:tcPr/>
          <w:p>
            <w:pPr>
              <w:pStyle w:val="Compact"/>
            </w:pPr>
            <w:r>
              <w:t xml:space="preserve">CollectsBadCount</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itemlocation"/>
    <w:p>
      <w:pPr>
        <w:pStyle w:val="Heading3"/>
      </w:pPr>
      <w:r>
        <w:t xml:space="preserve">ItemLocation</w:t>
      </w:r>
    </w:p>
    <w:p>
      <w:pPr>
        <w:pStyle w:val="FirstParagraph"/>
      </w:pPr>
      <w:r>
        <w:t xml:space="preserve">Part-to-location eligibility (which parts can run on which machines).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INT</w:t>
            </w:r>
          </w:p>
        </w:tc>
        <w:tc>
          <w:tcPr/>
          <w:p>
            <w:pPr>
              <w:pStyle w:val="Compact"/>
            </w:pPr>
            <w:r>
              <w:t xml:space="preserve">FK → Location.Id, NOT NULL</w:t>
            </w:r>
          </w:p>
        </w:tc>
        <w:tc>
          <w:tcPr/>
          <w:p>
            <w:pPr>
              <w:pStyle w:val="Compact"/>
            </w:pPr>
            <w:r>
              <w:t xml:space="preserve">Machine or work cell</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8"/>
    <w:bookmarkStart w:id="29" w:name="containerconfig"/>
    <w:p>
      <w:pPr>
        <w:pStyle w:val="Heading3"/>
      </w:pPr>
      <w:r>
        <w:t xml:space="preserve">ContainerConfig</w:t>
      </w:r>
    </w:p>
    <w:p>
      <w:pPr>
        <w:pStyle w:val="FirstParagraph"/>
      </w:pPr>
      <w:r>
        <w:t xml:space="preserve">Honda-specified packing rules per product.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DunnageCode</w:t>
            </w:r>
          </w:p>
        </w:tc>
        <w:tc>
          <w:tcPr>
            <w:shd w:val="clear" w:color="auto" w:fill="F2F2F2"/>
          </w:tcPr>
          <w:tcPr/>
          <w:p>
            <w:pPr>
              <w:pStyle w:val="Compact"/>
            </w:pPr>
            <w:r>
              <w:t xml:space="preserve">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known-gap-tool-life-tracking"/>
    <w:p>
      <w:pPr>
        <w:pStyle w:val="Heading3"/>
      </w:pPr>
      <w:r>
        <w:t xml:space="preserve">⚠ Known Gap: Tool Life Tracking</w:t>
      </w:r>
    </w:p>
    <w:p>
      <w:pPr>
        <w:pStyle w:val="BlockText"/>
      </w:pPr>
      <w:r>
        <w:rPr>
          <w:b/>
          <w:bCs/>
        </w:rPr>
        <w:t xml:space="preserve">Scope Matrix row 26</w:t>
      </w:r>
      <w:r>
        <w:t xml:space="preserve"> </w:t>
      </w:r>
      <w:r>
        <w:t xml:space="preserve">lists Tool Life as</w:t>
      </w:r>
      <w:r>
        <w:t xml:space="preserve"> </w:t>
      </w:r>
      <w:r>
        <w:rPr>
          <w:b/>
          <w:bCs/>
        </w:rPr>
        <w:t xml:space="preserve">Included</w:t>
      </w:r>
      <w:r>
        <w:t xml:space="preserve"> </w:t>
      </w:r>
      <w:r>
        <w:t xml:space="preserve">(FRS 5.6.6), but no dedicated table exists in the current data model. Options to address:</w:t>
      </w:r>
      <w:r>
        <w:t xml:space="preserve"> </w:t>
      </w:r>
      <w:r>
        <w:t xml:space="preserve">1.</w:t>
      </w:r>
      <w:r>
        <w:t xml:space="preserve"> </w:t>
      </w:r>
      <w:r>
        <w:rPr>
          <w:rStyle w:val="VerbatimChar"/>
          <w:b/>
          <w:bCs/>
        </w:rPr>
        <w:t xml:space="preserve">LocationAttribute</w:t>
      </w:r>
      <w:r>
        <w:t xml:space="preserve"> </w:t>
      </w:r>
      <w:r>
        <w:t xml:space="preserve">— track tool shot counts and replacement thresholds as configurable attributes on Machine-type locations (leverages existing infrastructure)</w:t>
      </w:r>
      <w:r>
        <w:t xml:space="preserve"> </w:t>
      </w:r>
      <w:r>
        <w:t xml:space="preserve">2.</w:t>
      </w:r>
      <w:r>
        <w:t xml:space="preserve"> </w:t>
      </w:r>
      <w:r>
        <w:rPr>
          <w:b/>
          <w:bCs/>
        </w:rPr>
        <w:t xml:space="preserve">Dedicated</w:t>
      </w:r>
      <w:r>
        <w:rPr>
          <w:b/>
          <w:bCs/>
        </w:rPr>
        <w:t xml:space="preserve"> </w:t>
      </w:r>
      <w:r>
        <w:rPr>
          <w:rStyle w:val="VerbatimChar"/>
          <w:b/>
          <w:bCs/>
        </w:rPr>
        <w:t xml:space="preserve">ToolLife</w:t>
      </w:r>
      <w:r>
        <w:rPr>
          <w:b/>
          <w:bCs/>
        </w:rPr>
        <w:t xml:space="preserve"> </w:t>
      </w:r>
      <w:r>
        <w:rPr>
          <w:b/>
          <w:bCs/>
        </w:rPr>
        <w:t xml:space="preserve">table</w:t>
      </w:r>
      <w:r>
        <w:t xml:space="preserve"> </w:t>
      </w:r>
      <w:r>
        <w:t xml:space="preserve">— if tool life requires its own event history (install date, shot count, replacement events), a purpose-built table in the</w:t>
      </w:r>
      <w:r>
        <w:t xml:space="preserve"> </w:t>
      </w:r>
      <w:r>
        <w:rPr>
          <w:rStyle w:val="VerbatimChar"/>
        </w:rPr>
        <w:t xml:space="preserve">Parts</w:t>
      </w:r>
      <w:r>
        <w:t xml:space="preserve"> </w:t>
      </w:r>
      <w:r>
        <w:t xml:space="preserve">or</w:t>
      </w:r>
      <w:r>
        <w:t xml:space="preserve"> </w:t>
      </w:r>
      <w:r>
        <w:rPr>
          <w:rStyle w:val="VerbatimChar"/>
        </w:rPr>
        <w:t xml:space="preserve">Oee</w:t>
      </w:r>
      <w:r>
        <w:t xml:space="preserve"> </w:t>
      </w:r>
      <w:r>
        <w:t xml:space="preserve">schema would be cleaner</w:t>
      </w:r>
    </w:p>
    <w:p>
      <w:pPr>
        <w:pStyle w:val="BlockText"/>
      </w:pPr>
      <w:r>
        <w:rPr>
          <w:b/>
          <w:bCs/>
        </w:rPr>
        <w:t xml:space="preserve">Recommendation:</w:t>
      </w:r>
      <w:r>
        <w:t xml:space="preserve"> </w:t>
      </w:r>
      <w:r>
        <w:t xml:space="preserve">Gather requirements from MPP on what Tool Life tracking means operationally before deciding. If it’s just</w:t>
      </w:r>
      <w:r>
        <w:t xml:space="preserve"> </w:t>
      </w:r>
      <w:r>
        <w:t xml:space="preserve">“alert when shot count exceeds threshold,”</w:t>
      </w:r>
      <w:r>
        <w:t xml:space="preserve"> </w:t>
      </w:r>
      <w:r>
        <w:t xml:space="preserve">option 1 suffices. If it needs history and replacement workflows, option 2 is needed.</w:t>
      </w:r>
    </w:p>
    <w:p>
      <w:r>
        <w:pict>
          <v:rect style="width:0;height:1.5pt" o:hralign="center" o:hrstd="t" o:hr="t"/>
        </w:pict>
      </w:r>
    </w:p>
    <w:bookmarkEnd w:id="30"/>
    <w:bookmarkEnd w:id="31"/>
    <w:bookmarkStart w:id="47"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RECEIVED/RECEIVED_OFFSITE.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bookmarkStart w:id="32"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RECEIVED_OFFSITE</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32"/>
    <w:bookmarkStart w:id="33"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3"/>
    <w:bookmarkStart w:id="34"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34"/>
    <w:bookmarkStart w:id="35" w:name="lot"/>
    <w:p>
      <w:pPr>
        <w:pStyle w:val="Heading3"/>
      </w:pPr>
      <w:r>
        <w:t xml:space="preserve">Lot</w:t>
      </w:r>
    </w:p>
    <w:p>
      <w:pPr>
        <w:pStyle w:val="FirstParagraph"/>
      </w:pPr>
      <w:r>
        <w:t xml:space="preserve">The central tracking 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DieNumber</w:t>
            </w:r>
          </w:p>
        </w:tc>
        <w:tc>
          <w:tcPr>
            <w:shd w:val="clear" w:color="auto" w:fill="F2F2F2"/>
          </w:tcPr>
          <w:tcPr/>
          <w:p>
            <w:pPr>
              <w:pStyle w:val="Compact"/>
            </w:pPr>
            <w:r>
              <w:t xml:space="preserve">VARCHAR(50)</w:t>
            </w:r>
          </w:p>
        </w:tc>
        <w:tc>
          <w:tcPr>
            <w:shd w:val="clear" w:color="auto" w:fill="F2F2F2"/>
          </w:tcPr>
          <w:tcPr/>
          <w:p>
            <w:pPr>
              <w:pStyle w:val="Compact"/>
            </w:pPr>
            <w:r>
              <w:t xml:space="preserve">NULL</w:t>
            </w:r>
          </w:p>
        </w:tc>
        <w:tc>
          <w:tcPr>
            <w:shd w:val="clear" w:color="auto" w:fill="F2F2F2"/>
          </w:tcPr>
          <w:tcPr/>
          <w:p>
            <w:pPr>
              <w:pStyle w:val="Compact"/>
            </w:pPr>
            <w:r>
              <w:t xml:space="preserve">Die cast LOTs only</w:t>
            </w:r>
          </w:p>
        </w:tc>
      </w:tr>
      <w:tr>
        <w:tc>
          <w:tcPr/>
          <w:p>
            <w:pPr>
              <w:pStyle w:val="Compact"/>
            </w:pPr>
            <w:r>
              <w:t xml:space="preserve">CavityNumber</w:t>
            </w:r>
          </w:p>
        </w:tc>
        <w:tc>
          <w:tcPr/>
          <w:p>
            <w:pPr>
              <w:pStyle w:val="Compact"/>
            </w:pPr>
            <w:r>
              <w:t xml:space="preserve">VARCHAR(50)</w:t>
            </w:r>
          </w:p>
        </w:tc>
        <w:tc>
          <w:tcPr/>
          <w:p>
            <w:pPr>
              <w:pStyle w:val="Compact"/>
            </w:pPr>
            <w:r>
              <w:t xml:space="preserve">NULL</w:t>
            </w:r>
          </w:p>
        </w:tc>
        <w:tc>
          <w:tcPr/>
          <w:p>
            <w:pPr>
              <w:pStyle w:val="Compact"/>
            </w:pPr>
            <w:r>
              <w:t xml:space="preserve">Die cast LOTs only</w:t>
            </w:r>
          </w:p>
        </w:tc>
      </w:tr>
      <w:tr>
        <w:tc>
          <w:tcPr>
            <w:shd w:val="clear" w:color="auto" w:fill="F2F2F2"/>
          </w:tcPr>
          <w:tcPr/>
          <w:p>
            <w:pPr>
              <w:pStyle w:val="Compact"/>
            </w:pPr>
            <w:r>
              <w:t xml:space="preserve">VendorLotNumber</w:t>
            </w:r>
          </w:p>
        </w:tc>
        <w:tc>
          <w:tcPr>
            <w:shd w:val="clear" w:color="auto" w:fill="F2F2F2"/>
          </w:tcPr>
          <w:tcPr/>
          <w:p>
            <w:pPr>
              <w:pStyle w:val="Compact"/>
            </w:pPr>
            <w:r>
              <w:t xml:space="preserve">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INT</w:t>
            </w:r>
          </w:p>
        </w:tc>
        <w:tc>
          <w:tcPr/>
          <w:p>
            <w:pPr>
              <w:pStyle w:val="Compact"/>
            </w:pPr>
            <w:r>
              <w:t xml:space="preserve">FK → Lot.Id, NULL</w:t>
            </w:r>
          </w:p>
        </w:tc>
        <w:tc>
          <w:tcPr/>
          <w:p>
            <w:pPr>
              <w:pStyle w:val="Compact"/>
            </w:pPr>
            <w:r>
              <w:t xml:space="preserve">Adjacency list link for sub-LOTs</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w:t>
            </w:r>
          </w:p>
        </w:tc>
        <w:tc>
          <w:tcPr/>
          <w:p>
            <w:pPr>
              <w:pStyle w:val="Compact"/>
            </w:pPr>
            <w:r>
              <w:t xml:space="preserve">VARCHAR(100)</w:t>
            </w:r>
          </w:p>
        </w:tc>
        <w:tc>
          <w:tcPr/>
          <w:p>
            <w:pPr>
              <w:pStyle w:val="Compact"/>
            </w:pPr>
            <w:r>
              <w:t xml:space="preserve">NULL</w:t>
            </w:r>
          </w:p>
        </w:tc>
        <w:tc>
          <w:tcPr/>
          <w:p>
            <w:pPr>
              <w:pStyle w:val="Compact"/>
            </w:pPr>
          </w:p>
        </w:tc>
      </w:tr>
    </w:tbl>
    <w:bookmarkEnd w:id="35"/>
    <w:bookmarkStart w:id="36"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EventTerminalId</w:t>
            </w:r>
          </w:p>
        </w:tc>
        <w:tc>
          <w:tcPr/>
          <w:p>
            <w:pPr>
              <w:pStyle w:val="Compact"/>
            </w:pPr>
            <w:r>
              <w:t xml:space="preserve">INT</w:t>
            </w:r>
          </w:p>
        </w:tc>
        <w:tc>
          <w:tcPr/>
          <w:p>
            <w:pPr>
              <w:pStyle w:val="Compact"/>
            </w:pPr>
            <w:r>
              <w:t xml:space="preserve">FK → Location.Id (Terminal), NULL</w:t>
            </w:r>
          </w:p>
        </w:tc>
        <w:tc>
          <w:tcPr/>
          <w:p>
            <w:pPr>
              <w:pStyle w:val="Compact"/>
            </w:pP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6"/>
    <w:bookmarkStart w:id="37" w:name="lotstatushistory"/>
    <w:p>
      <w:pPr>
        <w:pStyle w:val="Heading3"/>
      </w:pPr>
      <w:r>
        <w:t xml:space="preserve">LotStatusHistory</w:t>
      </w:r>
    </w:p>
    <w:p>
      <w:pPr>
        <w:pStyle w:val="FirstParagraph"/>
      </w:pPr>
      <w:r>
        <w:t xml:space="preserve">Immutable log of every status transition.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ChangedAtTerminalId</w:t>
            </w:r>
          </w:p>
        </w:tc>
        <w:tc>
          <w:tcPr/>
          <w:p>
            <w:pPr>
              <w:pStyle w:val="Compact"/>
            </w:pPr>
            <w:r>
              <w:t xml:space="preserve">INT</w:t>
            </w:r>
          </w:p>
        </w:tc>
        <w:tc>
          <w:tcPr/>
          <w:p>
            <w:pPr>
              <w:pStyle w:val="Compact"/>
            </w:pPr>
            <w:r>
              <w:t xml:space="preserve">FK → Location.Id (Terminal), NULL</w:t>
            </w:r>
          </w:p>
        </w:tc>
        <w:tc>
          <w:tcPr/>
          <w:p>
            <w:pPr>
              <w:pStyle w:val="Compact"/>
            </w:pP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7"/>
    <w:bookmarkStart w:id="38"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MovedAtTerminalId</w:t>
            </w:r>
          </w:p>
        </w:tc>
        <w:tc>
          <w:tcPr>
            <w:shd w:val="clear" w:color="auto" w:fill="F2F2F2"/>
          </w:tcPr>
          <w:tcPr/>
          <w:p>
            <w:pPr>
              <w:pStyle w:val="Compact"/>
            </w:pPr>
            <w:r>
              <w:t xml:space="preserve">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38"/>
    <w:bookmarkStart w:id="39" w:name="lotattributechange"/>
    <w:p>
      <w:pPr>
        <w:pStyle w:val="Heading3"/>
      </w:pPr>
      <w:r>
        <w:t xml:space="preserve">LotAttributeChange</w:t>
      </w:r>
    </w:p>
    <w:p>
      <w:pPr>
        <w:pStyle w:val="FirstParagraph"/>
      </w:pPr>
      <w:r>
        <w:t xml:space="preserve">Audit log for attribute modifications.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VARCHAR(100)</w:t>
            </w:r>
          </w:p>
        </w:tc>
        <w:tc>
          <w:tcPr/>
          <w:p>
            <w:pPr>
              <w:pStyle w:val="Compact"/>
            </w:pPr>
            <w:r>
              <w:t xml:space="preserve">NOT NULL</w:t>
            </w:r>
          </w:p>
        </w:tc>
        <w:tc>
          <w:tcPr/>
          <w:p>
            <w:pPr>
              <w:pStyle w:val="Compact"/>
            </w:pPr>
            <w:r>
              <w:t xml:space="preserve">e.g., piece_count,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ChangedAtTerminalId</w:t>
            </w:r>
          </w:p>
        </w:tc>
        <w:tc>
          <w:tcPr/>
          <w:p>
            <w:pPr>
              <w:pStyle w:val="Compact"/>
            </w:pPr>
            <w:r>
              <w:t xml:space="preserve">INT</w:t>
            </w:r>
          </w:p>
        </w:tc>
        <w:tc>
          <w:tcPr/>
          <w:p>
            <w:pPr>
              <w:pStyle w:val="Compact"/>
            </w:pPr>
            <w:r>
              <w:t xml:space="preserve">FK → Location.Id (Terminal), NULL</w:t>
            </w:r>
          </w:p>
        </w:tc>
        <w:tc>
          <w:tcPr/>
          <w:p>
            <w:pPr>
              <w:pStyle w:val="Compact"/>
            </w:pP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w:t>
            </w:r>
          </w:p>
        </w:tc>
        <w:tc>
          <w:tcPr/>
          <w:p>
            <w:pPr>
              <w:pStyle w:val="Compact"/>
            </w:pPr>
            <w:r>
              <w:t xml:space="preserve">VARCHAR(100)</w:t>
            </w:r>
          </w:p>
        </w:tc>
        <w:tc>
          <w:tcPr/>
          <w:p>
            <w:pPr>
              <w:pStyle w:val="Compact"/>
            </w:pPr>
            <w:r>
              <w:t xml:space="preserve">NOT NULL</w:t>
            </w:r>
          </w:p>
        </w:tc>
        <w:tc>
          <w:tcPr/>
          <w:p>
            <w:pPr>
              <w:pStyle w:val="Compact"/>
            </w:pPr>
            <w:r>
              <w:t xml:space="preserve">INITIAL, REPRINT_DAMAGED, SPLIT, MERGE, SORT_CAGE</w:t>
            </w:r>
          </w:p>
        </w:tc>
      </w:tr>
      <w:tr>
        <w:tc>
          <w:tcPr>
            <w:shd w:val="clear" w:color="auto" w:fill="F2F2F2"/>
          </w:tcPr>
          <w:tcPr/>
          <w:p>
            <w:pPr>
              <w:pStyle w:val="Compact"/>
            </w:pPr>
            <w:r>
              <w:t xml:space="preserve">ZplContent</w:t>
            </w:r>
          </w:p>
        </w:tc>
        <w:tc>
          <w:tcPr>
            <w:shd w:val="clear" w:color="auto" w:fill="F2F2F2"/>
          </w:tcPr>
          <w:tcPr/>
          <w:p>
            <w:pPr>
              <w:pStyle w:val="Compact"/>
            </w:pPr>
            <w:r>
              <w:t xml:space="preserve">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41"/>
    <w:bookmarkStart w:id="42"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2"/>
    <w:bookmarkStart w:id="43"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3"/>
    <w:bookmarkStart w:id="44"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44"/>
    <w:bookmarkStart w:id="45"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hardware_interlock_bypassed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hardware_interlock_bypassed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45"/>
    <w:bookmarkStart w:id="46"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w:t>
            </w:r>
          </w:p>
        </w:tc>
        <w:tc>
          <w:tcPr>
            <w:shd w:val="clear" w:color="auto" w:fill="F2F2F2"/>
          </w:tcPr>
          <w:tcPr/>
          <w:p>
            <w:pPr>
              <w:pStyle w:val="Compact"/>
            </w:pPr>
            <w:r>
              <w:t xml:space="preserve">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w:t>
            </w:r>
          </w:p>
        </w:tc>
        <w:tc>
          <w:tcPr/>
          <w:p>
            <w:pPr>
              <w:pStyle w:val="Compact"/>
            </w:pPr>
            <w:r>
              <w:t xml:space="preserve">VARCHAR(100)</w:t>
            </w:r>
          </w:p>
        </w:tc>
        <w:tc>
          <w:tcPr/>
          <w:p>
            <w:pPr>
              <w:pStyle w:val="Compact"/>
            </w:pPr>
            <w:r>
              <w:t xml:space="preserve">NULL</w:t>
            </w:r>
          </w:p>
        </w:tc>
        <w:tc>
          <w:tcPr/>
          <w:p>
            <w:pPr>
              <w:pStyle w:val="Compact"/>
            </w:pPr>
          </w:p>
        </w:tc>
      </w:tr>
    </w:tbl>
    <w:p>
      <w:r>
        <w:pict>
          <v:rect style="width:0;height:1.5pt" o:hralign="center" o:hrstd="t" o:hr="t"/>
        </w:pict>
      </w:r>
    </w:p>
    <w:bookmarkEnd w:id="46"/>
    <w:bookmarkEnd w:id="47"/>
    <w:bookmarkStart w:id="55"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w:t>
      </w:r>
      <w:r>
        <w:t xml:space="preserve">—</w:t>
      </w:r>
      <w:r>
        <w:t xml:space="preserve"> </w:t>
      </w:r>
      <w:r>
        <w:rPr>
          <w:b/>
          <w:bCs/>
        </w:rPr>
        <w:t xml:space="preserve">MVP</w:t>
      </w:r>
      <w:r>
        <w:t xml:space="preserve"> </w:t>
      </w:r>
      <w:r>
        <w:t xml:space="preserve">(Production Data Acquisition is included and expanded)</w:t>
      </w:r>
    </w:p>
    <w:p>
      <w:pPr>
        <w:pStyle w:val="BlockText"/>
      </w:pPr>
      <w:r>
        <w:t xml:space="preserve">🔶</w:t>
      </w:r>
      <w:r>
        <w:t xml:space="preserve"> </w:t>
      </w:r>
      <w:r>
        <w:rPr>
          <w:b/>
          <w:bCs/>
        </w:rPr>
        <w:t xml:space="preserve">PENDING CUSTOMER VALIDATION — OI-07:</w:t>
      </w:r>
      <w:r>
        <w:t xml:space="preserve"> </w:t>
      </w:r>
      <w:r>
        <w:t xml:space="preserve">Work orders are included as invisible bookkeeping (auto-generated behind the scenes). Operators never see or interact with WOs. All WO tables are populated but no WO-specific Perspective screens are built.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48"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IN_PROGRESS, COMPLETED, CANCELLED</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48"/>
    <w:bookmarkStart w:id="49"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IN_PROGRESS, COMPLETED, SKIPPED</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49"/>
    <w:bookmarkStart w:id="50" w:name="workorder"/>
    <w:p>
      <w:pPr>
        <w:pStyle w:val="Heading3"/>
      </w:pPr>
      <w:r>
        <w:t xml:space="preserve">WorkOrder</w:t>
      </w:r>
    </w:p>
    <w:p>
      <w:pPr>
        <w:pStyle w:val="FirstParagraph"/>
      </w:pPr>
      <w:r>
        <w:t xml:space="preserve">Auto-generated internal work order. Operators never see this.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INT</w:t>
            </w:r>
          </w:p>
        </w:tc>
        <w:tc>
          <w:tcPr>
            <w:shd w:val="clear" w:color="auto" w:fill="F2F2F2"/>
          </w:tcPr>
          <w:tcPr/>
          <w:p>
            <w:pPr>
              <w:pStyle w:val="Compact"/>
            </w:pPr>
            <w:r>
              <w:t xml:space="preserve">FK → RouteTemplate.Id, NOT NULL</w:t>
            </w:r>
          </w:p>
        </w:tc>
        <w:tc>
          <w:tcPr>
            <w:shd w:val="clear" w:color="auto" w:fill="F2F2F2"/>
          </w:tcPr>
          <w:tcPr/>
          <w:p>
            <w:pPr>
              <w:pStyle w:val="Compact"/>
            </w:pPr>
            <w:r>
              <w:t xml:space="preserve">The route version active at creation</w:t>
            </w:r>
          </w:p>
        </w:tc>
      </w:tr>
      <w:tr>
        <w:tc>
          <w:tcPr/>
          <w:p>
            <w:pPr>
              <w:pStyle w:val="Compact"/>
            </w:pPr>
            <w:r>
              <w:t xml:space="preserve">WorkOrderStatusId</w:t>
            </w:r>
          </w:p>
        </w:tc>
        <w:tc>
          <w:tcPr/>
          <w:p>
            <w:pPr>
              <w:pStyle w:val="Compact"/>
            </w:pPr>
            <w:r>
              <w:t xml:space="preserve">INT</w:t>
            </w:r>
          </w:p>
        </w:tc>
        <w:tc>
          <w:tcPr/>
          <w:p>
            <w:pPr>
              <w:pStyle w:val="Compact"/>
            </w:pPr>
            <w:r>
              <w:t xml:space="preserve">FK → WorkOrderStatus.Id,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0"/>
    <w:bookmarkStart w:id="51"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INT</w:t>
            </w:r>
          </w:p>
        </w:tc>
        <w:tc>
          <w:tcPr/>
          <w:p>
            <w:pPr>
              <w:pStyle w:val="Compact"/>
            </w:pPr>
            <w:r>
              <w:t xml:space="preserve">FK → AppUser.Id, NULL</w:t>
            </w:r>
          </w:p>
        </w:tc>
        <w:tc>
          <w:tcPr/>
          <w:p>
            <w:pPr>
              <w:pStyle w:val="Compact"/>
            </w:pPr>
          </w:p>
        </w:tc>
      </w:tr>
    </w:tbl>
    <w:bookmarkEnd w:id="51"/>
    <w:bookmarkStart w:id="52" w:name="productionevent"/>
    <w:p>
      <w:pPr>
        <w:pStyle w:val="Heading3"/>
      </w:pPr>
      <w:r>
        <w:t xml:space="preserve">ProductionEvent</w:t>
      </w:r>
    </w:p>
    <w:p>
      <w:pPr>
        <w:pStyle w:val="FirstParagraph"/>
      </w:pPr>
      <w:r>
        <w:t xml:space="preserve">Immutable record of production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LotId</w:t>
            </w:r>
          </w:p>
        </w:tc>
        <w:tc>
          <w:tcPr/>
          <w:p>
            <w:pPr>
              <w:pStyle w:val="Compact"/>
            </w:pPr>
            <w:r>
              <w:t xml:space="preserve">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NoGoodCount</w:t>
            </w:r>
          </w:p>
        </w:tc>
        <w:tc>
          <w:tcPr/>
          <w:p>
            <w:pPr>
              <w:pStyle w:val="Compact"/>
            </w:pPr>
            <w:r>
              <w:t xml:space="preserve">INT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RecordedAt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Remarks</w:t>
            </w:r>
          </w:p>
        </w:tc>
        <w:tc>
          <w:tcPr/>
          <w:p>
            <w:pPr>
              <w:pStyle w:val="Compact"/>
            </w:pPr>
            <w:r>
              <w:t xml:space="preserve">VARCHAR(500)</w:t>
            </w:r>
          </w:p>
        </w:tc>
        <w:tc>
          <w:tcPr/>
          <w:p>
            <w:pPr>
              <w:pStyle w:val="Compact"/>
            </w:pPr>
            <w:r>
              <w:t xml:space="preserve">NULL</w:t>
            </w:r>
          </w:p>
        </w:tc>
        <w:tc>
          <w:tcPr/>
          <w:p>
            <w:pPr>
              <w:pStyle w:val="Compact"/>
            </w:pPr>
          </w:p>
        </w:tc>
      </w:tr>
    </w:tbl>
    <w:bookmarkEnd w:id="52"/>
    <w:bookmarkStart w:id="53"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53"/>
    <w:bookmarkStart w:id="54" w:name="rejectevent"/>
    <w:p>
      <w:pPr>
        <w:pStyle w:val="Heading3"/>
      </w:pPr>
      <w:r>
        <w:t xml:space="preserve">RejectEvent</w:t>
      </w:r>
    </w:p>
    <w:p>
      <w:pPr>
        <w:pStyle w:val="FirstParagraph"/>
      </w:pPr>
      <w:r>
        <w:t xml:space="preserve">Detailed reject/scrap records.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54"/>
    <w:bookmarkEnd w:id="55"/>
    <w:bookmarkStart w:id="65"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56"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56"/>
    <w:bookmarkStart w:id="57"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7"/>
    <w:bookmarkStart w:id="58"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58"/>
    <w:bookmarkStart w:id="59" w:name="qualityspecattribute"/>
    <w:p>
      <w:pPr>
        <w:pStyle w:val="Heading3"/>
      </w:pPr>
      <w:r>
        <w:t xml:space="preserve">QualitySpecAttribute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59"/>
    <w:bookmarkStart w:id="60"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w:t>
            </w:r>
          </w:p>
        </w:tc>
        <w:tc>
          <w:tcPr/>
          <w:p>
            <w:pPr>
              <w:pStyle w:val="Compact"/>
            </w:pPr>
            <w:r>
              <w:t xml:space="preserve">VARCHAR(100)</w:t>
            </w:r>
          </w:p>
        </w:tc>
        <w:tc>
          <w:tcPr/>
          <w:p>
            <w:pPr>
              <w:pStyle w:val="Compact"/>
            </w:pPr>
            <w:r>
              <w:t xml:space="preserve">NULL</w:t>
            </w:r>
          </w:p>
        </w:tc>
        <w:tc>
          <w:tcPr/>
          <w:p>
            <w:pPr>
              <w:pStyle w:val="Compact"/>
            </w:pPr>
            <w:r>
              <w:t xml:space="preserve">SHIFT_START, DIE_CHANGE, TOOL_CHANGE, etc.</w:t>
            </w:r>
          </w:p>
        </w:tc>
      </w:tr>
      <w:tr>
        <w:tc>
          <w:tcPr>
            <w:shd w:val="clear" w:color="auto" w:fill="F2F2F2"/>
          </w:tcPr>
          <w:tcPr/>
          <w:p>
            <w:pPr>
              <w:pStyle w:val="Compact"/>
            </w:pPr>
            <w:r>
              <w:t xml:space="preserve">SampledByUserId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OverallResult</w:t>
            </w:r>
          </w:p>
        </w:tc>
        <w:tc>
          <w:tcPr>
            <w:shd w:val="clear" w:color="auto" w:fill="F2F2F2"/>
          </w:tcPr>
          <w:tcPr/>
          <w:p>
            <w:pPr>
              <w:pStyle w:val="Compact"/>
            </w:pPr>
            <w:r>
              <w:t xml:space="preserve">VARCHAR(20)</w:t>
            </w:r>
          </w:p>
        </w:tc>
        <w:tc>
          <w:tcPr>
            <w:shd w:val="clear" w:color="auto" w:fill="F2F2F2"/>
          </w:tcPr>
          <w:tcPr/>
          <w:p>
            <w:pPr>
              <w:pStyle w:val="Compact"/>
            </w:pPr>
            <w:r>
              <w:t xml:space="preserve">NOT NULL</w:t>
            </w:r>
          </w:p>
        </w:tc>
        <w:tc>
          <w:tcPr>
            <w:shd w:val="clear" w:color="auto" w:fill="F2F2F2"/>
          </w:tcPr>
          <w:tcPr/>
          <w:p>
            <w:pPr>
              <w:pStyle w:val="Compact"/>
            </w:pPr>
            <w:r>
              <w:t xml:space="preserve">PASS, FAIL</w:t>
            </w:r>
          </w:p>
        </w:tc>
      </w:tr>
      <w:tr>
        <w:tc>
          <w:tcPr/>
          <w:p>
            <w:pPr>
              <w:pStyle w:val="Compact"/>
            </w:pPr>
            <w:r>
              <w:t xml:space="preserve">Remarks</w:t>
            </w:r>
          </w:p>
        </w:tc>
        <w:tc>
          <w:tcPr/>
          <w:p>
            <w:pPr>
              <w:pStyle w:val="Compact"/>
            </w:pPr>
            <w:r>
              <w:t xml:space="preserve">VARCHAR(500)</w:t>
            </w:r>
          </w:p>
        </w:tc>
        <w:tc>
          <w:tcPr/>
          <w:p>
            <w:pPr>
              <w:pStyle w:val="Compact"/>
            </w:pPr>
            <w:r>
              <w:t xml:space="preserve">NULL</w:t>
            </w:r>
          </w:p>
        </w:tc>
        <w:tc>
          <w:tcPr/>
          <w:p>
            <w:pPr>
              <w:pStyle w:val="Compact"/>
            </w:pPr>
          </w:p>
        </w:tc>
      </w:tr>
    </w:tbl>
    <w:bookmarkEnd w:id="60"/>
    <w:bookmarkStart w:id="61"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61"/>
    <w:bookmarkStart w:id="62"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bl>
    <w:bookmarkEnd w:id="62"/>
    <w:bookmarkStart w:id="63"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w:t>
            </w:r>
          </w:p>
        </w:tc>
        <w:tc>
          <w:tcPr/>
          <w:p>
            <w:pPr>
              <w:pStyle w:val="Compact"/>
            </w:pPr>
            <w:r>
              <w:t xml:space="preserve">VARCHAR(50)</w:t>
            </w:r>
          </w:p>
        </w:tc>
        <w:tc>
          <w:tcPr/>
          <w:p>
            <w:pPr>
              <w:pStyle w:val="Compact"/>
            </w:pPr>
            <w:r>
              <w:t xml:space="preserve">NOT NULL</w:t>
            </w:r>
          </w:p>
        </w:tc>
        <w:tc>
          <w:tcPr/>
          <w:p>
            <w:pPr>
              <w:pStyle w:val="Compact"/>
            </w:pPr>
            <w:r>
              <w:t xml:space="preserve">Pending, USE_AS_IS, REWORK, SCRAP, RETURN_TO_VENDOR</w:t>
            </w:r>
          </w:p>
        </w:tc>
      </w:tr>
      <w:tr>
        <w:tc>
          <w:tcPr>
            <w:shd w:val="clear" w:color="auto" w:fill="F2F2F2"/>
          </w:tcPr>
          <w:tcPr/>
          <w:p>
            <w:pPr>
              <w:pStyle w:val="Compact"/>
            </w:pPr>
            <w:r>
              <w:t xml:space="preserve">Remarks</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w:t>
            </w:r>
          </w:p>
        </w:tc>
        <w:tc>
          <w:tcPr/>
          <w:p>
            <w:pPr>
              <w:pStyle w:val="Compact"/>
            </w:pPr>
            <w:r>
              <w:t xml:space="preserve">VARCHAR(100)</w:t>
            </w:r>
          </w:p>
        </w:tc>
        <w:tc>
          <w:tcPr/>
          <w:p>
            <w:pPr>
              <w:pStyle w:val="Compact"/>
            </w:pPr>
            <w:r>
              <w:t xml:space="preserve">NULL</w:t>
            </w:r>
          </w:p>
        </w:tc>
        <w:tc>
          <w:tcPr/>
          <w:p>
            <w:pPr>
              <w:pStyle w:val="Compact"/>
            </w:pPr>
          </w:p>
        </w:tc>
      </w:tr>
    </w:tbl>
    <w:bookmarkEnd w:id="63"/>
    <w:bookmarkStart w:id="64" w:name="holdevent"/>
    <w:p>
      <w:pPr>
        <w:pStyle w:val="Heading3"/>
      </w:pPr>
      <w:r>
        <w:t xml:space="preserve">HoldEvent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w:t>
            </w:r>
          </w:p>
        </w:tc>
        <w:tc>
          <w:tcPr>
            <w:shd w:val="clear" w:color="auto" w:fill="F2F2F2"/>
          </w:tcPr>
          <w:tcPr/>
          <w:p>
            <w:pPr>
              <w:pStyle w:val="Compact"/>
            </w:pPr>
            <w:r>
              <w:t xml:space="preserve">VARCHAR(50)</w:t>
            </w:r>
          </w:p>
        </w:tc>
        <w:tc>
          <w:tcPr>
            <w:shd w:val="clear" w:color="auto" w:fill="F2F2F2"/>
          </w:tcPr>
          <w:tcPr/>
          <w:p>
            <w:pPr>
              <w:pStyle w:val="Compact"/>
            </w:pPr>
            <w:r>
              <w:t xml:space="preserve">NOT NULL</w:t>
            </w:r>
          </w:p>
        </w:tc>
        <w:tc>
          <w:tcPr>
            <w:shd w:val="clear" w:color="auto" w:fill="F2F2F2"/>
          </w:tcPr>
          <w:tcPr/>
          <w:p>
            <w:pPr>
              <w:pStyle w:val="Compact"/>
            </w:pPr>
            <w:r>
              <w:t xml:space="preserve">Quality, CUSTOMER_COMPLAINT, PRECAUTIONARY</w:t>
            </w:r>
          </w:p>
        </w:tc>
      </w:tr>
      <w:tr>
        <w:tc>
          <w:tcPr/>
          <w:p>
            <w:pPr>
              <w:pStyle w:val="Compact"/>
            </w:pPr>
            <w:r>
              <w:t xml:space="preserve">Reason</w:t>
            </w:r>
          </w:p>
        </w:tc>
        <w:tc>
          <w:tcPr/>
          <w:p>
            <w:pPr>
              <w:pStyle w:val="Compact"/>
            </w:pPr>
            <w:r>
              <w:t xml:space="preserve">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ReleaseRemarks</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64"/>
    <w:bookmarkEnd w:id="65"/>
    <w:bookmarkStart w:id="72"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66" w:name="downtimereasontype"/>
    <w:p>
      <w:pPr>
        <w:pStyle w:val="Heading3"/>
      </w:pPr>
      <w:r>
        <w:t xml:space="preserve">DowntimeReasonType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r>
              <w:t xml:space="preserve">Equipment, Miscellaneous, Mold, Quality, Setup, Unscheduled</w:t>
            </w:r>
          </w:p>
        </w:tc>
      </w:tr>
    </w:tbl>
    <w:bookmarkEnd w:id="66"/>
    <w:bookmarkStart w:id="67" w:name="downtimereasoncode"/>
    <w:p>
      <w:pPr>
        <w:pStyle w:val="Heading3"/>
      </w:pPr>
      <w:r>
        <w:t xml:space="preserve">DowntimeReasonCode</w:t>
      </w:r>
    </w:p>
    <w:p>
      <w:pPr>
        <w:pStyle w:val="FirstParagraph"/>
      </w:pPr>
      <w:r>
        <w:t xml:space="preserve">~660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INT</w:t>
            </w:r>
          </w:p>
        </w:tc>
        <w:tc>
          <w:tcPr/>
          <w:p>
            <w:pPr>
              <w:pStyle w:val="Compact"/>
            </w:pPr>
            <w:r>
              <w:t xml:space="preserve">FK → DowntimeReasonType.Id, NULL</w:t>
            </w:r>
          </w:p>
        </w:tc>
        <w:tc>
          <w:tcPr/>
          <w:p>
            <w:pPr>
              <w:pStyle w:val="Compact"/>
            </w:pPr>
          </w:p>
        </w:tc>
      </w:tr>
      <w:tr>
        <w:tc>
          <w:tcPr>
            <w:shd w:val="clear" w:color="auto" w:fill="F2F2F2"/>
          </w:tcPr>
          <w:tcPr/>
          <w:p>
            <w:pPr>
              <w:pStyle w:val="Compact"/>
            </w:pPr>
            <w:r>
              <w:t xml:space="preserve">IsExcused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67"/>
    <w:bookmarkStart w:id="68" w:name="shiftschedule"/>
    <w:p>
      <w:pPr>
        <w:pStyle w:val="Heading3"/>
      </w:pPr>
      <w:r>
        <w:t xml:space="preserve">ShiftSchedule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StartTime</w:t>
            </w:r>
          </w:p>
        </w:tc>
        <w:tc>
          <w:tcPr/>
          <w:p>
            <w:pPr>
              <w:pStyle w:val="Compact"/>
            </w:pPr>
            <w:r>
              <w:t xml:space="preserve">TIME</w:t>
            </w:r>
          </w:p>
        </w:tc>
        <w:tc>
          <w:tcPr/>
          <w:p>
            <w:pPr>
              <w:pStyle w:val="Compact"/>
            </w:pPr>
            <w:r>
              <w:t xml:space="preserve">NOT NULL</w:t>
            </w:r>
          </w:p>
        </w:tc>
        <w:tc>
          <w:tcPr/>
          <w:p>
            <w:pPr>
              <w:pStyle w:val="Compact"/>
            </w:pPr>
          </w:p>
        </w:tc>
      </w:tr>
      <w:tr>
        <w:tc>
          <w:tcPr>
            <w:shd w:val="clear" w:color="auto" w:fill="F2F2F2"/>
          </w:tcPr>
          <w:tcPr/>
          <w:p>
            <w:pPr>
              <w:pStyle w:val="Compact"/>
            </w:pPr>
            <w:r>
              <w:t xml:space="preserve">EndTime</w:t>
            </w:r>
          </w:p>
        </w:tc>
        <w:tc>
          <w:tcPr>
            <w:shd w:val="clear" w:color="auto" w:fill="F2F2F2"/>
          </w:tcPr>
          <w:tcPr/>
          <w:p>
            <w:pPr>
              <w:pStyle w:val="Compact"/>
            </w:pPr>
            <w:r>
              <w:t xml:space="preserve">TIME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DaysOfWeek</w:t>
            </w:r>
          </w:p>
        </w:tc>
        <w:tc>
          <w:tcPr/>
          <w:p>
            <w:pPr>
              <w:pStyle w:val="Compact"/>
            </w:pPr>
            <w:r>
              <w:t xml:space="preserve">VARCHAR(20)</w:t>
            </w:r>
          </w:p>
        </w:tc>
        <w:tc>
          <w:tcPr/>
          <w:p>
            <w:pPr>
              <w:pStyle w:val="Compact"/>
            </w:pPr>
            <w:r>
              <w:t xml:space="preserve">NOT NULL</w:t>
            </w:r>
          </w:p>
        </w:tc>
        <w:tc>
          <w:tcPr/>
          <w:p>
            <w:pPr>
              <w:pStyle w:val="Compact"/>
            </w:pPr>
            <w:r>
              <w:t xml:space="preserve">e.g.,</w:t>
            </w:r>
            <w:r>
              <w:t xml:space="preserve"> </w:t>
            </w:r>
            <w:r>
              <w:t xml:space="preserve">“MTWTF”</w:t>
            </w:r>
            <w:r>
              <w:t xml:space="preserve">,</w:t>
            </w:r>
            <w:r>
              <w:t xml:space="preserve"> </w:t>
            </w:r>
            <w:r>
              <w:t xml:space="preserve">“MTWRF”</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8"/>
    <w:bookmarkStart w:id="69" w:name="shift"/>
    <w:p>
      <w:pPr>
        <w:pStyle w:val="Heading3"/>
      </w:pPr>
      <w:r>
        <w:t xml:space="preserve">Shift</w:t>
      </w:r>
    </w:p>
    <w:p>
      <w:pPr>
        <w:pStyle w:val="FirstParagraph"/>
      </w:pPr>
      <w:r>
        <w:t xml:space="preserve">Actual shift instances.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ShiftDate</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ActualStart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ActualEnd</w:t>
            </w:r>
          </w:p>
        </w:tc>
        <w:tc>
          <w:tcPr/>
          <w:p>
            <w:pPr>
              <w:pStyle w:val="Compact"/>
            </w:pPr>
            <w:r>
              <w:t xml:space="preserve">DATETIME2(3)</w:t>
            </w:r>
          </w:p>
        </w:tc>
        <w:tc>
          <w:tcPr/>
          <w:p>
            <w:pPr>
              <w:pStyle w:val="Compact"/>
            </w:pPr>
            <w:r>
              <w:t xml:space="preserve">NULL</w:t>
            </w:r>
          </w:p>
        </w:tc>
        <w:tc>
          <w:tcPr/>
          <w:p>
            <w:pPr>
              <w:pStyle w:val="Compact"/>
            </w:pPr>
          </w:p>
        </w:tc>
      </w:tr>
    </w:tbl>
    <w:bookmarkEnd w:id="69"/>
    <w:bookmarkStart w:id="70"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Source</w:t>
            </w:r>
          </w:p>
        </w:tc>
        <w:tc>
          <w:tcPr/>
          <w:p>
            <w:pPr>
              <w:pStyle w:val="Compact"/>
            </w:pPr>
            <w:r>
              <w:t xml:space="preserve">VARCHAR(20)</w:t>
            </w:r>
          </w:p>
        </w:tc>
        <w:tc>
          <w:tcPr/>
          <w:p>
            <w:pPr>
              <w:pStyle w:val="Compact"/>
            </w:pPr>
            <w:r>
              <w:t xml:space="preserve">NOT NULL</w:t>
            </w:r>
          </w:p>
        </w:tc>
        <w:tc>
          <w:tcPr/>
          <w:p>
            <w:pPr>
              <w:pStyle w:val="Compact"/>
            </w:pPr>
            <w:r>
              <w:t xml:space="preserve">Manual, PLC</w:t>
            </w:r>
          </w:p>
        </w:tc>
      </w:tr>
      <w:tr>
        <w:tc>
          <w:tcPr>
            <w:shd w:val="clear" w:color="auto" w:fill="F2F2F2"/>
          </w:tcPr>
          <w:tcPr/>
          <w:p>
            <w:pPr>
              <w:pStyle w:val="Compact"/>
            </w:pPr>
            <w:r>
              <w:t xml:space="preserve">OperatorId</w:t>
            </w:r>
          </w:p>
        </w:tc>
        <w:tc>
          <w:tcPr>
            <w:shd w:val="clear" w:color="auto" w:fill="F2F2F2"/>
          </w:tcPr>
          <w:tcPr/>
          <w:p>
            <w:pPr>
              <w:pStyle w:val="Compact"/>
            </w:pPr>
            <w:r>
              <w:t xml:space="preserve">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(reason_type = Setup) with the</w:t>
      </w:r>
      <w:r>
        <w:t xml:space="preserve"> </w:t>
      </w:r>
      <w:r>
        <w:rPr>
          <w:rStyle w:val="VerbatimChar"/>
        </w:rPr>
        <w:t xml:space="preserve">ShotCount</w:t>
      </w:r>
      <w:r>
        <w:t xml:space="preserve"> </w:t>
      </w:r>
      <w:r>
        <w:t xml:space="preserve">attribute on the downtime event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70"/>
    <w:bookmarkStart w:id="71"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71"/>
    <w:bookmarkEnd w:id="72"/>
    <w:bookmarkStart w:id="79" w:name="audit-schema-mvp"/>
    <w:p>
      <w:pPr>
        <w:pStyle w:val="Heading2"/>
      </w:pPr>
      <w:r>
        <w:t xml:space="preserve">7.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73"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73"/>
    <w:bookmarkStart w:id="74"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LOT_CREATED, LOT_MOVED, PRODUCTION_RECORDED, HOLD_PLACED, etc.</w:t>
            </w:r>
          </w:p>
        </w:tc>
      </w:tr>
      <w:tr>
        <w:tc>
          <w:tcPr/>
          <w:p>
            <w:pPr>
              <w:pStyle w:val="Compact"/>
            </w:pPr>
            <w:r>
              <w:t xml:space="preserve">Name</w:t>
            </w:r>
          </w:p>
        </w:tc>
        <w:tc>
          <w:tcPr/>
          <w:p>
            <w:pPr>
              <w:pStyle w:val="Compact"/>
            </w:pPr>
            <w:r>
              <w:t xml:space="preserve">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4"/>
    <w:bookmarkStart w:id="75"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5"/>
    <w:bookmarkStart w:id="76"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6"/>
    <w:bookmarkStart w:id="77"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VARCHAR(MAX)</w:t>
            </w:r>
          </w:p>
        </w:tc>
        <w:tc>
          <w:tcPr/>
          <w:p>
            <w:pPr>
              <w:pStyle w:val="Compact"/>
            </w:pPr>
            <w:r>
              <w:t xml:space="preserve">NULL</w:t>
            </w:r>
          </w:p>
        </w:tc>
        <w:tc>
          <w:tcPr/>
          <w:p>
            <w:pPr>
              <w:pStyle w:val="Compact"/>
            </w:pPr>
            <w:r>
              <w:t xml:space="preserve">JSON or structured diff</w:t>
            </w:r>
          </w:p>
        </w:tc>
      </w:tr>
    </w:tbl>
    <w:bookmarkEnd w:id="77"/>
    <w:bookmarkStart w:id="78"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MPP MES — Data Model Reference</dc:title>
  <dc:creator/>
  <cp:keywords/>
  <dcterms:created xsi:type="dcterms:W3CDTF">2026-04-10T13:17:04Z</dcterms:created>
  <dcterms:modified xsi:type="dcterms:W3CDTF">2026-04-10T13:17:04Z</dcterms:modified>
</cp:coreProperties>
</file>

<file path=docProps/custom.xml><?xml version="1.0" encoding="utf-8"?>
<Properties xmlns="http://schemas.openxmlformats.org/officeDocument/2006/custom-properties" xmlns:vt="http://schemas.openxmlformats.org/officeDocument/2006/docPropsVTypes"/>
</file>