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Functional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7"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 — Working Draft</w:t>
      </w:r>
      <w:r>
        <w:t xml:space="preserve"> </w:t>
      </w:r>
      <w:r>
        <w:rPr>
          <w:b/>
          <w:bCs/>
        </w:rPr>
        <w:t xml:space="preserve">Date:</w:t>
      </w:r>
      <w:r>
        <w:t xml:space="preserve"> </w:t>
      </w:r>
      <w:r>
        <w:t xml:space="preserve">2026-04-06</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(7 schemas, ~50 tables)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7"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8"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End w:id="28"/>
    <w:bookmarkStart w:id="31" w:name="opc-connection-architecture"/>
    <w:p>
      <w:pPr>
        <w:pStyle w:val="Heading3"/>
      </w:pPr>
      <w:r>
        <w:t xml:space="preserve">1.5 OPC Connection Architecture</w:t>
      </w:r>
    </w:p>
    <w:bookmarkStart w:id="29"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29"/>
    <w:bookmarkStart w:id="30"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0"/>
    <w:bookmarkEnd w:id="31"/>
    <w:bookmarkStart w:id="35" w:name="security-architecture"/>
    <w:p>
      <w:pPr>
        <w:pStyle w:val="Heading3"/>
      </w:pPr>
      <w:r>
        <w:t xml:space="preserve">1.6 Security Architecture</w:t>
      </w:r>
    </w:p>
    <w:bookmarkStart w:id="32" w:name="fds-01-010-authentication"/>
    <w:p>
      <w:pPr>
        <w:pStyle w:val="Heading4"/>
      </w:pPr>
      <w:r>
        <w:t xml:space="preserve">FDS-01-010 — Authentication</w:t>
      </w:r>
    </w:p>
    <w:p>
      <w:pPr>
        <w:pStyle w:val="FirstParagraph"/>
      </w:pPr>
      <w:r>
        <w:t xml:space="preserve">Users SHALL authenticate via Active Directory. The Ignition Gateway SHALL be configured with an AD User Source. Shop-floor terminal authentication SHALL use clock number + PIN lookup against the</w:t>
      </w:r>
      <w:r>
        <w:t xml:space="preserve"> </w:t>
      </w:r>
      <w:r>
        <w:rPr>
          <w:rStyle w:val="VerbatimChar"/>
        </w:rPr>
        <w:t xml:space="preserve">Location.AppUser</w:t>
      </w:r>
      <w:r>
        <w:t xml:space="preserve"> </w:t>
      </w:r>
      <w:r>
        <w:t xml:space="preserve">table, which maps to an AD account. (FRS 5.3)</w:t>
      </w:r>
    </w:p>
    <w:bookmarkEnd w:id="32"/>
    <w:bookmarkStart w:id="33"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3"/>
    <w:bookmarkStart w:id="34"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4"/>
    <w:bookmarkEnd w:id="35"/>
    <w:bookmarkStart w:id="36"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6"/>
    <w:bookmarkEnd w:id="37"/>
    <w:bookmarkStart w:id="52" w:name="plant-model-location-hierarchy-mvp"/>
    <w:p>
      <w:pPr>
        <w:pStyle w:val="Heading2"/>
      </w:pPr>
      <w:r>
        <w:t xml:space="preserve">2. Plant Model &amp; Location Hierarchy —</w:t>
      </w:r>
      <w:r>
        <w:t xml:space="preserve"> </w:t>
      </w:r>
      <w:r>
        <w:rPr>
          <w:rStyle w:val="VerbatimChar"/>
        </w:rPr>
        <w:t xml:space="preserve">MVP</w:t>
      </w:r>
    </w:p>
    <w:bookmarkStart w:id="38"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1"/>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1"/>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1"/>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8"/>
    <w:bookmarkStart w:id="42" w:name="location-type-hierarchy"/>
    <w:p>
      <w:pPr>
        <w:pStyle w:val="Heading3"/>
      </w:pPr>
      <w:r>
        <w:t xml:space="preserve">2.2 Location Type Hierarchy</w:t>
      </w:r>
    </w:p>
    <w:bookmarkStart w:id="39"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39"/>
    <w:bookmarkStart w:id="40"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0"/>
    <w:bookmarkStart w:id="41"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1"/>
    <w:bookmarkEnd w:id="42"/>
    <w:bookmarkStart w:id="46" w:name="X992209ce0f4f05fcef114340f60f45bdbde0b2f"/>
    <w:p>
      <w:pPr>
        <w:pStyle w:val="Heading3"/>
      </w:pPr>
      <w:r>
        <w:t xml:space="preserve">2.3 Polymorphic Kinds and Configurable Attributes</w:t>
      </w:r>
    </w:p>
    <w:bookmarkStart w:id="43"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3"/>
    <w:bookmarkStart w:id="44"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4"/>
    <w:bookmarkStart w:id="45"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5"/>
    <w:bookmarkEnd w:id="46"/>
    <w:bookmarkStart w:id="48" w:name="seed-data-cells"/>
    <w:p>
      <w:pPr>
        <w:pStyle w:val="Heading3"/>
      </w:pPr>
      <w:r>
        <w:t xml:space="preserve">2.4 Seed Data — Cells</w:t>
      </w:r>
    </w:p>
    <w:bookmarkStart w:id="47"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7"/>
    <w:bookmarkEnd w:id="48"/>
    <w:bookmarkStart w:id="51" w:name="terminals"/>
    <w:p>
      <w:pPr>
        <w:pStyle w:val="Heading3"/>
      </w:pPr>
      <w:r>
        <w:t xml:space="preserve">2.5 Terminals</w:t>
      </w:r>
    </w:p>
    <w:p>
      <w:pPr>
        <w:pStyle w:val="BlockText"/>
      </w:pPr>
      <w:r>
        <w:t xml:space="preserve">✅</w:t>
      </w:r>
      <w:r>
        <w:t xml:space="preserve"> </w:t>
      </w:r>
      <w:r>
        <w:rPr>
          <w:b/>
          <w:bCs/>
        </w:rPr>
        <w:t xml:space="preserve">RESOLVED — OI-08 / UJ-12:</w:t>
      </w:r>
      <w:r>
        <w:t xml:space="preserve"> </w:t>
      </w:r>
      <w:r>
        <w:t xml:space="preserve">Terminals are shared (fewer terminals than machines). Operators scan a machine barcode/QR code as the first step of any interaction. 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w:t>
      </w:r>
    </w:p>
    <w:bookmarkStart w:id="49"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49"/>
    <w:bookmarkStart w:id="50" w:name="Xb385028747101cd3b49bee1f04b105e22693489"/>
    <w:p>
      <w:pPr>
        <w:pStyle w:val="Heading4"/>
      </w:pPr>
      <w:r>
        <w:t xml:space="preserve">FDS-02-009 — Machine Context via Barcode Scan</w:t>
      </w:r>
    </w:p>
    <w:p>
      <w:pPr>
        <w:pStyle w:val="FirstParagraph"/>
      </w:pPr>
      <w:r>
        <w:t xml:space="preserve">Terminals are shared across machines. The operator’s first action at any terminal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2"/>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2"/>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If the operator moves to a different machine, they scan the new machine’s barcode to switch context. The terminal location remains the same throughout the session.</w:t>
      </w:r>
    </w:p>
    <w:p>
      <w:r>
        <w:pict>
          <v:rect style="width:0;height:1.5pt" o:hralign="center" o:hrstd="t" o:hr="t"/>
        </w:pict>
      </w:r>
    </w:p>
    <w:bookmarkEnd w:id="50"/>
    <w:bookmarkEnd w:id="51"/>
    <w:bookmarkEnd w:id="52"/>
    <w:bookmarkStart w:id="76" w:name="master-data-management-mvp"/>
    <w:p>
      <w:pPr>
        <w:pStyle w:val="Heading2"/>
      </w:pPr>
      <w:r>
        <w:t xml:space="preserve">3. Master Data Management —</w:t>
      </w:r>
      <w:r>
        <w:t xml:space="preserve"> </w:t>
      </w:r>
      <w:r>
        <w:rPr>
          <w:rStyle w:val="VerbatimChar"/>
        </w:rPr>
        <w:t xml:space="preserve">MVP</w:t>
      </w:r>
    </w:p>
    <w:bookmarkStart w:id="56" w:name="item-master"/>
    <w:p>
      <w:pPr>
        <w:pStyle w:val="Heading3"/>
      </w:pPr>
      <w:r>
        <w:t xml:space="preserve">3.1 Item Master</w:t>
      </w:r>
    </w:p>
    <w:bookmarkStart w:id="53"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and max lot size. (FRS 3.4.1–3.4.5)</w:t>
      </w:r>
    </w:p>
    <w:bookmarkEnd w:id="53"/>
    <w:bookmarkStart w:id="54"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54"/>
    <w:bookmarkStart w:id="55"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55"/>
    <w:bookmarkEnd w:id="56"/>
    <w:bookmarkStart w:id="60" w:name="bills-of-material"/>
    <w:p>
      <w:pPr>
        <w:pStyle w:val="Heading3"/>
      </w:pPr>
      <w:r>
        <w:t xml:space="preserve">3.2 Bills of Material</w:t>
      </w:r>
    </w:p>
    <w:bookmarkStart w:id="57"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57"/>
    <w:bookmarkStart w:id="58"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58"/>
    <w:bookmarkStart w:id="59"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59"/>
    <w:bookmarkEnd w:id="60"/>
    <w:bookmarkStart w:id="66" w:name="route-templates"/>
    <w:p>
      <w:pPr>
        <w:pStyle w:val="Heading3"/>
      </w:pPr>
      <w:r>
        <w:t xml:space="preserve">3.3 Route Templates</w:t>
      </w:r>
    </w:p>
    <w:bookmarkStart w:id="61"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1"/>
    <w:bookmarkStart w:id="62"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2"/>
    <w:bookmarkStart w:id="63"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3"/>
    <w:bookmarkStart w:id="64"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64"/>
    <w:bookmarkStart w:id="65"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65"/>
    <w:bookmarkEnd w:id="66"/>
    <w:bookmarkStart w:id="69" w:name="operation-templates"/>
    <w:p>
      <w:pPr>
        <w:pStyle w:val="Heading3"/>
      </w:pPr>
      <w:r>
        <w:t xml:space="preserve">3.4 Operation Templates</w:t>
      </w:r>
    </w:p>
    <w:bookmarkStart w:id="67"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name, code</w:t>
            </w:r>
          </w:p>
        </w:tc>
        <w:tc>
          <w:tcPr/>
          <w:p>
            <w:pPr>
              <w:pStyle w:val="Compact"/>
            </w:pPr>
            <w:r>
              <w:t xml:space="preserve">Identity</w:t>
            </w:r>
          </w:p>
        </w:tc>
      </w:tr>
      <w:tr>
        <w:tc>
          <w:tcPr>
            <w:shd w:val="clear" w:color="auto" w:fill="F2F2F2"/>
          </w:tcPr>
          <w:tcPr/>
          <w:p>
            <w:pPr>
              <w:pStyle w:val="Compact"/>
            </w:pPr>
            <w:r>
              <w:t xml:space="preserve">AreaLocationId</w:t>
            </w:r>
          </w:p>
        </w:tc>
        <w:tc>
          <w:tcPr>
            <w:shd w:val="clear" w:color="auto" w:fill="F2F2F2"/>
          </w:tcPr>
          <w:tcPr/>
          <w:p>
            <w:pPr>
              <w:pStyle w:val="Compact"/>
            </w:pPr>
            <w:r>
              <w:t xml:space="preserve">Area this operation belongs to (for defect/downtime code filtering)</w:t>
            </w:r>
          </w:p>
        </w:tc>
      </w:tr>
      <w:tr>
        <w:tc>
          <w:tcPr/>
          <w:p>
            <w:pPr>
              <w:pStyle w:val="Compact"/>
            </w:pPr>
            <w:r>
              <w:t xml:space="preserve">RequiresMaterialVerification</w:t>
            </w:r>
          </w:p>
        </w:tc>
        <w:tc>
          <w:tcPr/>
          <w:p>
            <w:pPr>
              <w:pStyle w:val="Compact"/>
            </w:pPr>
            <w:r>
              <w:t xml:space="preserve">Operator must scan source LOT barcode before consuming</w:t>
            </w:r>
          </w:p>
        </w:tc>
      </w:tr>
      <w:tr>
        <w:tc>
          <w:tcPr>
            <w:shd w:val="clear" w:color="auto" w:fill="F2F2F2"/>
          </w:tcPr>
          <w:tcPr/>
          <w:p>
            <w:pPr>
              <w:pStyle w:val="Compact"/>
            </w:pPr>
            <w:r>
              <w:t xml:space="preserve">RequiresSerialNumber</w:t>
            </w:r>
          </w:p>
        </w:tc>
        <w:tc>
          <w:tcPr>
            <w:shd w:val="clear" w:color="auto" w:fill="F2F2F2"/>
          </w:tcPr>
          <w:tcPr/>
          <w:p>
            <w:pPr>
              <w:pStyle w:val="Compact"/>
            </w:pPr>
            <w:r>
              <w:t xml:space="preserve">Operation produces serialized parts</w:t>
            </w:r>
          </w:p>
        </w:tc>
      </w:tr>
      <w:tr>
        <w:tc>
          <w:tcPr/>
          <w:p>
            <w:pPr>
              <w:pStyle w:val="Compact"/>
            </w:pPr>
            <w:r>
              <w:t xml:space="preserve">CollectsDieInfo</w:t>
            </w:r>
          </w:p>
        </w:tc>
        <w:tc>
          <w:tcPr/>
          <w:p>
            <w:pPr>
              <w:pStyle w:val="Compact"/>
            </w:pPr>
            <w:r>
              <w:t xml:space="preserve">Screen shows die number field</w:t>
            </w:r>
          </w:p>
        </w:tc>
      </w:tr>
      <w:tr>
        <w:tc>
          <w:tcPr>
            <w:shd w:val="clear" w:color="auto" w:fill="F2F2F2"/>
          </w:tcPr>
          <w:tcPr/>
          <w:p>
            <w:pPr>
              <w:pStyle w:val="Compact"/>
            </w:pPr>
            <w:r>
              <w:t xml:space="preserve">CollectsCavityInfo</w:t>
            </w:r>
          </w:p>
        </w:tc>
        <w:tc>
          <w:tcPr>
            <w:shd w:val="clear" w:color="auto" w:fill="F2F2F2"/>
          </w:tcPr>
          <w:tcPr/>
          <w:p>
            <w:pPr>
              <w:pStyle w:val="Compact"/>
            </w:pPr>
            <w:r>
              <w:t xml:space="preserve">Screen shows cavity number field</w:t>
            </w:r>
          </w:p>
        </w:tc>
      </w:tr>
      <w:tr>
        <w:tc>
          <w:tcPr/>
          <w:p>
            <w:pPr>
              <w:pStyle w:val="Compact"/>
            </w:pPr>
            <w:r>
              <w:t xml:space="preserve">CollectsWeight</w:t>
            </w:r>
          </w:p>
        </w:tc>
        <w:tc>
          <w:tcPr/>
          <w:p>
            <w:pPr>
              <w:pStyle w:val="Compact"/>
            </w:pPr>
            <w:r>
              <w:t xml:space="preserve">Screen shows weight entry (with scale integration where available)</w:t>
            </w:r>
          </w:p>
        </w:tc>
      </w:tr>
      <w:tr>
        <w:tc>
          <w:tcPr>
            <w:shd w:val="clear" w:color="auto" w:fill="F2F2F2"/>
          </w:tcPr>
          <w:tcPr/>
          <w:p>
            <w:pPr>
              <w:pStyle w:val="Compact"/>
            </w:pPr>
            <w:r>
              <w:t xml:space="preserve">CollectsGoodCount</w:t>
            </w:r>
          </w:p>
        </w:tc>
        <w:tc>
          <w:tcPr>
            <w:shd w:val="clear" w:color="auto" w:fill="F2F2F2"/>
          </w:tcPr>
          <w:tcPr/>
          <w:p>
            <w:pPr>
              <w:pStyle w:val="Compact"/>
            </w:pPr>
            <w:r>
              <w:t xml:space="preserve">Screen shows good count entry</w:t>
            </w:r>
          </w:p>
        </w:tc>
      </w:tr>
      <w:tr>
        <w:tc>
          <w:tcPr/>
          <w:p>
            <w:pPr>
              <w:pStyle w:val="Compact"/>
            </w:pPr>
            <w:r>
              <w:t xml:space="preserve">CollectsBadCount</w:t>
            </w:r>
          </w:p>
        </w:tc>
        <w:tc>
          <w:tcPr/>
          <w:p>
            <w:pPr>
              <w:pStyle w:val="Compact"/>
            </w:pPr>
            <w:r>
              <w:t xml:space="preserve">Screen shows reject count entry</w:t>
            </w:r>
          </w:p>
        </w:tc>
      </w:tr>
    </w:tbl>
    <w:bookmarkEnd w:id="67"/>
    <w:bookmarkStart w:id="68"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 flags. A Die Cast screen shows die/cavity/weight fields; an Assembly screen shows serial number and material verification fields. The same screen component is reused — the template controls which sections are visible. (FRS 3.11.6)</w:t>
      </w:r>
    </w:p>
    <w:bookmarkEnd w:id="68"/>
    <w:bookmarkEnd w:id="69"/>
    <w:bookmarkStart w:id="72" w:name="part-to-location-eligibility"/>
    <w:p>
      <w:pPr>
        <w:pStyle w:val="Heading3"/>
      </w:pPr>
      <w:r>
        <w:t xml:space="preserve">3.5 Part-to-Location Eligibility</w:t>
      </w:r>
    </w:p>
    <w:bookmarkStart w:id="70"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0"/>
    <w:bookmarkStart w:id="71"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1"/>
    <w:bookmarkEnd w:id="72"/>
    <w:bookmarkStart w:id="75" w:name="container-configuration"/>
    <w:p>
      <w:pPr>
        <w:pStyle w:val="Heading3"/>
      </w:pPr>
      <w:r>
        <w:t xml:space="preserve">3.6 Container Configuration</w:t>
      </w:r>
    </w:p>
    <w:bookmarkStart w:id="73"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73"/>
    <w:bookmarkStart w:id="74"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p>
      <w:r>
        <w:pict>
          <v:rect style="width:0;height:1.5pt" o:hralign="center" o:hrstd="t" o:hr="t"/>
        </w:pict>
      </w:r>
    </w:p>
    <w:bookmarkEnd w:id="74"/>
    <w:bookmarkEnd w:id="75"/>
    <w:bookmarkEnd w:id="76"/>
    <w:bookmarkStart w:id="88" w:name="X2970193eafb64bf7490adf1a53e14ba3fd51569"/>
    <w:p>
      <w:pPr>
        <w:pStyle w:val="Heading2"/>
      </w:pPr>
      <w:r>
        <w:t xml:space="preserve">4. User Authentication &amp; Session Management —</w:t>
      </w:r>
      <w:r>
        <w:t xml:space="preserve"> </w:t>
      </w:r>
      <w:r>
        <w:rPr>
          <w:rStyle w:val="VerbatimChar"/>
        </w:rPr>
        <w:t xml:space="preserve">MVP</w:t>
      </w:r>
    </w:p>
    <w:bookmarkStart w:id="80" w:name="authentication-architecture"/>
    <w:p>
      <w:pPr>
        <w:pStyle w:val="Heading3"/>
      </w:pPr>
      <w:r>
        <w:t xml:space="preserve">4.1 Authentication Architecture</w:t>
      </w:r>
    </w:p>
    <w:bookmarkStart w:id="77" w:name="fds-04-001-active-directory-integration"/>
    <w:p>
      <w:pPr>
        <w:pStyle w:val="Heading4"/>
      </w:pPr>
      <w:r>
        <w:t xml:space="preserve">FDS-04-001 — Active Directory Integration</w:t>
      </w:r>
    </w:p>
    <w:p>
      <w:pPr>
        <w:pStyle w:val="FirstParagraph"/>
      </w:pPr>
      <w:r>
        <w:t xml:space="preserve">The Ignition Gateway SHALL be configured with an Active Directory User Source. All user authentication SHALL be performed against AD. The MES database SHALL NOT store passwords (except hashed PINs for terminal convenience login). (FRS 5.3)</w:t>
      </w:r>
    </w:p>
    <w:bookmarkEnd w:id="77"/>
    <w:bookmarkStart w:id="78" w:name="fds-04-002-app-user-records"/>
    <w:p>
      <w:pPr>
        <w:pStyle w:val="Heading4"/>
      </w:pPr>
      <w:r>
        <w:t xml:space="preserve">FDS-04-002 — App User Records</w:t>
      </w:r>
    </w:p>
    <w:p>
      <w:pPr>
        <w:pStyle w:val="FirstParagraph"/>
      </w:pPr>
      <w:r>
        <w:t xml:space="preserve">Each MES user SHALL have an</w:t>
      </w:r>
      <w:r>
        <w:t xml:space="preserve"> </w:t>
      </w:r>
      <w:r>
        <w:rPr>
          <w:rStyle w:val="VerbatimChar"/>
        </w:rPr>
        <w:t xml:space="preserve">AppUser</w:t>
      </w:r>
      <w:r>
        <w:t xml:space="preserve"> </w:t>
      </w:r>
      <w:r>
        <w:t xml:space="preserve">record in the MES database. This record exists for audit attribution (who did what), not for authentication. The</w:t>
      </w:r>
      <w:r>
        <w:t xml:space="preserve"> </w:t>
      </w:r>
      <w:r>
        <w:rPr>
          <w:rStyle w:val="VerbatimChar"/>
        </w:rPr>
        <w:t xml:space="preserve">AdAccount</w:t>
      </w:r>
      <w:r>
        <w:t xml:space="preserve"> </w:t>
      </w:r>
      <w:r>
        <w:t xml:space="preserve">field links to the AD identity. (FRS Spark Dependency B.8)</w:t>
      </w:r>
    </w:p>
    <w:bookmarkEnd w:id="78"/>
    <w:bookmarkStart w:id="79" w:name="fds-04-003-clock-number-pin-login"/>
    <w:p>
      <w:pPr>
        <w:pStyle w:val="Heading4"/>
      </w:pPr>
      <w:r>
        <w:t xml:space="preserve">FDS-04-003 — Clock Number + PIN Login</w:t>
      </w:r>
    </w:p>
    <w:p>
      <w:pPr>
        <w:pStyle w:val="FirstParagraph"/>
      </w:pPr>
      <w:r>
        <w:t xml:space="preserve">Shop-floor terminals SHALL support a convenience login mode: operator enters their clock number and a numeric PIN. The MES SHALL look up the</w:t>
      </w:r>
      <w:r>
        <w:t xml:space="preserve"> </w:t>
      </w:r>
      <w:r>
        <w:rPr>
          <w:rStyle w:val="VerbatimChar"/>
        </w:rPr>
        <w:t xml:space="preserve">AppUser</w:t>
      </w:r>
      <w:r>
        <w:t xml:space="preserve"> </w:t>
      </w:r>
      <w:r>
        <w:t xml:space="preserve">record by clock number, verify the PIN hash, and establish a Perspective session under the corresponding AD identity. This avoids requiring operators to type AD credentials on a shop-floor keyboard. (FRS 3.6.1)</w:t>
      </w:r>
    </w:p>
    <w:bookmarkEnd w:id="79"/>
    <w:bookmarkEnd w:id="80"/>
    <w:bookmarkStart w:id="84" w:name="session-lifecycle"/>
    <w:p>
      <w:pPr>
        <w:pStyle w:val="Heading3"/>
      </w:pPr>
      <w:r>
        <w:t xml:space="preserve">4.2 Session Lifecycle</w:t>
      </w:r>
    </w:p>
    <w:p>
      <w:pPr>
        <w:pStyle w:val="BlockText"/>
      </w:pPr>
      <w:r>
        <w:t xml:space="preserve">🔶</w:t>
      </w:r>
      <w:r>
        <w:t xml:space="preserve"> </w:t>
      </w:r>
      <w:r>
        <w:rPr>
          <w:b/>
          <w:bCs/>
        </w:rPr>
        <w:t xml:space="preserve">PENDING CUSTOMER VALIDATION — OI-06 / UJ-01:</w:t>
      </w:r>
      <w:r>
        <w:t xml:space="preserve"> </w:t>
      </w:r>
      <w:r>
        <w:t xml:space="preserve">Blue Ridge recommends login-on-first-action with 5-minute inactivity timeout. High-security actions require re-authentication. Zone-based authentication requirements are under investigation as an alternative. Needs MPP validation before screen design.</w:t>
      </w:r>
    </w:p>
    <w:bookmarkStart w:id="81" w:name="fds-04-004-session-model"/>
    <w:p>
      <w:pPr>
        <w:pStyle w:val="Heading4"/>
      </w:pPr>
      <w:r>
        <w:t xml:space="preserve">FDS-04-004 — Session Model</w:t>
      </w:r>
    </w:p>
    <w:p>
      <w:pPr>
        <w:pStyle w:val="FirstParagraph"/>
      </w:pPr>
      <w:r>
        <w:t xml:space="preserve">Operators SHALL authenticate on their first action at a terminal using clock number + PIN. The session SHALL remain active until the operator explicitly logs out or a configurable inactivity timeout expires (default: 5 minutes). An easy logout button SHALL be visible on all screens to support quick operator handoff at shared terminals.</w:t>
      </w:r>
    </w:p>
    <w:bookmarkEnd w:id="81"/>
    <w:bookmarkStart w:id="82" w:name="fds-04-005-elevated-actions"/>
    <w:p>
      <w:pPr>
        <w:pStyle w:val="Heading4"/>
      </w:pPr>
      <w:r>
        <w:t xml:space="preserve">FDS-04-005 — Elevated Actions</w:t>
      </w:r>
    </w:p>
    <w:p>
      <w:pPr>
        <w:pStyle w:val="FirstParagraph"/>
      </w:pPr>
      <w:r>
        <w:t xml:space="preserve">Actions with quality or financial impact (placing/releasing holds, scrapping LOTs, voiding shipping labels) SHALL require re-authentication regardless of session state. The system SHALL prompt for clock number + PIN before executing these actions, even if the operator has an active session. (FRS 3.3.1, 3.3.4)</w:t>
      </w:r>
    </w:p>
    <w:bookmarkEnd w:id="82"/>
    <w:bookmarkStart w:id="83" w:name="fds-04-006-multi-user-terminals"/>
    <w:p>
      <w:pPr>
        <w:pStyle w:val="Heading4"/>
      </w:pPr>
      <w:r>
        <w:t xml:space="preserve">FDS-04-006 — Multi-User Terminals</w:t>
      </w:r>
    </w:p>
    <w:p>
      <w:pPr>
        <w:pStyle w:val="FirstParagraph"/>
      </w:pPr>
      <w:r>
        <w:t xml:space="preserve">Since terminals are shared (per FDS-02-008), multiple operators will use the same terminal. The 5-minute timeout and prominent logout button ensure clean handoffs. Each operator authenticates individually via clock number + PIN. No full session restart is required — the system transitions directly from one user to another.</w:t>
      </w:r>
    </w:p>
    <w:bookmarkEnd w:id="83"/>
    <w:bookmarkEnd w:id="84"/>
    <w:bookmarkStart w:id="87" w:name="role-based-access"/>
    <w:p>
      <w:pPr>
        <w:pStyle w:val="Heading3"/>
      </w:pPr>
      <w:r>
        <w:t xml:space="preserve">4.3 Role-Based Access</w:t>
      </w:r>
    </w:p>
    <w:bookmarkStart w:id="85" w:name="fds-04-007-ignition-role-mapping"/>
    <w:p>
      <w:pPr>
        <w:pStyle w:val="Heading4"/>
      </w:pPr>
      <w:r>
        <w:t xml:space="preserve">FDS-04-007 — Ignition Role Mapping</w:t>
      </w:r>
    </w:p>
    <w:p>
      <w:pPr>
        <w:pStyle w:val="FirstParagraph"/>
      </w:pPr>
      <w:r>
        <w:t xml:space="preserve">The following roles SHALL be configured in Ignition’s identity provider: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Capabilities</w:t>
            </w:r>
          </w:p>
        </w:tc>
      </w:tr>
      <w:tr>
        <w:tc>
          <w:tcPr/>
          <w:p>
            <w:pPr>
              <w:pStyle w:val="Compact"/>
            </w:pPr>
            <w:r>
              <w:t xml:space="preserve">Operator</w:t>
            </w:r>
          </w:p>
        </w:tc>
        <w:tc>
          <w:tcPr/>
          <w:p>
            <w:pPr>
              <w:pStyle w:val="Compact"/>
            </w:pPr>
            <w:r>
              <w:t xml:space="preserve">LOT creation, production recording, downtime entry, container packing</w:t>
            </w:r>
          </w:p>
        </w:tc>
      </w:tr>
      <w:tr>
        <w:tc>
          <w:tcPr>
            <w:shd w:val="clear" w:color="auto" w:fill="F2F2F2"/>
          </w:tcPr>
          <w:tcPr/>
          <w:p>
            <w:pPr>
              <w:pStyle w:val="Compact"/>
            </w:pPr>
            <w:r>
              <w:t xml:space="preserve">Quality</w:t>
            </w:r>
          </w:p>
        </w:tc>
        <w:tc>
          <w:tcPr>
            <w:shd w:val="clear" w:color="auto" w:fill="F2F2F2"/>
          </w:tcPr>
          <w:tcPr/>
          <w:p>
            <w:pPr>
              <w:pStyle w:val="Compact"/>
            </w:pPr>
            <w:r>
              <w:t xml:space="preserve">All Operator capabilities + hold placement/release, inspection entry, LOT splitting for disposition</w:t>
            </w:r>
          </w:p>
        </w:tc>
      </w:tr>
      <w:tr>
        <w:tc>
          <w:tcPr/>
          <w:p>
            <w:pPr>
              <w:pStyle w:val="Compact"/>
            </w:pPr>
            <w:r>
              <w:t xml:space="preserve">Supervisor</w:t>
            </w:r>
          </w:p>
        </w:tc>
        <w:tc>
          <w:tcPr/>
          <w:p>
            <w:pPr>
              <w:pStyle w:val="Compact"/>
            </w:pPr>
            <w:r>
              <w:t xml:space="preserve">All Quality capabilities + LOT merge, shipping label void/reprint, override interlocks</w:t>
            </w:r>
          </w:p>
        </w:tc>
      </w:tr>
      <w:tr>
        <w:tc>
          <w:tcPr>
            <w:shd w:val="clear" w:color="auto" w:fill="F2F2F2"/>
          </w:tcPr>
          <w:tcPr/>
          <w:p>
            <w:pPr>
              <w:pStyle w:val="Compact"/>
            </w:pPr>
            <w:r>
              <w:t xml:space="preserve">Engineering</w:t>
            </w:r>
          </w:p>
        </w:tc>
        <w:tc>
          <w:tcPr>
            <w:shd w:val="clear" w:color="auto" w:fill="F2F2F2"/>
          </w:tcPr>
          <w:tcPr/>
          <w:p>
            <w:pPr>
              <w:pStyle w:val="Compact"/>
            </w:pPr>
            <w:r>
              <w:t xml:space="preserve">Master data management (items, BOMs, routes, operation templates, container configs)</w:t>
            </w:r>
          </w:p>
        </w:tc>
      </w:tr>
      <w:tr>
        <w:tc>
          <w:tcPr/>
          <w:p>
            <w:pPr>
              <w:pStyle w:val="Compact"/>
            </w:pPr>
            <w:r>
              <w:t xml:space="preserve">Admin</w:t>
            </w:r>
          </w:p>
        </w:tc>
        <w:tc>
          <w:tcPr/>
          <w:p>
            <w:pPr>
              <w:pStyle w:val="Compact"/>
            </w:pPr>
            <w:r>
              <w:t xml:space="preserve">All capabilities + user management, terminal configuration, system configuration</w:t>
            </w:r>
          </w:p>
        </w:tc>
      </w:tr>
    </w:tbl>
    <w:bookmarkEnd w:id="85"/>
    <w:bookmarkStart w:id="86" w:name="fds-04-008-screen-level-security"/>
    <w:p>
      <w:pPr>
        <w:pStyle w:val="Heading4"/>
      </w:pPr>
      <w:r>
        <w:t xml:space="preserve">FDS-04-008 — Screen-Level Security</w:t>
      </w:r>
    </w:p>
    <w:p>
      <w:pPr>
        <w:pStyle w:val="FirstParagraph"/>
      </w:pPr>
      <w:r>
        <w:t xml:space="preserve">Each Perspective view SHALL enforce role-based visibility. Operators SHALL NOT see engineering configuration screens. Quality functions (hold management, Sort Cage) SHALL be visible only to Quality and above. Administrative functions SHALL be visible only to Admin.</w:t>
      </w:r>
    </w:p>
    <w:p>
      <w:r>
        <w:pict>
          <v:rect style="width:0;height:1.5pt" o:hralign="center" o:hrstd="t" o:hr="t"/>
        </w:pict>
      </w:r>
    </w:p>
    <w:bookmarkEnd w:id="86"/>
    <w:bookmarkEnd w:id="87"/>
    <w:bookmarkEnd w:id="88"/>
    <w:bookmarkStart w:id="119" w:name="lot-lifecycle-genealogy-mvp"/>
    <w:p>
      <w:pPr>
        <w:pStyle w:val="Heading2"/>
      </w:pPr>
      <w:r>
        <w:t xml:space="preserve">5. LOT Lifecycle &amp; Genealogy —</w:t>
      </w:r>
      <w:r>
        <w:t xml:space="preserve"> </w:t>
      </w:r>
      <w:r>
        <w:rPr>
          <w:rStyle w:val="VerbatimChar"/>
        </w:rPr>
        <w:t xml:space="preserve">MVP</w:t>
      </w:r>
    </w:p>
    <w:bookmarkStart w:id="92" w:name="lot-identity"/>
    <w:p>
      <w:pPr>
        <w:pStyle w:val="Heading3"/>
      </w:pPr>
      <w:r>
        <w:t xml:space="preserve">5.1 LOT Identity</w:t>
      </w:r>
    </w:p>
    <w:bookmarkStart w:id="8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89"/>
    <w:bookmarkStart w:id="9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90"/>
    <w:bookmarkStart w:id="9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DieNumber</w:t>
            </w:r>
          </w:p>
        </w:tc>
        <w:tc>
          <w:tcPr>
            <w:shd w:val="clear" w:color="auto" w:fill="F2F2F2"/>
          </w:tcPr>
          <w:tcPr/>
          <w:p>
            <w:pPr>
              <w:pStyle w:val="Compact"/>
            </w:pPr>
            <w:r>
              <w:t xml:space="preserve">Operator entry</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Operator entry</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91"/>
    <w:bookmarkEnd w:id="92"/>
    <w:bookmarkStart w:id="96" w:name="lot-creation-workflows"/>
    <w:p>
      <w:pPr>
        <w:pStyle w:val="Heading3"/>
      </w:pPr>
      <w:r>
        <w:t xml:space="preserve">5.2 LOT Creation Workflows</w:t>
      </w:r>
    </w:p>
    <w:bookmarkStart w:id="93" w:name="X73ad30121c973d5d75ac3c447af18b3e31abffc"/>
    <w:p>
      <w:pPr>
        <w:pStyle w:val="Heading4"/>
      </w:pPr>
      <w:r>
        <w:t xml:space="preserve">FDS-05-004 — Manufactured LOT Creation (Die Cast)</w:t>
      </w:r>
    </w:p>
    <w:p>
      <w:pPr>
        <w:pStyle w:val="FirstParagraph"/>
      </w:pPr>
      <w:r>
        <w:t xml:space="preserve">At Die Cast, the operator SHALL:</w:t>
      </w:r>
      <w:r>
        <w:t xml:space="preserve"> </w:t>
      </w:r>
      <w:r>
        <w:t xml:space="preserve">1. Fill a basket with parts from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Manually enter: part number, die number, cavity number, piece count, and shot counts (total, good, warm-up) (FRS 2.2.2)</w:t>
      </w:r>
      <w:r>
        <w:t xml:space="preserve"> </w:t>
      </w:r>
      <w:r>
        <w:t xml:space="preserve">5. The MES SHALL validate: piece count ≤ max lot size, part is eligible on this machine</w:t>
      </w:r>
      <w:r>
        <w:t xml:space="preserve"> </w:t>
      </w:r>
      <w:r>
        <w:t xml:space="preserve">6. The MES SHALL create the LOT with origin type Manufactured, status Good, location = scanned machine (per FDS-02-009)</w:t>
      </w:r>
      <w:r>
        <w:t xml:space="preserve"> </w:t>
      </w:r>
      <w:r>
        <w:t xml:space="preserve">7. The MES SHALL write a</w:t>
      </w:r>
      <w:r>
        <w:t xml:space="preserve"> </w:t>
      </w:r>
      <w:r>
        <w:rPr>
          <w:rStyle w:val="VerbatimChar"/>
        </w:rPr>
        <w:t xml:space="preserve">ProductionEvent</w:t>
      </w:r>
      <w:r>
        <w:t xml:space="preserve"> </w:t>
      </w:r>
      <w:r>
        <w:t xml:space="preserve">recording the good count</w:t>
      </w:r>
      <w:r>
        <w:t xml:space="preserve"> </w:t>
      </w:r>
      <w:r>
        <w:t xml:space="preserve">8.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9. The MES SHALL log the creation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93"/>
    <w:bookmarkStart w:id="94"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94"/>
    <w:bookmarkStart w:id="95"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95"/>
    <w:bookmarkEnd w:id="96"/>
    <w:bookmarkStart w:id="99" w:name="lot-movement"/>
    <w:p>
      <w:pPr>
        <w:pStyle w:val="Heading3"/>
      </w:pPr>
      <w:r>
        <w:t xml:space="preserve">5.3 LOT Movement</w:t>
      </w:r>
    </w:p>
    <w:bookmarkStart w:id="97"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97"/>
    <w:bookmarkStart w:id="98"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03"/>
        </w:numPr>
      </w:pPr>
      <w:r>
        <w:rPr>
          <w:b/>
          <w:bCs/>
        </w:rPr>
        <w:t xml:space="preserve">Login</w:t>
      </w:r>
      <w:r>
        <w:t xml:space="preserve"> </w:t>
      </w:r>
      <w:r>
        <w:t xml:space="preserve">— Operator authenticates at the terminal with clock number + PIN (per FDS-04-004). The session’s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03"/>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03"/>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03"/>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user,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03"/>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login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98"/>
    <w:bookmarkEnd w:id="99"/>
    <w:bookmarkStart w:id="103" w:name="sub-lot-splitting"/>
    <w:p>
      <w:pPr>
        <w:pStyle w:val="Heading3"/>
      </w:pPr>
      <w:r>
        <w:t xml:space="preserve">5.4 Sub-LOT Splitting</w:t>
      </w:r>
    </w:p>
    <w:bookmarkStart w:id="100" w:name="fds-05-009-split-workflow"/>
    <w:p>
      <w:pPr>
        <w:pStyle w:val="Heading4"/>
      </w:pPr>
      <w:r>
        <w:t xml:space="preserve">FDS-05-009 — Split Workflow</w:t>
      </w:r>
    </w:p>
    <w:p>
      <w:pPr>
        <w:pStyle w:val="BlockText"/>
      </w:pPr>
      <w:r>
        <w:t xml:space="preserve">🔶</w:t>
      </w:r>
      <w:r>
        <w:t xml:space="preserve"> </w:t>
      </w:r>
      <w:r>
        <w:rPr>
          <w:b/>
          <w:bCs/>
        </w:rPr>
        <w:t xml:space="preserve">PENDING INTERNAL REVIEW — UJ-03:</w:t>
      </w:r>
      <w:r>
        <w:t xml:space="preserve"> </w:t>
      </w:r>
      <w:r>
        <w:t xml:space="preserve">On arrival at machining, the system auto-splits into 2 even sublots with a confirmation dialog. Sublots are treated identically to lot splits in the data model (</w:t>
      </w:r>
      <w:r>
        <w:rPr>
          <w:rStyle w:val="VerbatimChar"/>
        </w:rPr>
        <w:t xml:space="preserve">LotGenealogy</w:t>
      </w:r>
      <w:r>
        <w:t xml:space="preserve"> </w:t>
      </w:r>
      <w:r>
        <w:t xml:space="preserve">with RelationshipType = Split). Needs review with Ben.</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 CLOSED</w:t>
      </w:r>
      <w:r>
        <w:t xml:space="preserve"> </w:t>
      </w:r>
      <w:r>
        <w:t xml:space="preserve">6. Write</w:t>
      </w:r>
      <w:r>
        <w:t xml:space="preserve"> </w:t>
      </w:r>
      <w:r>
        <w:rPr>
          <w:rStyle w:val="VerbatimChar"/>
        </w:rPr>
        <w:t xml:space="preserve">LotGenealogy</w:t>
      </w:r>
      <w:r>
        <w:t xml:space="preserve"> </w:t>
      </w:r>
      <w:r>
        <w:t xml:space="preserve">records with relationship type Split for each parent→child link</w:t>
      </w:r>
      <w:r>
        <w:t xml:space="preserve"> </w:t>
      </w:r>
      <w:r>
        <w:t xml:space="preserve">7. Print LTT labels for each child sub-LOT</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00"/>
    <w:bookmarkStart w:id="101"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01"/>
    <w:bookmarkStart w:id="102"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w:t>
      </w:r>
    </w:p>
    <w:bookmarkEnd w:id="102"/>
    <w:bookmarkEnd w:id="103"/>
    <w:bookmarkStart w:id="105" w:name="X5d74d1a066845934b4c3713e4f48545726ee7b2"/>
    <w:p>
      <w:pPr>
        <w:pStyle w:val="Heading3"/>
      </w:pPr>
      <w:r>
        <w:t xml:space="preserve">5.5 LOT Merging —</w:t>
      </w:r>
      <w:r>
        <w:t xml:space="preserve"> </w:t>
      </w:r>
      <w:r>
        <w:rPr>
          <w:rStyle w:val="VerbatimChar"/>
        </w:rPr>
        <w:t xml:space="preserve">MVP</w:t>
      </w:r>
      <w:r>
        <w:t xml:space="preserve"> </w:t>
      </w:r>
      <w:r>
        <w:t xml:space="preserve">(Business Rules</w:t>
      </w:r>
      <w:r>
        <w:t xml:space="preserve"> </w:t>
      </w:r>
      <w:r>
        <w:rPr>
          <w:rStyle w:val="VerbatimChar"/>
        </w:rPr>
        <w:t xml:space="preserve">PENDING MPP INPUT</w:t>
      </w:r>
      <w:r>
        <w:t xml:space="preserve">)</w:t>
      </w:r>
    </w:p>
    <w:bookmarkStart w:id="104"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supports MERGE relationship type. However, the business rules governing when merges are allowed are TBD per FRS. (FRS 3.9.13)</w:t>
      </w:r>
    </w:p>
    <w:p>
      <w:pPr>
        <w:pStyle w:val="BlockText"/>
      </w:pPr>
      <w:r>
        <w:t xml:space="preserve">🔶</w:t>
      </w:r>
      <w:r>
        <w:t xml:space="preserve"> </w:t>
      </w:r>
      <w:r>
        <w:rPr>
          <w:b/>
          <w:bCs/>
        </w:rPr>
        <w:t xml:space="preserve">PENDING CUSTOMER VALIDATION — OI-05:</w:t>
      </w:r>
      <w:r>
        <w:t xml:space="preserve"> </w:t>
      </w:r>
      <w:r>
        <w:t xml:space="preserve">Blue Ridge recommends configurable merge rules. Examples for MPP to confirm or reject:</w:t>
      </w:r>
      <w:r>
        <w:t xml:space="preserve"> </w:t>
      </w:r>
      <w:r>
        <w:t xml:space="preserve">- Same part number required?</w:t>
      </w:r>
      <w:r>
        <w:t xml:space="preserve"> </w:t>
      </w:r>
      <w:r>
        <w:t xml:space="preserve">- Same die required?</w:t>
      </w:r>
      <w:r>
        <w:t xml:space="preserve"> </w:t>
      </w:r>
      <w:r>
        <w:t xml:space="preserve">- Same cavity required?</w:t>
      </w:r>
      <w:r>
        <w:t xml:space="preserve"> </w:t>
      </w:r>
      <w:r>
        <w:t xml:space="preserve">- Same quality status required (e.g., cannot merge GOOD + HOLD)?</w:t>
      </w:r>
      <w:r>
        <w:t xml:space="preserve"> </w:t>
      </w:r>
      <w:r>
        <w:t xml:space="preserve">- Are piece counts additive?</w:t>
      </w:r>
      <w:r>
        <w:t xml:space="preserve"> </w:t>
      </w:r>
      <w:r>
        <w:t xml:space="preserve">- Can a merged LOT be un-merged?</w:t>
      </w:r>
    </w:p>
    <w:p>
      <w:pPr>
        <w:pStyle w:val="BlockText"/>
      </w:pPr>
      <w:r>
        <w:t xml:space="preserve">Where these rules are defined (configuration screen vs. hard-coded) is also TBD — see UJ-08. The data model supports merges. The Perspective merge screen will not be built until rules are confirmed.</w:t>
      </w:r>
    </w:p>
    <w:bookmarkEnd w:id="104"/>
    <w:bookmarkEnd w:id="105"/>
    <w:bookmarkStart w:id="109" w:name="lot-status-transitions"/>
    <w:p>
      <w:pPr>
        <w:pStyle w:val="Heading3"/>
      </w:pPr>
      <w:r>
        <w:t xml:space="preserve">5.6 LOT Status Transitions</w:t>
      </w:r>
    </w:p>
    <w:bookmarkStart w:id="106"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06"/>
    <w:bookmarkStart w:id="107"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07"/>
    <w:bookmarkStart w:id="108"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08"/>
    <w:bookmarkEnd w:id="109"/>
    <w:bookmarkStart w:id="113" w:name="genealogy"/>
    <w:p>
      <w:pPr>
        <w:pStyle w:val="Heading3"/>
      </w:pPr>
      <w:r>
        <w:t xml:space="preserve">5.7 Genealogy</w:t>
      </w:r>
    </w:p>
    <w:bookmarkStart w:id="110"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10"/>
    <w:bookmarkStart w:id="111"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11"/>
    <w:bookmarkStart w:id="112"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12"/>
    <w:bookmarkEnd w:id="113"/>
    <w:bookmarkStart w:id="116" w:name="lot-label-management"/>
    <w:p>
      <w:pPr>
        <w:pStyle w:val="Heading3"/>
      </w:pPr>
      <w:r>
        <w:t xml:space="preserve">5.8 LOT Label Management</w:t>
      </w:r>
    </w:p>
    <w:bookmarkStart w:id="114"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14"/>
    <w:bookmarkStart w:id="115"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15"/>
    <w:bookmarkEnd w:id="116"/>
    <w:bookmarkStart w:id="118" w:name="lot-attribute-auditing"/>
    <w:p>
      <w:pPr>
        <w:pStyle w:val="Heading3"/>
      </w:pPr>
      <w:r>
        <w:t xml:space="preserve">5.9 LOT Attribute Auditing</w:t>
      </w:r>
    </w:p>
    <w:bookmarkStart w:id="117"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p>
      <w:r>
        <w:pict>
          <v:rect style="width:0;height:1.5pt" o:hralign="center" o:hrstd="t" o:hr="t"/>
        </w:pict>
      </w:r>
    </w:p>
    <w:p>
      <w:r>
        <w:pict>
          <v:rect style="width:0;height:1.5pt" o:hralign="center" o:hrstd="t" o:hr="t"/>
        </w:pict>
      </w:r>
    </w:p>
    <w:bookmarkEnd w:id="117"/>
    <w:bookmarkEnd w:id="118"/>
    <w:bookmarkEnd w:id="119"/>
    <w:bookmarkStart w:id="154" w:name="production-execution-mvp-expanded"/>
    <w:p>
      <w:pPr>
        <w:pStyle w:val="Heading2"/>
      </w:pPr>
      <w:r>
        <w:t xml:space="preserve">6. Production Execution —</w:t>
      </w:r>
      <w:r>
        <w:t xml:space="preserve"> </w:t>
      </w:r>
      <w:r>
        <w:rPr>
          <w:rStyle w:val="VerbatimChar"/>
        </w:rPr>
        <w:t xml:space="preserve">MVP-EXPANDED</w:t>
      </w:r>
    </w:p>
    <w:bookmarkStart w:id="12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20"/>
    <w:bookmarkStart w:id="124" w:name="die-cast-workflow"/>
    <w:p>
      <w:pPr>
        <w:pStyle w:val="Heading3"/>
      </w:pPr>
      <w:r>
        <w:t xml:space="preserve">6.2 Die Cast Workflow</w:t>
      </w:r>
    </w:p>
    <w:bookmarkStart w:id="121" w:name="fds-06-001-die-cast-production-screen"/>
    <w:p>
      <w:pPr>
        <w:pStyle w:val="Heading4"/>
      </w:pPr>
      <w:r>
        <w:t xml:space="preserve">FDS-06-001 — Die Cast Production Screen</w:t>
      </w:r>
    </w:p>
    <w:p>
      <w:pPr>
        <w:pStyle w:val="FirstParagraph"/>
      </w:pPr>
      <w:r>
        <w:t xml:space="preserve">The Die Cast production screen SHALL be driven by the operation template flags (</w:t>
      </w:r>
      <w:r>
        <w:rPr>
          <w:rStyle w:val="VerbatimChar"/>
        </w:rPr>
        <w:t xml:space="preserve">CollectsDieInfo</w:t>
      </w:r>
      <w:r>
        <w:t xml:space="preserve">,</w:t>
      </w:r>
      <w:r>
        <w:t xml:space="preserve"> </w:t>
      </w:r>
      <w:r>
        <w:rPr>
          <w:rStyle w:val="VerbatimChar"/>
        </w:rPr>
        <w:t xml:space="preserve">CollectsCavityInfo</w:t>
      </w:r>
      <w:r>
        <w:t xml:space="preserve">,</w:t>
      </w:r>
      <w:r>
        <w:t xml:space="preserve"> </w:t>
      </w:r>
      <w:r>
        <w:rPr>
          <w:rStyle w:val="VerbatimChar"/>
        </w:rPr>
        <w:t xml:space="preserve">CollectsWeight</w:t>
      </w:r>
      <w:r>
        <w:t xml:space="preserve">,</w:t>
      </w:r>
      <w:r>
        <w:t xml:space="preserve"> </w:t>
      </w:r>
      <w:r>
        <w:rPr>
          <w:rStyle w:val="VerbatimChar"/>
        </w:rPr>
        <w:t xml:space="preserve">CollectsGoodCount</w:t>
      </w:r>
      <w:r>
        <w:t xml:space="preserve">,</w:t>
      </w:r>
      <w:r>
        <w:t xml:space="preserve"> </w:t>
      </w:r>
      <w:r>
        <w:rPr>
          <w:rStyle w:val="VerbatimChar"/>
        </w:rPr>
        <w:t xml:space="preserve">CollectsBadCount</w:t>
      </w:r>
      <w:r>
        <w:t xml:space="preserve">).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21"/>
    <w:bookmarkStart w:id="12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22"/>
    <w:bookmarkStart w:id="123" w:name="fds-06-003-die-cast-production-event"/>
    <w:p>
      <w:pPr>
        <w:pStyle w:val="Heading4"/>
      </w:pPr>
      <w:r>
        <w:t xml:space="preserve">FDS-06-003 — Die Cast Production Event</w:t>
      </w:r>
    </w:p>
    <w:p>
      <w:pPr>
        <w:pStyle w:val="FirstParagraph"/>
      </w:pPr>
      <w:r>
        <w:t xml:space="preserve">On submission, the system SHALL:</w:t>
      </w:r>
      <w:r>
        <w:t xml:space="preserve"> </w:t>
      </w:r>
      <w:r>
        <w:t xml:space="preserve">1. Write an immutable</w:t>
      </w:r>
      <w:r>
        <w:t xml:space="preserve"> </w:t>
      </w:r>
      <w:r>
        <w:rPr>
          <w:rStyle w:val="VerbatimChar"/>
        </w:rPr>
        <w:t xml:space="preserve">ProductionEvent</w:t>
      </w:r>
      <w:r>
        <w:t xml:space="preserve"> </w:t>
      </w:r>
      <w:r>
        <w:t xml:space="preserve">(lot, location, item, good count, no-good count, operator, TerminalLocation, timestamp)</w:t>
      </w:r>
      <w:r>
        <w:t xml:space="preserve"> </w:t>
      </w:r>
      <w:r>
        <w:t xml:space="preserve">2. Update the LOT’s</w:t>
      </w:r>
      <w:r>
        <w:t xml:space="preserve"> </w:t>
      </w:r>
      <w:r>
        <w:rPr>
          <w:rStyle w:val="VerbatimChar"/>
        </w:rPr>
        <w:t xml:space="preserve">PieceCount</w:t>
      </w:r>
      <w:r>
        <w:t xml:space="preserve"> </w:t>
      </w:r>
      <w:r>
        <w:t xml:space="preserve">to reflect the good count</w:t>
      </w:r>
      <w:r>
        <w:t xml:space="preserve"> </w:t>
      </w:r>
      <w:r>
        <w:t xml:space="preserve">3. Log to</w:t>
      </w:r>
      <w:r>
        <w:t xml:space="preserve"> </w:t>
      </w:r>
      <w:r>
        <w:rPr>
          <w:rStyle w:val="VerbatimChar"/>
        </w:rPr>
        <w:t xml:space="preserve">Audit.OperationLog</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23"/>
    <w:bookmarkEnd w:id="124"/>
    <w:bookmarkStart w:id="128" w:name="trim-shop-workflow"/>
    <w:p>
      <w:pPr>
        <w:pStyle w:val="Heading3"/>
      </w:pPr>
      <w:r>
        <w:t xml:space="preserve">6.3 Trim Shop Workflow</w:t>
      </w:r>
    </w:p>
    <w:bookmarkStart w:id="12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25"/>
    <w:bookmarkStart w:id="12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26"/>
    <w:bookmarkStart w:id="12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27"/>
    <w:bookmarkEnd w:id="128"/>
    <w:bookmarkStart w:id="132" w:name="machining-workflow"/>
    <w:p>
      <w:pPr>
        <w:pStyle w:val="Heading3"/>
      </w:pPr>
      <w:r>
        <w:t xml:space="preserve">6.4 Machining Workflow</w:t>
      </w:r>
    </w:p>
    <w:bookmarkStart w:id="12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29"/>
    <w:bookmarkStart w:id="13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30"/>
    <w:bookmarkStart w:id="13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31"/>
    <w:bookmarkEnd w:id="132"/>
    <w:bookmarkStart w:id="136" w:name="assembly-workflow-serialized-lines"/>
    <w:p>
      <w:pPr>
        <w:pStyle w:val="Heading3"/>
      </w:pPr>
      <w:r>
        <w:t xml:space="preserve">6.5 Assembly Workflow — Serialized Lines</w:t>
      </w:r>
    </w:p>
    <w:bookmarkStart w:id="13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33"/>
    <w:bookmarkStart w:id="13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34"/>
    <w:bookmarkStart w:id="13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35"/>
    <w:bookmarkEnd w:id="136"/>
    <w:bookmarkStart w:id="139" w:name="assembly-workflow-non-serialized-lines"/>
    <w:p>
      <w:pPr>
        <w:pStyle w:val="Heading3"/>
      </w:pPr>
      <w:r>
        <w:t xml:space="preserve">6.6 Assembly Workflow — Non-Serialized Lines</w:t>
      </w:r>
    </w:p>
    <w:bookmarkStart w:id="13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37"/>
    <w:bookmarkStart w:id="13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38"/>
    <w:bookmarkEnd w:id="139"/>
    <w:bookmarkStart w:id="142" w:name="production-events"/>
    <w:p>
      <w:pPr>
        <w:pStyle w:val="Heading3"/>
      </w:pPr>
      <w:r>
        <w:t xml:space="preserve">6.7 Production Events</w:t>
      </w:r>
    </w:p>
    <w:bookmarkStart w:id="14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40"/>
    <w:bookmarkStart w:id="14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41"/>
    <w:bookmarkEnd w:id="142"/>
    <w:bookmarkStart w:id="146" w:name="reject-events-and-scrap-handling"/>
    <w:p>
      <w:pPr>
        <w:pStyle w:val="Heading3"/>
      </w:pPr>
      <w:r>
        <w:t xml:space="preserve">6.8 Reject Events and Scrap Handling</w:t>
      </w:r>
    </w:p>
    <w:bookmarkStart w:id="14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43"/>
    <w:bookmarkStart w:id="14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44"/>
    <w:bookmarkStart w:id="14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04"/>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04"/>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05"/>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05"/>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p>
      <w:pPr>
        <w:pStyle w:val="BodyText"/>
      </w:pPr>
      <w:r>
        <w:t xml:space="preserve">(FRS Section 4, 3.16.10)</w:t>
      </w:r>
    </w:p>
    <w:bookmarkEnd w:id="145"/>
    <w:bookmarkEnd w:id="146"/>
    <w:bookmarkStart w:id="149" w:name="consumption-events"/>
    <w:p>
      <w:pPr>
        <w:pStyle w:val="Heading3"/>
      </w:pPr>
      <w:r>
        <w:t xml:space="preserve">6.9 Consumption Events</w:t>
      </w:r>
    </w:p>
    <w:bookmarkStart w:id="147"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47"/>
    <w:bookmarkStart w:id="148"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48"/>
    <w:bookmarkEnd w:id="149"/>
    <w:bookmarkStart w:id="153" w:name="work-orders-mvp-lite"/>
    <w:p>
      <w:pPr>
        <w:pStyle w:val="Heading3"/>
      </w:pPr>
      <w:r>
        <w:t xml:space="preserve">6.10 Work Orders —</w:t>
      </w:r>
      <w:r>
        <w:t xml:space="preserve"> </w:t>
      </w:r>
      <w:r>
        <w:rPr>
          <w:rStyle w:val="VerbatimChar"/>
        </w:rPr>
        <w:t xml:space="preserve">MVP-LITE</w:t>
      </w:r>
    </w:p>
    <w:bookmarkStart w:id="150" w:name="fds-06-022-work-order-auto-generation"/>
    <w:p>
      <w:pPr>
        <w:pStyle w:val="Heading4"/>
      </w:pPr>
      <w:r>
        <w:t xml:space="preserve">FDS-06-022 — Work Order Auto-Generation</w:t>
      </w:r>
    </w:p>
    <w:p>
      <w:pPr>
        <w:pStyle w:val="FirstParagraph"/>
      </w:pPr>
      <w:r>
        <w:t xml:space="preserve">If work order functionality is included, the system SHALL auto-generate internal work orders when production activity begins on a LOT. Operators SHALL NOT see, create, or interact with work orders directly — they are invisible bookkeeping. (FRS 3.1.5)</w:t>
      </w:r>
    </w:p>
    <w:bookmarkEnd w:id="150"/>
    <w:bookmarkStart w:id="151" w:name="fds-06-023-work-order-structure"/>
    <w:p>
      <w:pPr>
        <w:pStyle w:val="Heading4"/>
      </w:pPr>
      <w:r>
        <w:t xml:space="preserve">FDS-06-023 — Work Order Structure</w:t>
      </w:r>
    </w:p>
    <w:p>
      <w:pPr>
        <w:pStyle w:val="FirstParagraph"/>
      </w:pPr>
      <w:r>
        <w:t xml:space="preserve">Each work order SHALL link an item to a route template version. Work order operations SHALL be created for each route step, tracking: planned step, actual location, status (PENDING → IN_PROGRESS → COMPLETED / SKIPPED), start/completion times, and operator.</w:t>
      </w:r>
    </w:p>
    <w:bookmarkEnd w:id="151"/>
    <w:bookmarkStart w:id="152" w:name="fds-06-024-work-order-independence"/>
    <w:p>
      <w:pPr>
        <w:pStyle w:val="Heading4"/>
      </w:pPr>
      <w:r>
        <w:t xml:space="preserve">FDS-06-024 — Work Order Independence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the evidence layer operates standalone.</w:t>
      </w:r>
    </w:p>
    <w:p>
      <w:pPr>
        <w:pStyle w:val="BlockText"/>
      </w:pPr>
      <w:r>
        <w:t xml:space="preserve">🔶</w:t>
      </w:r>
      <w:r>
        <w:t xml:space="preserve"> </w:t>
      </w:r>
      <w:r>
        <w:rPr>
          <w:b/>
          <w:bCs/>
        </w:rPr>
        <w:t xml:space="preserve">PENDING CUSTOMER VALIDATION — OI-07 / UJ-07:</w:t>
      </w:r>
      <w:r>
        <w:t xml:space="preserve"> </w:t>
      </w:r>
      <w:r>
        <w:t xml:space="preserve">Work orders are included as invisible bookkeeping (MVP-lite). Auto-generated when production begins, operators never see them. No WO-specific screens. Work orders can also be derived from an external ERP system in the future (FRS 3.10.2), but the ERP integration spec is undefined. Lifecycle triggers (what creates a WO, span of one operation vs. full route) need customer discussion.</w:t>
      </w:r>
    </w:p>
    <w:p>
      <w:r>
        <w:pict>
          <v:rect style="width:0;height:1.5pt" o:hralign="center" o:hrstd="t" o:hr="t"/>
        </w:pict>
      </w:r>
    </w:p>
    <w:bookmarkEnd w:id="152"/>
    <w:bookmarkEnd w:id="153"/>
    <w:bookmarkEnd w:id="154"/>
    <w:bookmarkStart w:id="181" w:name="container-management-shipping-mvp"/>
    <w:p>
      <w:pPr>
        <w:pStyle w:val="Heading2"/>
      </w:pPr>
      <w:r>
        <w:t xml:space="preserve">7. Container Management &amp; Shipping —</w:t>
      </w:r>
      <w:r>
        <w:t xml:space="preserve"> </w:t>
      </w:r>
      <w:r>
        <w:rPr>
          <w:rStyle w:val="VerbatimChar"/>
        </w:rPr>
        <w:t xml:space="preserve">MVP</w:t>
      </w:r>
    </w:p>
    <w:bookmarkStart w:id="155"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55"/>
    <w:bookmarkStart w:id="161" w:name="container-lifecycle"/>
    <w:p>
      <w:pPr>
        <w:pStyle w:val="Heading3"/>
      </w:pPr>
      <w:r>
        <w:t xml:space="preserve">7.2 Container Lifecycle</w:t>
      </w:r>
    </w:p>
    <w:bookmarkStart w:id="156"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56"/>
    <w:bookmarkStart w:id="157"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57"/>
    <w:bookmarkStart w:id="158"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58"/>
    <w:bookmarkStart w:id="159"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59"/>
    <w:bookmarkStart w:id="160"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60"/>
    <w:bookmarkEnd w:id="161"/>
    <w:bookmarkStart w:id="166" w:name="shipping-labels"/>
    <w:p>
      <w:pPr>
        <w:pStyle w:val="Heading3"/>
      </w:pPr>
      <w:r>
        <w:t xml:space="preserve">7.3 Shipping Labels</w:t>
      </w:r>
    </w:p>
    <w:bookmarkStart w:id="162"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62"/>
    <w:bookmarkStart w:id="163"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63"/>
    <w:bookmarkStart w:id="164"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164"/>
    <w:bookmarkStart w:id="165"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165"/>
    <w:bookmarkEnd w:id="166"/>
    <w:bookmarkStart w:id="170" w:name="aim-integration"/>
    <w:p>
      <w:pPr>
        <w:pStyle w:val="Heading3"/>
      </w:pPr>
      <w:r>
        <w:t xml:space="preserve">7.4 AIM Integration</w:t>
      </w:r>
    </w:p>
    <w:bookmarkStart w:id="167"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167"/>
    <w:bookmarkStart w:id="168"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168"/>
    <w:bookmarkStart w:id="169"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169"/>
    <w:bookmarkEnd w:id="170"/>
    <w:bookmarkStart w:id="173" w:name="shipping-dock-workflow"/>
    <w:p>
      <w:pPr>
        <w:pStyle w:val="Heading3"/>
      </w:pPr>
      <w:r>
        <w:t xml:space="preserve">7.5 Shipping Dock Workflow</w:t>
      </w:r>
    </w:p>
    <w:bookmarkStart w:id="171"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171"/>
    <w:bookmarkStart w:id="172"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172"/>
    <w:bookmarkEnd w:id="173"/>
    <w:bookmarkStart w:id="176" w:name="container-holds"/>
    <w:p>
      <w:pPr>
        <w:pStyle w:val="Heading3"/>
      </w:pPr>
      <w:r>
        <w:t xml:space="preserve">7.6 Container Holds</w:t>
      </w:r>
    </w:p>
    <w:bookmarkStart w:id="174"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174"/>
    <w:bookmarkStart w:id="175"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175"/>
    <w:bookmarkEnd w:id="176"/>
    <w:bookmarkStart w:id="180" w:name="sort-cage-mvp-expanded"/>
    <w:p>
      <w:pPr>
        <w:pStyle w:val="Heading3"/>
      </w:pPr>
      <w:r>
        <w:t xml:space="preserve">7.7 Sort Cage —</w:t>
      </w:r>
      <w:r>
        <w:t xml:space="preserve"> </w:t>
      </w:r>
      <w:r>
        <w:rPr>
          <w:rStyle w:val="VerbatimChar"/>
        </w:rPr>
        <w:t xml:space="preserve">MVP-EXPANDED</w:t>
      </w:r>
    </w:p>
    <w:bookmarkStart w:id="177"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177"/>
    <w:bookmarkStart w:id="178"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178"/>
    <w:bookmarkStart w:id="179"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06"/>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06"/>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06"/>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179"/>
    <w:bookmarkEnd w:id="180"/>
    <w:bookmarkEnd w:id="181"/>
    <w:bookmarkStart w:id="206" w:name="quality-hold-management-mixed-scope"/>
    <w:p>
      <w:pPr>
        <w:pStyle w:val="Heading2"/>
      </w:pPr>
      <w:r>
        <w:t xml:space="preserve">8. Quality &amp; Hold Management — MIXED SCOPE</w:t>
      </w:r>
    </w:p>
    <w:bookmarkStart w:id="182"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182"/>
    <w:bookmarkStart w:id="190" w:name="hold-management-mvp-expanded"/>
    <w:p>
      <w:pPr>
        <w:pStyle w:val="Heading3"/>
      </w:pPr>
      <w:r>
        <w:t xml:space="preserve">8.2 Hold Management —</w:t>
      </w:r>
      <w:r>
        <w:t xml:space="preserve"> </w:t>
      </w:r>
      <w:r>
        <w:rPr>
          <w:rStyle w:val="VerbatimChar"/>
        </w:rPr>
        <w:t xml:space="preserve">MVP-EXPANDED</w:t>
      </w:r>
    </w:p>
    <w:bookmarkStart w:id="183"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183"/>
    <w:bookmarkStart w:id="184"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184"/>
    <w:bookmarkStart w:id="185"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185"/>
    <w:bookmarkStart w:id="186"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186"/>
    <w:bookmarkStart w:id="187"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187"/>
    <w:bookmarkStart w:id="188"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188"/>
    <w:bookmarkStart w:id="189"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189"/>
    <w:bookmarkEnd w:id="190"/>
    <w:bookmarkStart w:id="197" w:name="inspections-mvp"/>
    <w:p>
      <w:pPr>
        <w:pStyle w:val="Heading3"/>
      </w:pPr>
      <w:r>
        <w:t xml:space="preserve">8.3 Inspections —</w:t>
      </w:r>
      <w:r>
        <w:t xml:space="preserve"> </w:t>
      </w:r>
      <w:r>
        <w:rPr>
          <w:rStyle w:val="VerbatimChar"/>
        </w:rPr>
        <w:t xml:space="preserve">MVP</w:t>
      </w:r>
    </w:p>
    <w:bookmarkStart w:id="191"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191"/>
    <w:bookmarkStart w:id="192"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192"/>
    <w:bookmarkStart w:id="193"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193"/>
    <w:bookmarkStart w:id="194"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194"/>
    <w:bookmarkStart w:id="195"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195"/>
    <w:bookmarkStart w:id="196"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196"/>
    <w:bookmarkEnd w:id="197"/>
    <w:bookmarkStart w:id="200" w:name="sampling-workflows-conditional"/>
    <w:p>
      <w:pPr>
        <w:pStyle w:val="Heading3"/>
      </w:pPr>
      <w:r>
        <w:t xml:space="preserve">8.4 Sampling Workflows —</w:t>
      </w:r>
      <w:r>
        <w:t xml:space="preserve"> </w:t>
      </w:r>
      <w:r>
        <w:rPr>
          <w:rStyle w:val="VerbatimChar"/>
        </w:rPr>
        <w:t xml:space="preserve">CONDITIONAL</w:t>
      </w:r>
    </w:p>
    <w:bookmarkStart w:id="198"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198"/>
    <w:bookmarkStart w:id="199"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199"/>
    <w:bookmarkEnd w:id="200"/>
    <w:bookmarkStart w:id="203" w:name="defect-codes-mvp"/>
    <w:p>
      <w:pPr>
        <w:pStyle w:val="Heading3"/>
      </w:pPr>
      <w:r>
        <w:t xml:space="preserve">8.5 Defect Codes —</w:t>
      </w:r>
      <w:r>
        <w:t xml:space="preserve"> </w:t>
      </w:r>
      <w:r>
        <w:rPr>
          <w:rStyle w:val="VerbatimChar"/>
        </w:rPr>
        <w:t xml:space="preserve">MVP</w:t>
      </w:r>
    </w:p>
    <w:bookmarkStart w:id="201"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01"/>
    <w:bookmarkStart w:id="202"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02"/>
    <w:bookmarkEnd w:id="203"/>
    <w:bookmarkStart w:id="205" w:name="non-conformance-management-future"/>
    <w:p>
      <w:pPr>
        <w:pStyle w:val="Heading3"/>
      </w:pPr>
      <w:r>
        <w:t xml:space="preserve">8.6 Non-Conformance Management —</w:t>
      </w:r>
      <w:r>
        <w:t xml:space="preserve"> </w:t>
      </w:r>
      <w:r>
        <w:rPr>
          <w:rStyle w:val="VerbatimChar"/>
        </w:rPr>
        <w:t xml:space="preserve">FUTURE</w:t>
      </w:r>
    </w:p>
    <w:bookmarkStart w:id="204"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04"/>
    <w:bookmarkEnd w:id="205"/>
    <w:bookmarkEnd w:id="206"/>
    <w:bookmarkStart w:id="223" w:name="downtime-tracking-mixed-scope"/>
    <w:p>
      <w:pPr>
        <w:pStyle w:val="Heading2"/>
      </w:pPr>
      <w:r>
        <w:t xml:space="preserve">9. Downtime Tracking — MIXED SCOPE</w:t>
      </w:r>
    </w:p>
    <w:bookmarkStart w:id="207"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07"/>
    <w:bookmarkStart w:id="213" w:name="downtime-events-mvp"/>
    <w:p>
      <w:pPr>
        <w:pStyle w:val="Heading3"/>
      </w:pPr>
      <w:r>
        <w:t xml:space="preserve">9.2 Downtime Events —</w:t>
      </w:r>
      <w:r>
        <w:t xml:space="preserve"> </w:t>
      </w:r>
      <w:r>
        <w:rPr>
          <w:rStyle w:val="VerbatimChar"/>
        </w:rPr>
        <w:t xml:space="preserve">MVP</w:t>
      </w:r>
    </w:p>
    <w:bookmarkStart w:id="208"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08"/>
    <w:bookmarkStart w:id="209"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09"/>
    <w:bookmarkStart w:id="210"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10"/>
    <w:bookmarkStart w:id="211"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11"/>
    <w:bookmarkStart w:id="212"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12"/>
    <w:bookmarkEnd w:id="213"/>
    <w:bookmarkStart w:id="216" w:name="downtime-reason-codes-mvp"/>
    <w:p>
      <w:pPr>
        <w:pStyle w:val="Heading3"/>
      </w:pPr>
      <w:r>
        <w:t xml:space="preserve">9.3 Downtime Reason Codes —</w:t>
      </w:r>
      <w:r>
        <w:t xml:space="preserve"> </w:t>
      </w:r>
      <w:r>
        <w:rPr>
          <w:rStyle w:val="VerbatimChar"/>
        </w:rPr>
        <w:t xml:space="preserve">MVP</w:t>
      </w:r>
    </w:p>
    <w:bookmarkStart w:id="214"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14"/>
    <w:bookmarkStart w:id="215"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15"/>
    <w:bookmarkEnd w:id="216"/>
    <w:bookmarkStart w:id="220" w:name="shift-management-mvp"/>
    <w:p>
      <w:pPr>
        <w:pStyle w:val="Heading3"/>
      </w:pPr>
      <w:r>
        <w:t xml:space="preserve">9.4 Shift Management —</w:t>
      </w:r>
      <w:r>
        <w:t xml:space="preserve"> </w:t>
      </w:r>
      <w:r>
        <w:rPr>
          <w:rStyle w:val="VerbatimChar"/>
        </w:rPr>
        <w:t xml:space="preserve">MVP</w:t>
      </w:r>
    </w:p>
    <w:bookmarkStart w:id="217" w:name="fds-09-008-shift-schedules"/>
    <w:p>
      <w:pPr>
        <w:pStyle w:val="Heading4"/>
      </w:pPr>
      <w:r>
        <w:t xml:space="preserve">FDS-09-008 — Shift Schedules</w:t>
      </w:r>
    </w:p>
    <w:p>
      <w:pPr>
        <w:pStyle w:val="FirstParagraph"/>
      </w:pPr>
      <w:r>
        <w:t xml:space="preserve">Engineering users SHALL configure shift schedules: name, start time, end time, days of week, and effective date. Common patterns: First Shift (6:00am–2:00pm M–F), Second Shift (2:00pm–10:00pm M–F), Weekend Overtime.</w:t>
      </w:r>
    </w:p>
    <w:bookmarkEnd w:id="217"/>
    <w:bookmarkStart w:id="218" w:name="fds-09-009-shift-instances"/>
    <w:p>
      <w:pPr>
        <w:pStyle w:val="Heading4"/>
      </w:pPr>
      <w:r>
        <w:t xml:space="preserve">FDS-09-009 — Shift Instances</w:t>
      </w:r>
    </w:p>
    <w:p>
      <w:pPr>
        <w:pStyle w:val="FirstParagraph"/>
      </w:pPr>
      <w:r>
        <w:t xml:space="preserve">The system SHALL create actual shift instances from schedules. Each shift instance records: schedule reference, date, actual start, and actual end. The actual times MAY differ from the schedule to accommodate overtime, early starts, and run-through-lunch adjustments.</w:t>
      </w:r>
    </w:p>
    <w:p>
      <w:pPr>
        <w:pStyle w:val="BlockText"/>
      </w:pPr>
      <w:r>
        <w:t xml:space="preserve">⬜</w:t>
      </w:r>
      <w:r>
        <w:t xml:space="preserve"> </w:t>
      </w:r>
      <w:r>
        <w:rPr>
          <w:b/>
          <w:bCs/>
        </w:rPr>
        <w:t xml:space="preserve">OPEN — OI-03:</w:t>
      </w:r>
      <w:r>
        <w:t xml:space="preserve"> </w:t>
      </w:r>
      <w:r>
        <w:t xml:space="preserve">Shift runtime adjustments. The legacy paper forms ask operators to add minutes for running through lunch (+30 min), breaks (+10 min), or overtime (+110 min for 10-hour days). How are these adjustments captured in the MES? Options: (a) adjust</w:t>
      </w:r>
      <w:r>
        <w:t xml:space="preserve"> </w:t>
      </w:r>
      <w:r>
        <w:rPr>
          <w:rStyle w:val="VerbatimChar"/>
        </w:rPr>
        <w:t xml:space="preserve">Shift.ActualEnd</w:t>
      </w:r>
      <w:r>
        <w:t xml:space="preserve"> </w:t>
      </w:r>
      <w:r>
        <w:t xml:space="preserve">to reflect true end time, (b) add an adjustment field to the shift record, (c) derive runtime purely from downtime events (available time = shift duration − total downtime). Flagged for customer decision.</w:t>
      </w:r>
    </w:p>
    <w:bookmarkEnd w:id="218"/>
    <w:bookmarkStart w:id="219"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19"/>
    <w:bookmarkEnd w:id="220"/>
    <w:bookmarkStart w:id="222" w:name="oee-future"/>
    <w:p>
      <w:pPr>
        <w:pStyle w:val="Heading3"/>
      </w:pPr>
      <w:r>
        <w:t xml:space="preserve">9.5 OEE —</w:t>
      </w:r>
      <w:r>
        <w:t xml:space="preserve"> </w:t>
      </w:r>
      <w:r>
        <w:rPr>
          <w:rStyle w:val="VerbatimChar"/>
        </w:rPr>
        <w:t xml:space="preserve">FUTURE</w:t>
      </w:r>
    </w:p>
    <w:bookmarkStart w:id="22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21"/>
    <w:bookmarkEnd w:id="222"/>
    <w:bookmarkEnd w:id="223"/>
    <w:bookmarkStart w:id="237" w:name="plcopc-integration-mvp"/>
    <w:p>
      <w:pPr>
        <w:pStyle w:val="Heading2"/>
      </w:pPr>
      <w:r>
        <w:t xml:space="preserve">10. PLC/OPC Integration —</w:t>
      </w:r>
      <w:r>
        <w:t xml:space="preserve"> </w:t>
      </w:r>
      <w:r>
        <w:rPr>
          <w:rStyle w:val="VerbatimChar"/>
        </w:rPr>
        <w:t xml:space="preserve">MVP</w:t>
      </w:r>
    </w:p>
    <w:bookmarkStart w:id="22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24"/>
    <w:bookmarkStart w:id="228" w:name="mip-handshake-protocol-serialized-lines"/>
    <w:p>
      <w:pPr>
        <w:pStyle w:val="Heading3"/>
      </w:pPr>
      <w:r>
        <w:t xml:space="preserve">10.2 MIP Handshake Protocol — Serialized Lines</w:t>
      </w:r>
    </w:p>
    <w:bookmarkStart w:id="22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25"/>
    <w:bookmarkStart w:id="22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26"/>
    <w:bookmarkStart w:id="22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27"/>
    <w:bookmarkEnd w:id="228"/>
    <w:bookmarkStart w:id="231" w:name="non-serialized-line-integration"/>
    <w:p>
      <w:pPr>
        <w:pStyle w:val="Heading3"/>
      </w:pPr>
      <w:r>
        <w:t xml:space="preserve">10.3 Non-Serialized Line Integration</w:t>
      </w:r>
    </w:p>
    <w:bookmarkStart w:id="22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29"/>
    <w:bookmarkStart w:id="230" w:name="fds-10-005-vision-system-integration"/>
    <w:p>
      <w:pPr>
        <w:pStyle w:val="Heading4"/>
      </w:pPr>
      <w:r>
        <w:t xml:space="preserve">FDS-10-005 — Vision System Integration</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part number conflicts with the operator-entered part number, the system SHALL:</w:t>
      </w:r>
      <w:r>
        <w:t xml:space="preserve"> </w:t>
      </w:r>
      <w:r>
        <w:t xml:space="preserve">1. Place the LOT on HOLD automatically (FRS 3.16.10)</w:t>
      </w:r>
      <w:r>
        <w:t xml:space="preserve"> </w:t>
      </w:r>
      <w:r>
        <w:t xml:space="preserve">2. Display a popup alerting the operator to the conflict</w:t>
      </w:r>
      <w:r>
        <w:t xml:space="preserve"> </w:t>
      </w:r>
      <w:r>
        <w:t xml:space="preserve">3. Offer a supervisor override option — a supervisor authenticates (clock number + PIN) to release the hold and allow operations to continue</w:t>
      </w:r>
      <w:r>
        <w:t xml:space="preserve"> </w:t>
      </w:r>
      <w:r>
        <w:t xml:space="preserve">4. Log the conflict, hold event, and any override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OI-04:</w:t>
      </w:r>
      <w:r>
        <w:t xml:space="preserve"> </w:t>
      </w:r>
      <w:r>
        <w:t xml:space="preserve">Blue Ridge recommends auto-hold + supervisor override popup for vision conflicts. The hold blocks production on that LOT until a supervisor intervenes. This ensures traceability of every conflict while not permanently stopping the line. Needs MPP validation of this workflow.</w:t>
      </w:r>
    </w:p>
    <w:bookmarkEnd w:id="230"/>
    <w:bookmarkEnd w:id="231"/>
    <w:bookmarkStart w:id="233" w:name="scale-integration"/>
    <w:p>
      <w:pPr>
        <w:pStyle w:val="Heading3"/>
      </w:pPr>
      <w:r>
        <w:t xml:space="preserve">10.4 Scale Integration</w:t>
      </w:r>
    </w:p>
    <w:bookmarkStart w:id="232"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32"/>
    <w:bookmarkEnd w:id="233"/>
    <w:bookmarkStart w:id="236" w:name="barcode-integration"/>
    <w:p>
      <w:pPr>
        <w:pStyle w:val="Heading3"/>
      </w:pPr>
      <w:r>
        <w:t xml:space="preserve">10.5 Barcode Integration</w:t>
      </w:r>
    </w:p>
    <w:bookmarkStart w:id="234"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34"/>
    <w:bookmarkStart w:id="235"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35"/>
    <w:bookmarkEnd w:id="236"/>
    <w:bookmarkEnd w:id="237"/>
    <w:bookmarkStart w:id="252" w:name="audit-logging-mvp"/>
    <w:p>
      <w:pPr>
        <w:pStyle w:val="Heading2"/>
      </w:pPr>
      <w:r>
        <w:t xml:space="preserve">11. Audit &amp; Logging —</w:t>
      </w:r>
      <w:r>
        <w:t xml:space="preserve"> </w:t>
      </w:r>
      <w:r>
        <w:rPr>
          <w:rStyle w:val="VerbatimChar"/>
        </w:rPr>
        <w:t xml:space="preserve">MVP</w:t>
      </w:r>
    </w:p>
    <w:bookmarkStart w:id="238"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38"/>
    <w:bookmarkStart w:id="244" w:name="log-types"/>
    <w:p>
      <w:pPr>
        <w:pStyle w:val="Heading3"/>
      </w:pPr>
      <w:r>
        <w:t xml:space="preserve">11.2 Log Types</w:t>
      </w:r>
    </w:p>
    <w:bookmarkStart w:id="239"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39"/>
    <w:bookmarkStart w:id="240"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40"/>
    <w:bookmarkStart w:id="241"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41"/>
    <w:bookmarkStart w:id="242"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42"/>
    <w:bookmarkStart w:id="243"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43"/>
    <w:bookmarkEnd w:id="244"/>
    <w:bookmarkStart w:id="248" w:name="normalized-vocabularies"/>
    <w:p>
      <w:pPr>
        <w:pStyle w:val="Heading3"/>
      </w:pPr>
      <w:r>
        <w:t xml:space="preserve">11.3 Normalized Vocabularies</w:t>
      </w:r>
    </w:p>
    <w:bookmarkStart w:id="245"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45"/>
    <w:bookmarkStart w:id="246"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46"/>
    <w:bookmarkStart w:id="247"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47"/>
    <w:bookmarkEnd w:id="248"/>
    <w:bookmarkStart w:id="251" w:name="data-retention"/>
    <w:p>
      <w:pPr>
        <w:pStyle w:val="Heading3"/>
      </w:pPr>
      <w:r>
        <w:t xml:space="preserve">11.4 Data Retention</w:t>
      </w:r>
    </w:p>
    <w:bookmarkStart w:id="249"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49"/>
    <w:bookmarkStart w:id="250"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50"/>
    <w:bookmarkEnd w:id="251"/>
    <w:bookmarkEnd w:id="252"/>
    <w:bookmarkStart w:id="268" w:name="reporting-mvp"/>
    <w:p>
      <w:pPr>
        <w:pStyle w:val="Heading2"/>
      </w:pPr>
      <w:r>
        <w:t xml:space="preserve">12. Reporting —</w:t>
      </w:r>
      <w:r>
        <w:t xml:space="preserve"> </w:t>
      </w:r>
      <w:r>
        <w:rPr>
          <w:rStyle w:val="VerbatimChar"/>
        </w:rPr>
        <w:t xml:space="preserve">MVP</w:t>
      </w:r>
    </w:p>
    <w:bookmarkStart w:id="253"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53"/>
    <w:bookmarkStart w:id="258" w:name="traceability-reports"/>
    <w:p>
      <w:pPr>
        <w:pStyle w:val="Heading3"/>
      </w:pPr>
      <w:r>
        <w:t xml:space="preserve">12.2 Traceability Reports</w:t>
      </w:r>
    </w:p>
    <w:bookmarkStart w:id="254"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54"/>
    <w:bookmarkStart w:id="255"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255"/>
    <w:bookmarkStart w:id="256"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256"/>
    <w:bookmarkStart w:id="257"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257"/>
    <w:bookmarkEnd w:id="258"/>
    <w:bookmarkStart w:id="263" w:name="X20e5703298e30073c8ffa1040c87c727e57d853"/>
    <w:p>
      <w:pPr>
        <w:pStyle w:val="Heading3"/>
      </w:pPr>
      <w:r>
        <w:t xml:space="preserve">12.3 Production Reports (Replacing Productivity DB)</w:t>
      </w:r>
    </w:p>
    <w:bookmarkStart w:id="259"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259"/>
    <w:bookmarkStart w:id="260"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260"/>
    <w:bookmarkStart w:id="261"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261"/>
    <w:bookmarkStart w:id="262"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262"/>
    <w:bookmarkEnd w:id="263"/>
    <w:bookmarkStart w:id="267" w:name="operational-reports"/>
    <w:p>
      <w:pPr>
        <w:pStyle w:val="Heading3"/>
      </w:pPr>
      <w:r>
        <w:t xml:space="preserve">12.4 Operational Reports</w:t>
      </w:r>
    </w:p>
    <w:bookmarkStart w:id="264"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264"/>
    <w:bookmarkStart w:id="265"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265"/>
    <w:bookmarkStart w:id="266"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p>
      <w:r>
        <w:pict>
          <v:rect style="width:0;height:1.5pt" o:hralign="center" o:hrstd="t" o:hr="t"/>
        </w:pict>
      </w:r>
    </w:p>
    <w:bookmarkEnd w:id="266"/>
    <w:bookmarkEnd w:id="267"/>
    <w:bookmarkEnd w:id="268"/>
    <w:bookmarkStart w:id="279" w:name="external-system-interfaces-mixed-scope"/>
    <w:p>
      <w:pPr>
        <w:pStyle w:val="Heading2"/>
      </w:pPr>
      <w:r>
        <w:t xml:space="preserve">13. External System Interfaces — MIXED SCOPE</w:t>
      </w:r>
    </w:p>
    <w:bookmarkStart w:id="272" w:name="aim-honda-edi-mvp"/>
    <w:p>
      <w:pPr>
        <w:pStyle w:val="Heading3"/>
      </w:pPr>
      <w:r>
        <w:t xml:space="preserve">13.1 AIM (Honda EDI) —</w:t>
      </w:r>
      <w:r>
        <w:t xml:space="preserve"> </w:t>
      </w:r>
      <w:r>
        <w:rPr>
          <w:rStyle w:val="VerbatimChar"/>
        </w:rPr>
        <w:t xml:space="preserve">MVP</w:t>
      </w:r>
    </w:p>
    <w:bookmarkStart w:id="269"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269"/>
    <w:bookmarkStart w:id="270"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270"/>
    <w:bookmarkStart w:id="271"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271"/>
    <w:bookmarkEnd w:id="272"/>
    <w:bookmarkStart w:id="274" w:name="macola-erp-future"/>
    <w:p>
      <w:pPr>
        <w:pStyle w:val="Heading3"/>
      </w:pPr>
      <w:r>
        <w:t xml:space="preserve">13.2 Macola ERP —</w:t>
      </w:r>
      <w:r>
        <w:t xml:space="preserve"> </w:t>
      </w:r>
      <w:r>
        <w:rPr>
          <w:rStyle w:val="VerbatimChar"/>
        </w:rPr>
        <w:t xml:space="preserve">FUTURE</w:t>
      </w:r>
    </w:p>
    <w:bookmarkStart w:id="273"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273"/>
    <w:bookmarkEnd w:id="274"/>
    <w:bookmarkStart w:id="276" w:name="intelex-quality-management-future"/>
    <w:p>
      <w:pPr>
        <w:pStyle w:val="Heading3"/>
      </w:pPr>
      <w:r>
        <w:t xml:space="preserve">13.3 Intelex (Quality Management) —</w:t>
      </w:r>
      <w:r>
        <w:t xml:space="preserve"> </w:t>
      </w:r>
      <w:r>
        <w:rPr>
          <w:rStyle w:val="VerbatimChar"/>
        </w:rPr>
        <w:t xml:space="preserve">FUTURE</w:t>
      </w:r>
    </w:p>
    <w:bookmarkStart w:id="275"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275"/>
    <w:bookmarkEnd w:id="276"/>
    <w:bookmarkStart w:id="278" w:name="scada-process-dashboards-future"/>
    <w:p>
      <w:pPr>
        <w:pStyle w:val="Heading3"/>
      </w:pPr>
      <w:r>
        <w:t xml:space="preserve">13.4 SCADA / Process Dashboards —</w:t>
      </w:r>
      <w:r>
        <w:t xml:space="preserve"> </w:t>
      </w:r>
      <w:r>
        <w:rPr>
          <w:rStyle w:val="VerbatimChar"/>
        </w:rPr>
        <w:t xml:space="preserve">FUTURE</w:t>
      </w:r>
    </w:p>
    <w:bookmarkStart w:id="277"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277"/>
    <w:bookmarkEnd w:id="278"/>
    <w:bookmarkEnd w:id="279"/>
    <w:bookmarkStart w:id="285" w:name="data-migration-conditional"/>
    <w:p>
      <w:pPr>
        <w:pStyle w:val="Heading2"/>
      </w:pPr>
      <w:r>
        <w:t xml:space="preserve">14. Data Migration —</w:t>
      </w:r>
      <w:r>
        <w:t xml:space="preserve"> </w:t>
      </w:r>
      <w:r>
        <w:rPr>
          <w:rStyle w:val="VerbatimChar"/>
        </w:rPr>
        <w:t xml:space="preserve">CONDITIONAL</w:t>
      </w:r>
    </w:p>
    <w:bookmarkStart w:id="28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280"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280"/>
    <w:bookmarkStart w:id="281"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281"/>
    <w:bookmarkStart w:id="282"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282"/>
    <w:bookmarkStart w:id="283"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p>
      <w:r>
        <w:pict>
          <v:rect style="width:0;height:1.5pt" o:hralign="center" o:hrstd="t" o:hr="t"/>
        </w:pict>
      </w:r>
    </w:p>
    <w:bookmarkEnd w:id="283"/>
    <w:bookmarkEnd w:id="284"/>
    <w:bookmarkEnd w:id="285"/>
    <w:bookmarkStart w:id="296" w:name="deployment-commissioning-mvp"/>
    <w:p>
      <w:pPr>
        <w:pStyle w:val="Heading2"/>
      </w:pPr>
      <w:r>
        <w:t xml:space="preserve">15. Deployment &amp; Commissioning —</w:t>
      </w:r>
      <w:r>
        <w:t xml:space="preserve"> </w:t>
      </w:r>
      <w:r>
        <w:rPr>
          <w:rStyle w:val="VerbatimChar"/>
        </w:rPr>
        <w:t xml:space="preserve">MVP</w:t>
      </w:r>
    </w:p>
    <w:bookmarkStart w:id="292" w:name="deployment-approach"/>
    <w:p>
      <w:pPr>
        <w:pStyle w:val="Heading3"/>
      </w:pPr>
      <w:r>
        <w:t xml:space="preserve">15.1 Deployment Approach</w:t>
      </w:r>
    </w:p>
    <w:bookmarkStart w:id="28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286"/>
    <w:bookmarkStart w:id="28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287"/>
    <w:bookmarkStart w:id="28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288"/>
    <w:bookmarkStart w:id="28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289"/>
    <w:bookmarkStart w:id="29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290"/>
    <w:bookmarkStart w:id="29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291"/>
    <w:bookmarkEnd w:id="292"/>
    <w:bookmarkStart w:id="295" w:name="change-management"/>
    <w:p>
      <w:pPr>
        <w:pStyle w:val="Heading3"/>
      </w:pPr>
      <w:r>
        <w:t xml:space="preserve">15.2 Change Management</w:t>
      </w:r>
    </w:p>
    <w:bookmarkStart w:id="29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293"/>
    <w:bookmarkStart w:id="29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294"/>
    <w:bookmarkEnd w:id="295"/>
    <w:bookmarkEnd w:id="296"/>
    <w:bookmarkStart w:id="305" w:name="appendices"/>
    <w:p>
      <w:pPr>
        <w:pStyle w:val="Heading2"/>
      </w:pPr>
      <w:r>
        <w:t xml:space="preserve">Appendices</w:t>
      </w:r>
    </w:p>
    <w:bookmarkStart w:id="297"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297"/>
    <w:bookmarkStart w:id="298"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298"/>
    <w:bookmarkStart w:id="299"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299"/>
    <w:bookmarkStart w:id="300"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00"/>
    <w:bookmarkStart w:id="301"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01"/>
    <w:bookmarkStart w:id="302"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02"/>
    <w:bookmarkStart w:id="303"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03"/>
    <w:bookmarkStart w:id="304"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04"/>
    <w:bookmarkEnd w:id="305"/>
    <w:bookmarkStart w:id="306" w:name="open-items-register"/>
    <w:p>
      <w:pPr>
        <w:pStyle w:val="Heading2"/>
      </w:pPr>
      <w:r>
        <w:t xml:space="preserve">Open Items Register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how are lunch/break/overtime minutes captured?</w:t>
            </w:r>
          </w:p>
        </w:tc>
        <w:tc>
          <w:tcPr/>
          <w:p>
            <w:pPr>
              <w:pStyle w:val="Compact"/>
            </w:pPr>
            <w:r>
              <w:t xml:space="preserve">MPP Production Control</w:t>
            </w:r>
          </w:p>
        </w:tc>
        <w:tc>
          <w:tcPr/>
          <w:p>
            <w:pPr>
              <w:pStyle w:val="Compact"/>
            </w:pPr>
            <w:r>
              <w:t xml:space="preserve">⬜ Open</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system conflict: auto-hold LOT + supervisor override popup</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Pending Customer Validation</w:t>
            </w:r>
          </w:p>
        </w:tc>
      </w:tr>
      <w:tr>
        <w:tc>
          <w:tcPr/>
          <w:p>
            <w:pPr>
              <w:pStyle w:val="Compact"/>
            </w:pPr>
            <w:r>
              <w:rPr>
                <w:b/>
                <w:bCs/>
              </w:rPr>
              <w:t xml:space="preserve">OI-05</w:t>
            </w:r>
          </w:p>
        </w:tc>
        <w:tc>
          <w:tcPr/>
          <w:p>
            <w:pPr>
              <w:pStyle w:val="Compact"/>
            </w:pPr>
            <w:r>
              <w:t xml:space="preserve">5.5</w:t>
            </w:r>
          </w:p>
        </w:tc>
        <w:tc>
          <w:tcPr/>
          <w:p>
            <w:pPr>
              <w:pStyle w:val="Compact"/>
            </w:pPr>
            <w:r>
              <w:t xml:space="preserve">LOT merge business rules: configurable, examples provided for MPP review</w:t>
            </w:r>
          </w:p>
        </w:tc>
        <w:tc>
          <w:tcPr/>
          <w:p>
            <w:pPr>
              <w:pStyle w:val="Compact"/>
            </w:pPr>
            <w:r>
              <w:t xml:space="preserve">MPP Production Control / Quality</w:t>
            </w:r>
          </w:p>
        </w:tc>
        <w:tc>
          <w:tcPr/>
          <w:p>
            <w:pPr>
              <w:pStyle w:val="Compact"/>
            </w:pPr>
            <w:r>
              <w:t xml:space="preserve">🔶 Pending Customer Validation</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4.2</w:t>
            </w:r>
          </w:p>
        </w:tc>
        <w:tc>
          <w:tcPr>
            <w:shd w:val="clear" w:color="auto" w:fill="F2F2F2"/>
          </w:tcPr>
          <w:tcPr/>
          <w:p>
            <w:pPr>
              <w:pStyle w:val="Compact"/>
            </w:pPr>
            <w:r>
              <w:t xml:space="preserve">Session lifecycle: login on first action, 5-min timeout, re-badge for elevated actions</w:t>
            </w:r>
          </w:p>
        </w:tc>
        <w:tc>
          <w:tcPr>
            <w:shd w:val="clear" w:color="auto" w:fill="F2F2F2"/>
          </w:tcPr>
          <w:tcPr/>
          <w:p>
            <w:pPr>
              <w:pStyle w:val="Compact"/>
            </w:pPr>
            <w:r>
              <w:t xml:space="preserve">MPP Operations</w:t>
            </w:r>
          </w:p>
        </w:tc>
        <w:tc>
          <w:tcPr>
            <w:shd w:val="clear" w:color="auto" w:fill="F2F2F2"/>
          </w:tcPr>
          <w:tcPr/>
          <w:p>
            <w:pPr>
              <w:pStyle w:val="Compact"/>
            </w:pPr>
            <w:r>
              <w:t xml:space="preserve">🔶 Pending Customer Validation</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included but hidden (MVP-lite, auto-generated, no WO screens)</w:t>
            </w:r>
          </w:p>
        </w:tc>
        <w:tc>
          <w:tcPr/>
          <w:p>
            <w:pPr>
              <w:pStyle w:val="Compact"/>
            </w:pPr>
            <w:r>
              <w:t xml:space="preserve">MPP / Blue Ridge</w:t>
            </w:r>
          </w:p>
        </w:tc>
        <w:tc>
          <w:tcPr/>
          <w:p>
            <w:pPr>
              <w:pStyle w:val="Compact"/>
            </w:pPr>
            <w:r>
              <w:t xml:space="preserve">🔶 Pending Customer Validation</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shared, machine barcode scan as first step, terminal as location type</w:t>
            </w:r>
          </w:p>
        </w:tc>
        <w:tc>
          <w:tcPr>
            <w:shd w:val="clear" w:color="auto" w:fill="F2F2F2"/>
          </w:tcPr>
          <w:tcPr/>
          <w:p>
            <w:pPr>
              <w:pStyle w:val="Compact"/>
            </w:pPr>
            <w:r>
              <w:t xml:space="preserve">MPP IT / Operations</w:t>
            </w:r>
          </w:p>
        </w:tc>
        <w:tc>
          <w:tcPr>
            <w:shd w:val="clear" w:color="auto" w:fill="F2F2F2"/>
          </w:tcPr>
          <w:tcPr/>
          <w:p>
            <w:pPr>
              <w:pStyle w:val="Compact"/>
            </w:pPr>
            <w:r>
              <w:t xml:space="preserve">✅ Resolved</w:t>
            </w:r>
          </w:p>
        </w:tc>
      </w:tr>
      <w:tr>
        <w:tc>
          <w:tcPr/>
          <w:p>
            <w:pPr>
              <w:pStyle w:val="Compact"/>
            </w:pPr>
            <w:r>
              <w:rPr>
                <w:b/>
                <w:bCs/>
              </w:rPr>
              <w:t xml:space="preserve">OI-09</w:t>
            </w:r>
          </w:p>
        </w:tc>
        <w:tc>
          <w:tcPr/>
          <w:p>
            <w:pPr>
              <w:pStyle w:val="Compact"/>
            </w:pPr>
            <w:r>
              <w:t xml:space="preserve">3.6</w:t>
            </w:r>
          </w:p>
        </w:tc>
        <w:tc>
          <w:tcPr/>
          <w:p>
            <w:pPr>
              <w:pStyle w:val="Compact"/>
            </w:pPr>
            <w:r>
              <w:t xml:space="preserve">Multi-part lines: one part at a time, operator selects LOT for consumption</w:t>
            </w:r>
          </w:p>
        </w:tc>
        <w:tc>
          <w:tcPr/>
          <w:p>
            <w:pPr>
              <w:pStyle w:val="Compact"/>
            </w:pPr>
            <w:r>
              <w:t xml:space="preserve">MPP Engineering</w:t>
            </w:r>
          </w:p>
        </w:tc>
        <w:tc>
          <w:tcPr/>
          <w:p>
            <w:pPr>
              <w:pStyle w:val="Compact"/>
            </w:pPr>
            <w:r>
              <w:t xml:space="preserve">✅ Resolved</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w:t>
            </w:r>
          </w:p>
        </w:tc>
        <w:tc>
          <w:tcPr>
            <w:shd w:val="clear" w:color="auto" w:fill="F2F2F2"/>
          </w:tcPr>
          <w:tcPr/>
          <w:p>
            <w:pPr>
              <w:pStyle w:val="Compact"/>
            </w:pPr>
            <w:r>
              <w:t xml:space="preserve">Tool Life tracking:</w:t>
            </w:r>
            <w:r>
              <w:t xml:space="preserve"> </w:t>
            </w:r>
            <w:r>
              <w:rPr>
                <w:rStyle w:val="VerbatimChar"/>
              </w:rPr>
              <w:t xml:space="preserve">LocationAttribute</w:t>
            </w:r>
            <w:r>
              <w:t xml:space="preserve"> </w:t>
            </w:r>
            <w:r>
              <w:t xml:space="preserve">vs. dedicated table (MVP per Scope Matrix row 26, FRS 5.6.6)</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Open</w:t>
            </w:r>
          </w:p>
        </w:tc>
      </w:tr>
    </w:tbl>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Functional Design Specification</dc:title>
  <dc:creator/>
  <cp:keywords/>
  <dcterms:created xsi:type="dcterms:W3CDTF">2026-04-10T19:59:07Z</dcterms:created>
  <dcterms:modified xsi:type="dcterms:W3CDTF">2026-04-10T19:59:07Z</dcterms:modified>
</cp:coreProperties>
</file>

<file path=docProps/custom.xml><?xml version="1.0" encoding="utf-8"?>
<Properties xmlns="http://schemas.openxmlformats.org/officeDocument/2006/custom-properties" xmlns:vt="http://schemas.openxmlformats.org/officeDocument/2006/docPropsVTypes"/>
</file>