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mpp-mes-data-model-reference"/>
    <w:p>
      <w:pPr>
        <w:pStyle w:val="Heading1"/>
      </w:pPr>
      <w:r>
        <w:t xml:space="preserve">MPP MES — Data Model Reference</w:t>
      </w:r>
    </w:p>
    <w:p>
      <w:pPr>
        <w:pStyle w:val="FirstParagraph"/>
      </w:pPr>
      <w:r>
        <w:rPr>
          <w:b/>
          <w:bCs/>
        </w:rPr>
        <w:t xml:space="preserve">Version:</w:t>
      </w:r>
      <w:r>
        <w:t xml:space="preserve"> </w:t>
      </w:r>
      <w:r>
        <w:t xml:space="preserve">v1.8 working draft</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Five items: (1)</w:t>
            </w:r>
            <w:r>
              <w:t xml:space="preserve"> </w:t>
            </w:r>
            <w:r>
              <w:rPr>
                <w:b/>
                <w:bCs/>
              </w:rPr>
              <w:t xml:space="preserve">OI-11</w:t>
            </w:r>
            <w:r>
              <w:t xml:space="preserve"> </w:t>
            </w:r>
            <w:r>
              <w:t xml:space="preserve">— new</w:t>
            </w:r>
            <w:r>
              <w:t xml:space="preserve"> </w:t>
            </w:r>
            <w:r>
              <w:rPr>
                <w:rStyle w:val="VerbatimChar"/>
              </w:rPr>
              <w:t xml:space="preserve">Parts.ItemTransform</w:t>
            </w:r>
            <w:r>
              <w:t xml:space="preserve"> </w:t>
            </w:r>
            <w:r>
              <w:t xml:space="preserve">table for Casting → Trim part-number rename (source item, destination item, event-level traceability via FK to</w:t>
            </w:r>
            <w:r>
              <w:t xml:space="preserve"> </w:t>
            </w:r>
            <w:r>
              <w:rPr>
                <w:rStyle w:val="VerbatimChar"/>
              </w:rPr>
              <w:t xml:space="preserve">Workorder.ProductionEvent</w:t>
            </w:r>
            <w:r>
              <w:t xml:space="preserve">), supports Honda genealogy across the Trim Shop boundary where the part changes identity. (2)</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(3)</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(4)</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(5)</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Enforced nullable because only scrap events populate it;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2 rows (ItemTransform, ScrapSource). All five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 all open LOTs). Scan-in mutation rejects when cumulative lineside quantity would exceed this. Added v1.8 (OI-12). Complements</w:t>
            </w:r>
            <w:r>
              <w:t xml:space="preserve"> </w:t>
            </w:r>
            <w:r>
              <w:rPr>
                <w:rStyle w:val="VerbatimChar"/>
              </w:rPr>
              <w:t xml:space="preserve">Parts.ContainerConfig.MaxParts</w:t>
            </w:r>
            <w:r>
              <w:t xml:space="preserve"> </w:t>
            </w:r>
            <w:r>
              <w:t xml:space="preserve">which caps per-container;</w:t>
            </w:r>
            <w:r>
              <w:t xml:space="preserve"> </w:t>
            </w:r>
            <w:r>
              <w:rPr>
                <w:rStyle w:val="VerbatimChar"/>
              </w:rPr>
              <w:t xml:space="preserve">LinesideLimit</w:t>
            </w:r>
            <w:r>
              <w:t xml:space="preserve"> </w:t>
            </w:r>
            <w:r>
              <w:t xml:space="preserve">caps per-location.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t xml:space="preserve">Reasonability check ceiling</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CountryOfOrigin</w:t>
            </w:r>
          </w:p>
        </w:tc>
        <w:tc>
          <w:tcPr/>
          <w:p>
            <w:pPr>
              <w:pStyle w:val="Compact"/>
            </w:pPr>
            <w:r>
              <w:t xml:space="preserve">NVARCHAR(2)</w:t>
            </w:r>
          </w:p>
        </w:tc>
        <w:tc>
          <w:tcPr/>
          <w:p>
            <w:pPr>
              <w:pStyle w:val="Compact"/>
            </w:pPr>
            <w:r>
              <w:t xml:space="preserve">NULL</w:t>
            </w:r>
          </w:p>
        </w:tc>
        <w:tc>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on which machines)</w:t>
      </w:r>
      <w:r>
        <w:t xml:space="preserve"> </w:t>
      </w:r>
      <w:r>
        <w:rPr>
          <w:b/>
          <w:bCs/>
        </w:rPr>
        <w:t xml:space="preserve">plus consumption metadata</w:t>
      </w:r>
      <w:r>
        <w:t xml:space="preserve"> </w:t>
      </w:r>
      <w:r>
        <w:t xml:space="preserve">for runtime Allocations (added v1.8, OI-18).</w:t>
      </w:r>
    </w:p>
    <w:p>
      <w:pPr>
        <w:pStyle w:val="BodyText"/>
      </w:pPr>
      <w:r>
        <w:t xml:space="preserve">v1.8 extends this junction with 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at the workstation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Output cells (produce-at) carry</w:t>
      </w:r>
      <w:r>
        <w:t xml:space="preserve"> </w:t>
      </w:r>
      <w:r>
        <w:rPr>
          <w:rStyle w:val="VerbatimChar"/>
        </w:rPr>
        <w:t xml:space="preserve">IsConsumptionPoint = 0</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MaxParts</w:t>
            </w:r>
          </w:p>
        </w:tc>
        <w:tc>
          <w:tcPr/>
          <w:p>
            <w:pPr>
              <w:pStyle w:val="Compact"/>
            </w:pPr>
            <w:r>
              <w:t xml:space="preserve">INT</w:t>
            </w:r>
          </w:p>
        </w:tc>
        <w:tc>
          <w:tcPr/>
          <w:p>
            <w:pPr>
              <w:pStyle w:val="Compact"/>
            </w:pPr>
            <w:r>
              <w:t xml:space="preserve">NULL</w:t>
            </w:r>
          </w:p>
        </w:tc>
        <w:tc>
          <w:tcPr/>
          <w:p>
            <w:pPr>
              <w:pStyle w:val="Compact"/>
            </w:pPr>
            <w:r>
              <w:t xml:space="preserve">Hard cap on pieces per container regardless of trays/parts math. Scan-in mutation rejects when cumulative container quantity would exceed this. Added v1.8 (OI-12) to stop lineside over-scanning.</w:t>
            </w:r>
          </w:p>
        </w:tc>
      </w:tr>
      <w:tr>
        <w:tc>
          <w:tcPr>
            <w:shd w:val="clear" w:color="auto" w:fill="F2F2F2"/>
          </w:tcPr>
          <w:tcPr/>
          <w:p>
            <w:pPr>
              <w:pStyle w:val="Compact"/>
            </w:pPr>
            <w:r>
              <w:t xml:space="preserve">IsSerialized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ClosureMethod</w:t>
            </w:r>
          </w:p>
        </w:tc>
        <w:tc>
          <w:tcPr/>
          <w:p>
            <w:pPr>
              <w:pStyle w:val="Compact"/>
            </w:pPr>
            <w:r>
              <w:t xml:space="preserve">NVARCHAR(20)</w:t>
            </w:r>
          </w:p>
        </w:tc>
        <w:tc>
          <w:tcPr/>
          <w:p>
            <w:pPr>
              <w:pStyle w:val="Compact"/>
            </w:pPr>
            <w:r>
              <w:t xml:space="preserve">NULL</w:t>
            </w:r>
          </w:p>
        </w:tc>
        <w:tc>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shd w:val="clear" w:color="auto" w:fill="F2F2F2"/>
          </w:tcPr>
          <w:tcPr/>
          <w:p>
            <w:pPr>
              <w:pStyle w:val="Compact"/>
            </w:pPr>
            <w:r>
              <w:t xml:space="preserve">TargetWeight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Target weight for BY_WEIGHT closure. Added in Phase 4 pending OI-02 closure.</w:t>
            </w:r>
          </w:p>
        </w:tc>
      </w:tr>
      <w:tr>
        <w:tc>
          <w:tcPr/>
          <w:p>
            <w:pPr>
              <w:pStyle w:val="Compact"/>
            </w:pPr>
            <w:r>
              <w:t xml:space="preserve">DunnageCode</w:t>
            </w:r>
          </w:p>
        </w:tc>
        <w:tc>
          <w:tcPr/>
          <w:p>
            <w:pPr>
              <w:pStyle w:val="Compact"/>
            </w:pPr>
            <w:r>
              <w:t xml:space="preserve">NVARCHAR(50)</w:t>
            </w:r>
          </w:p>
        </w:tc>
        <w:tc>
          <w:tcPr/>
          <w:p>
            <w:pPr>
              <w:pStyle w:val="Compact"/>
            </w:pPr>
            <w:r>
              <w:t xml:space="preserve">NULL</w:t>
            </w:r>
          </w:p>
        </w:tc>
        <w:tc>
          <w:tcPr/>
          <w:p>
            <w:pPr>
              <w:pStyle w:val="Compact"/>
            </w:pPr>
            <w:r>
              <w:t xml:space="preserve">Returnable dunnage identifier</w:t>
            </w:r>
          </w:p>
        </w:tc>
      </w:tr>
      <w:tr>
        <w:tc>
          <w:tcPr>
            <w:shd w:val="clear" w:color="auto" w:fill="F2F2F2"/>
          </w:tcPr>
          <w:tcPr/>
          <w:p>
            <w:pPr>
              <w:pStyle w:val="Compact"/>
            </w:pPr>
            <w:r>
              <w:t xml:space="preserve">CustomerCode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Honda customer code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1"/>
    <w:bookmarkStart w:id="32" w:name="itemtransform"/>
    <w:p>
      <w:pPr>
        <w:pStyle w:val="Heading3"/>
      </w:pPr>
      <w:r>
        <w:t xml:space="preserve">ItemTransform</w:t>
      </w:r>
    </w:p>
    <w:p>
      <w:pPr>
        <w:pStyle w:val="FirstParagraph"/>
      </w:pPr>
      <w:r>
        <w:t xml:space="preserve">Records a</w:t>
      </w:r>
      <w:r>
        <w:t xml:space="preserve"> </w:t>
      </w:r>
      <w:r>
        <w:rPr>
          <w:b/>
          <w:bCs/>
        </w:rPr>
        <w:t xml:space="preserve">part-identity change</w:t>
      </w:r>
      <w:r>
        <w:t xml:space="preserve"> </w:t>
      </w:r>
      <w:r>
        <w:t xml:space="preserve">across a process boundary — most notably the Casting → Trim Shop rename, where the same physical piece carries a different part number on each side of the transform. Genealogy must bridge the two identities so Honda queries resolve from the shipped part number back to the cast part number.</w:t>
      </w:r>
    </w:p>
    <w:p>
      <w:pPr>
        <w:pStyle w:val="BodyText"/>
      </w:pPr>
      <w:r>
        <w:t xml:space="preserve">Added v1.8 (OI-11). Append-only event-style 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SourceItemId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part number before the transform (e.g., the Casting part).</w:t>
            </w:r>
          </w:p>
        </w:tc>
      </w:tr>
      <w:tr>
        <w:tc>
          <w:tcPr/>
          <w:p>
            <w:pPr>
              <w:pStyle w:val="Compact"/>
            </w:pPr>
            <w:r>
              <w:t xml:space="preserve">DestinationItemId</w:t>
            </w:r>
          </w:p>
        </w:tc>
        <w:tc>
          <w:tcPr/>
          <w:p>
            <w:pPr>
              <w:pStyle w:val="Compact"/>
            </w:pPr>
            <w:r>
              <w:t xml:space="preserve">BIGINT</w:t>
            </w:r>
          </w:p>
        </w:tc>
        <w:tc>
          <w:tcPr/>
          <w:p>
            <w:pPr>
              <w:pStyle w:val="Compact"/>
            </w:pPr>
            <w:r>
              <w:t xml:space="preserve">FK → Item.Id, NOT NULL</w:t>
            </w:r>
          </w:p>
        </w:tc>
        <w:tc>
          <w:tcPr/>
          <w:p>
            <w:pPr>
              <w:pStyle w:val="Compact"/>
            </w:pPr>
            <w:r>
              <w:t xml:space="preserve">The part number after the transform (e.g., the Trim Shop part).</w:t>
            </w:r>
          </w:p>
        </w:tc>
      </w:tr>
      <w:tr>
        <w:tc>
          <w:tcPr>
            <w:shd w:val="clear" w:color="auto" w:fill="F2F2F2"/>
          </w:tcPr>
          <w:tcPr/>
          <w:p>
            <w:pPr>
              <w:pStyle w:val="Compact"/>
            </w:pPr>
            <w:r>
              <w:t xml:space="preserve">SourceLotId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LOT consumed on the source side.</w:t>
            </w:r>
          </w:p>
        </w:tc>
      </w:tr>
      <w:tr>
        <w:tc>
          <w:tcPr/>
          <w:p>
            <w:pPr>
              <w:pStyle w:val="Compact"/>
            </w:pPr>
            <w:r>
              <w:t xml:space="preserve">DestinationLotId</w:t>
            </w:r>
          </w:p>
        </w:tc>
        <w:tc>
          <w:tcPr/>
          <w:p>
            <w:pPr>
              <w:pStyle w:val="Compact"/>
            </w:pPr>
            <w:r>
              <w:t xml:space="preserve">BIGINT</w:t>
            </w:r>
          </w:p>
        </w:tc>
        <w:tc>
          <w:tcPr/>
          <w:p>
            <w:pPr>
              <w:pStyle w:val="Compact"/>
            </w:pPr>
            <w:r>
              <w:t xml:space="preserve">FK → Lots.Lot.Id, NOT NULL</w:t>
            </w:r>
          </w:p>
        </w:tc>
        <w:tc>
          <w:tcPr/>
          <w:p>
            <w:pPr>
              <w:pStyle w:val="Compact"/>
            </w:pPr>
            <w:r>
              <w:t xml:space="preserve">LOT produced on the destination side.</w:t>
            </w: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Workorder.ProductionEvent.Id, NULL</w:t>
            </w:r>
          </w:p>
        </w:tc>
        <w:tc>
          <w:tcPr>
            <w:shd w:val="clear" w:color="auto" w:fill="F2F2F2"/>
          </w:tcPr>
          <w:tcPr/>
          <w:p>
            <w:pPr>
              <w:pStyle w:val="Compact"/>
            </w:pPr>
            <w:r>
              <w:t xml:space="preserve">Event that captured the transform (if any — trim crossing may not always be mediated by a ProductionEvent).</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Cell where the transform was recorded (typically the first Trim Shop cell).</w:t>
            </w: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Pieces transformed.</w:t>
            </w:r>
          </w:p>
        </w:tc>
      </w:tr>
      <w:tr>
        <w:tc>
          <w:tcPr/>
          <w:p>
            <w:pPr>
              <w:pStyle w:val="Compact"/>
            </w:pPr>
            <w:r>
              <w:t xml:space="preserve">OperatorId</w:t>
            </w:r>
          </w:p>
        </w:tc>
        <w:tc>
          <w:tcPr/>
          <w:p>
            <w:pPr>
              <w:pStyle w:val="Compact"/>
            </w:pPr>
            <w:r>
              <w:t xml:space="preserve">BIGINT</w:t>
            </w:r>
          </w:p>
        </w:tc>
        <w:tc>
          <w:tcPr/>
          <w:p>
            <w:pPr>
              <w:pStyle w:val="Compact"/>
            </w:pPr>
            <w:r>
              <w:t xml:space="preserve">FK → AppUser.Id, NOT NULL</w:t>
            </w:r>
          </w:p>
        </w:tc>
        <w:tc>
          <w:tcPr/>
          <w:p>
            <w:pPr>
              <w:pStyle w:val="Compact"/>
            </w:pPr>
            <w:r>
              <w:t xml:space="preserve">Who triggered / stamped the transform (initials).</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from which the action was recorded.</w:t>
            </w:r>
          </w:p>
        </w:tc>
      </w:tr>
      <w:tr>
        <w:tc>
          <w:tcPr/>
          <w:p>
            <w:pPr>
              <w:pStyle w:val="Compact"/>
            </w:pPr>
            <w:r>
              <w:t xml:space="preserve">RecordedAt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Index:</w:t>
      </w:r>
      <w:r>
        <w:t xml:space="preserve"> </w:t>
      </w:r>
      <w:r>
        <w:rPr>
          <w:rStyle w:val="VerbatimChar"/>
        </w:rPr>
        <w:t xml:space="preserve">IX_ItemTransform_SourceLotId (SourceLotId)</w:t>
      </w:r>
      <w:r>
        <w:t xml:space="preserve"> </w:t>
      </w:r>
      <w:r>
        <w:t xml:space="preserve">and</w:t>
      </w:r>
      <w:r>
        <w:t xml:space="preserve"> </w:t>
      </w:r>
      <w:r>
        <w:rPr>
          <w:rStyle w:val="VerbatimChar"/>
        </w:rPr>
        <w:t xml:space="preserve">IX_ItemTransform_DestinationLotId (DestinationLotId)</w:t>
      </w:r>
      <w:r>
        <w:t xml:space="preserve"> </w:t>
      </w:r>
      <w:r>
        <w:t xml:space="preserve">— genealogy walks hit both directions.</w:t>
      </w:r>
    </w:p>
    <w:p>
      <w:pPr>
        <w:pStyle w:val="BodyText"/>
      </w:pPr>
      <w:r>
        <w:rPr>
          <w:b/>
          <w:bCs/>
        </w:rPr>
        <w:t xml:space="preserve">Rule:</w:t>
      </w:r>
      <w:r>
        <w:t xml:space="preserve"> </w:t>
      </w:r>
      <w:r>
        <w:rPr>
          <w:rStyle w:val="VerbatimChar"/>
        </w:rPr>
        <w:t xml:space="preserve">SourceItemId &lt;&gt; DestinationItemId</w:t>
      </w:r>
      <w:r>
        <w:t xml:space="preserve"> </w:t>
      </w:r>
      <w:r>
        <w:t xml:space="preserve">(CHECK enforced at proc layer).</w:t>
      </w:r>
    </w:p>
    <w:p>
      <w:pPr>
        <w:pStyle w:val="BodyText"/>
      </w:pPr>
      <w:r>
        <w:rPr>
          <w:b/>
          <w:bCs/>
        </w:rPr>
        <w:t xml:space="preserve">Integration with genealogy:</w:t>
      </w:r>
      <w:r>
        <w:t xml:space="preserve"> </w:t>
      </w:r>
      <w:r>
        <w:rPr>
          <w:rStyle w:val="VerbatimChar"/>
        </w:rPr>
        <w:t xml:space="preserve">Lots.LotGenealogy</w:t>
      </w:r>
      <w:r>
        <w:t xml:space="preserve"> </w:t>
      </w:r>
      <w:r>
        <w:t xml:space="preserve">retains the physical parent/child relationship across the transform;</w:t>
      </w:r>
      <w:r>
        <w:t xml:space="preserve"> </w:t>
      </w:r>
      <w:r>
        <w:rPr>
          <w:rStyle w:val="VerbatimChar"/>
        </w:rPr>
        <w:t xml:space="preserve">ItemTransform</w:t>
      </w:r>
      <w:r>
        <w:t xml:space="preserve"> </w:t>
      </w:r>
      <w:r>
        <w:t xml:space="preserve">layers the</w:t>
      </w:r>
      <w:r>
        <w:t xml:space="preserve"> </w:t>
      </w:r>
      <w:r>
        <w:rPr>
          <w:i/>
          <w:iCs/>
        </w:rPr>
        <w:t xml:space="preserve">part-identity</w:t>
      </w:r>
      <w:r>
        <w:t xml:space="preserve"> </w:t>
      </w:r>
      <w:r>
        <w:t xml:space="preserve">change on top. A full Honda trace joins through both tables.</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2"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 sub-LOTs</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5"/>
    <w:bookmarkStart w:id="46"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6"/>
    <w:bookmarkStart w:id="47"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7"/>
    <w:bookmarkStart w:id="48"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8"/>
    <w:bookmarkStart w:id="49"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49"/>
    <w:bookmarkStart w:id="50"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0"/>
    <w:bookmarkStart w:id="51"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1"/>
    <w:bookmarkEnd w:id="52"/>
    <w:bookmarkStart w:id="63"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Maintenance WO</w:t>
      </w:r>
      <w:r>
        <w:t xml:space="preserve"> </w:t>
      </w:r>
      <w:r>
        <w:rPr>
          <w:i/>
          <w:iCs/>
        </w:rPr>
        <w:t xml:space="preserve">flow</w:t>
      </w:r>
      <w:r>
        <w:t xml:space="preserve"> </w:t>
      </w:r>
      <w:r>
        <w:t xml:space="preserve">(screens, state machine, scheduling) —</w:t>
      </w:r>
      <w:r>
        <w:t xml:space="preserve"> </w:t>
      </w:r>
      <w:r>
        <w:rPr>
          <w:b/>
          <w:bCs/>
        </w:rPr>
        <w:t xml:space="preserve">FUTURE</w:t>
      </w:r>
      <w:r>
        <w:t xml:space="preserve"> </w:t>
      </w:r>
      <w:r>
        <w:t xml:space="preserve">(schema hook is MVP —</w:t>
      </w:r>
      <w:r>
        <w:t xml:space="preserve"> </w:t>
      </w:r>
      <w:r>
        <w:rPr>
          <w:rStyle w:val="VerbatimChar"/>
        </w:rPr>
        <w:t xml:space="preserve">WorkOrderType</w:t>
      </w:r>
      <w:r>
        <w:t xml:space="preserve"> </w:t>
      </w:r>
      <w:r>
        <w:t xml:space="preserve">seed +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(2026-04-20 MPP review):</w:t>
      </w:r>
      <w:r>
        <w:t xml:space="preserve"> </w:t>
      </w:r>
      <w:r>
        <w:t xml:space="preserve">Confirmed revised — three WO types exist:</w:t>
      </w:r>
      <w:r>
        <w:t xml:space="preserve"> </w:t>
      </w:r>
      <w:r>
        <w:rPr>
          <w:b/>
          <w:bCs/>
        </w:rPr>
        <w:t xml:space="preserve">Demand</w:t>
      </w:r>
      <w:r>
        <w:t xml:space="preserve"> </w:t>
      </w:r>
      <w:r>
        <w:t xml:space="preserve">(production, existing MVP-LITE behaviour),</w:t>
      </w:r>
      <w:r>
        <w:t xml:space="preserve"> </w:t>
      </w:r>
      <w:r>
        <w:rPr>
          <w:b/>
          <w:bCs/>
        </w:rPr>
        <w:t xml:space="preserve">Maintenance</w:t>
      </w:r>
      <w:r>
        <w:t xml:space="preserve"> </w:t>
      </w:r>
      <w:r>
        <w:t xml:space="preserve">(targets a Tool, FUTURE flow but schema hook is MVP),</w:t>
      </w:r>
      <w:r>
        <w:t xml:space="preserve"> </w:t>
      </w:r>
      <w:r>
        <w:rPr>
          <w:b/>
          <w:bCs/>
        </w:rPr>
        <w:t xml:space="preserve">Recipe</w:t>
      </w:r>
      <w:r>
        <w:t xml:space="preserve"> </w:t>
      </w:r>
      <w:r>
        <w:t xml:space="preserve">(configuration/recipe context, hidden from operator). Demand WOs remain invisible background bookkeeping. Operators never see or interact with any WO type in the MVP. All WO tables are populated but no WO-specific Perspective screens are built.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3"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3"/>
    <w:bookmarkStart w:id="54"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4"/>
    <w:bookmarkStart w:id="55"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5"/>
    <w:bookmarkStart w:id="56" w:name="workordertype"/>
    <w:p>
      <w:pPr>
        <w:pStyle w:val="Heading3"/>
      </w:pPr>
      <w:r>
        <w:t xml:space="preserve">WorkOrderType</w:t>
      </w:r>
    </w:p>
    <w:p>
      <w:pPr>
        <w:pStyle w:val="FirstParagraph"/>
      </w:pPr>
      <w:r>
        <w:t xml:space="preserve">Read-only code table. Seeded at migration time. Added in v1.7 (Phase B) to support the three-type WO model confirmed at the 2026-04-20 OI-07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Demand</w:t>
            </w:r>
            <w:r>
              <w:t xml:space="preserve">,</w:t>
            </w:r>
            <w:r>
              <w:t xml:space="preserve"> </w:t>
            </w:r>
            <w:r>
              <w:rPr>
                <w:rStyle w:val="VerbatimChar"/>
              </w:rPr>
              <w:t xml:space="preserve">Maintenance</w:t>
            </w:r>
            <w:r>
              <w:t xml:space="preserve">,</w:t>
            </w:r>
            <w:r>
              <w:t xml:space="preserve"> </w:t>
            </w:r>
            <w:r>
              <w:rPr>
                <w:rStyle w:val="VerbatimChar"/>
              </w:rPr>
              <w:t xml:space="preserve">Recipe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Demand</w:t>
            </w:r>
          </w:p>
        </w:tc>
        <w:tc>
          <w:tcPr/>
          <w:p>
            <w:pPr>
              <w:pStyle w:val="Compact"/>
            </w:pPr>
            <w:r>
              <w:t xml:space="preserve">Demand Work Order</w:t>
            </w:r>
          </w:p>
        </w:tc>
        <w:tc>
          <w:tcPr/>
          <w:p>
            <w:pPr>
              <w:pStyle w:val="Compact"/>
            </w:pPr>
            <w:r>
              <w:t xml:space="preserve">Production work orders (existing MVP-LITE behaviour; auto-generated, invisible to operators).</w:t>
            </w:r>
          </w:p>
        </w:tc>
      </w:tr>
      <w:tr>
        <w:tc>
          <w:tcPr>
            <w:shd w:val="clear" w:color="auto" w:fill="F2F2F2"/>
          </w:tcPr>
          <w:tcPr/>
          <w:p>
            <w:pPr>
              <w:pStyle w:val="Compact"/>
            </w:pPr>
            <w:r>
              <w:t xml:space="preserve">Maintenance</w:t>
            </w:r>
          </w:p>
        </w:tc>
        <w:tc>
          <w:tcPr>
            <w:shd w:val="clear" w:color="auto" w:fill="F2F2F2"/>
          </w:tcPr>
          <w:tcPr/>
          <w:p>
            <w:pPr>
              <w:pStyle w:val="Compact"/>
            </w:pPr>
            <w:r>
              <w:t xml:space="preserve">Maintenance Work Order</w:t>
            </w:r>
          </w:p>
        </w:tc>
        <w:tc>
          <w:tcPr>
            <w:shd w:val="clear" w:color="auto" w:fill="F2F2F2"/>
          </w:tcPr>
          <w:tcPr/>
          <w:p>
            <w:pPr>
              <w:pStyle w:val="Compact"/>
            </w:pPr>
            <w:r>
              <w:t xml:space="preserve">Targets a Tool (via</w:t>
            </w:r>
            <w:r>
              <w:t xml:space="preserve"> </w:t>
            </w:r>
            <w:r>
              <w:rPr>
                <w:rStyle w:val="VerbatimChar"/>
              </w:rPr>
              <w:t xml:space="preserve">WorkOrder.ToolId</w:t>
            </w:r>
            <w:r>
              <w:t xml:space="preserve">).</w:t>
            </w:r>
            <w:r>
              <w:t xml:space="preserve"> </w:t>
            </w:r>
            <w:r>
              <w:rPr>
                <w:b/>
                <w:bCs/>
              </w:rPr>
              <w:t xml:space="preserve">FUTURE</w:t>
            </w:r>
            <w:r>
              <w:t xml:space="preserve"> </w:t>
            </w:r>
            <w:r>
              <w:t xml:space="preserve">— no flow, screens, or procs in MVP; schema hook only. Ben owes the maintenance-engine scope.</w:t>
            </w:r>
          </w:p>
        </w:tc>
      </w:tr>
      <w:tr>
        <w:tc>
          <w:tcPr/>
          <w:p>
            <w:pPr>
              <w:pStyle w:val="Compact"/>
            </w:pPr>
            <w:r>
              <w:t xml:space="preserve">Recipe</w:t>
            </w:r>
          </w:p>
        </w:tc>
        <w:tc>
          <w:tcPr/>
          <w:p>
            <w:pPr>
              <w:pStyle w:val="Compact"/>
            </w:pPr>
            <w:r>
              <w:t xml:space="preserve">Recipe Work Order</w:t>
            </w:r>
          </w:p>
        </w:tc>
        <w:tc>
          <w:tcPr/>
          <w:p>
            <w:pPr>
              <w:pStyle w:val="Compact"/>
            </w:pPr>
            <w:r>
              <w:t xml:space="preserve">Configuration / recipe context. Hidden from operator.</w:t>
            </w:r>
          </w:p>
        </w:tc>
      </w:tr>
    </w:tbl>
    <w:bookmarkEnd w:id="56"/>
    <w:bookmarkStart w:id="57"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(Maintenance-only, nullable).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 Phase G migration backfills existing rows to</w:t>
            </w:r>
            <w:r>
              <w:t xml:space="preserve"> </w:t>
            </w:r>
            <w:r>
              <w:rPr>
                <w:rStyle w:val="VerbatimChar"/>
              </w:rPr>
              <w:t xml:space="preserve">Demand</w:t>
            </w:r>
            <w:r>
              <w:t xml:space="preserve">. Existing create procs default to</w:t>
            </w:r>
            <w:r>
              <w:t xml:space="preserve"> </w:t>
            </w:r>
            <w:r>
              <w:rPr>
                <w:rStyle w:val="VerbatimChar"/>
              </w:rPr>
              <w:t xml:space="preserve">Demand</w:t>
            </w:r>
            <w:r>
              <w:t xml:space="preserve"> </w:t>
            </w:r>
            <w:r>
              <w:t xml:space="preserve">so Phase 1–8 callers need no changes.</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Populated only when</w:t>
            </w:r>
            <w:r>
              <w:t xml:space="preserve"> </w:t>
            </w:r>
            <w:r>
              <w:rPr>
                <w:rStyle w:val="VerbatimChar"/>
              </w:rPr>
              <w:t xml:space="preserve">WorkOrderTypeId = Maintenance</w:t>
            </w:r>
            <w:r>
              <w:t xml:space="preserve">. Enforced at the proc layer (no hard CHECK —</w:t>
            </w:r>
            <w:r>
              <w:t xml:space="preserve"> </w:t>
            </w:r>
            <w:r>
              <w:rPr>
                <w:rStyle w:val="VerbatimChar"/>
              </w:rPr>
              <w:t xml:space="preserve">Recipe</w:t>
            </w:r>
            <w:r>
              <w:t xml:space="preserve"> </w:t>
            </w:r>
            <w:r>
              <w:t xml:space="preserve">WOs legitimately have NULL</w:t>
            </w:r>
            <w:r>
              <w:t xml:space="preserve"> </w:t>
            </w:r>
            <w:r>
              <w:rPr>
                <w:rStyle w:val="VerbatimChar"/>
              </w:rPr>
              <w:t xml:space="preserve">ToolId</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7"/>
    <w:bookmarkStart w:id="58"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8"/>
    <w:bookmarkStart w:id="59" w:name="productionevent"/>
    <w:p>
      <w:pPr>
        <w:pStyle w:val="Heading3"/>
      </w:pPr>
      <w:r>
        <w:t xml:space="preserve">ProductionEvent</w:t>
      </w:r>
    </w:p>
    <w:p>
      <w:pPr>
        <w:pStyle w:val="FirstParagraph"/>
      </w:pPr>
      <w:r>
        <w:t xml:space="preserve">Immutable record of production output and of the data collection required by the operation template. One row per LOT-passes-through-operation. Hot data collection fields (die, cavity, weight, counts) are typed columns on this table; any additional</w:t>
      </w:r>
      <w:r>
        <w:t xml:space="preserve"> </w:t>
      </w:r>
      <w:r>
        <w:rPr>
          <w:rStyle w:val="VerbatimChar"/>
        </w:rPr>
        <w:t xml:space="preserve">DataCollectionField</w:t>
      </w:r>
      <w:r>
        <w:t xml:space="preserve"> </w:t>
      </w:r>
      <w:r>
        <w:t xml:space="preserve">configured on the operation template is captured in child</w:t>
      </w:r>
      <w:r>
        <w:t xml:space="preserve"> </w:t>
      </w:r>
      <w:r>
        <w:rPr>
          <w:rStyle w:val="VerbatimChar"/>
        </w:rPr>
        <w:t xml:space="preserve">ProductionEventValue</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The versioned operation template this event executed under. Direct FK so events remain queryable even when work orders are absent (OI-07 background-only WOs).</w:t>
            </w: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Machine/cell where the operation ran</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GoodCount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NoGoodCount</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ScrapSourceId</w:t>
            </w:r>
          </w:p>
        </w:tc>
        <w:tc>
          <w:tcPr/>
          <w:p>
            <w:pPr>
              <w:pStyle w:val="Compact"/>
            </w:pPr>
            <w:r>
              <w:t xml:space="preserve">BIGINT</w:t>
            </w:r>
          </w:p>
        </w:tc>
        <w:tc>
          <w:tcPr/>
          <w:p>
            <w:pPr>
              <w:pStyle w:val="Compact"/>
            </w:pPr>
            <w:r>
              <w:t xml:space="preserve">FK → ScrapSource.Id, NULL</w:t>
            </w:r>
          </w:p>
        </w:tc>
        <w:tc>
          <w:tcPr/>
          <w:p>
            <w:pPr>
              <w:pStyle w:val="Compact"/>
            </w:pPr>
            <w:r>
              <w:t xml:space="preserve">Populated only when this event represents a scrap action; identifies whether the scrap came from unallocated inventory (</w:t>
            </w:r>
            <w:r>
              <w:rPr>
                <w:rStyle w:val="VerbatimChar"/>
              </w:rPr>
              <w:t xml:space="preserve">Inventory</w:t>
            </w:r>
            <w:r>
              <w:t xml:space="preserve">) or from in-process material at a workstation (</w:t>
            </w:r>
            <w:r>
              <w:rPr>
                <w:rStyle w:val="VerbatimChar"/>
              </w:rPr>
              <w:t xml:space="preserve">Location</w:t>
            </w:r>
            <w:r>
              <w:t xml:space="preserve">). NULL for non-scrap events. Added v1.8 (OI-20).</w:t>
            </w:r>
          </w:p>
        </w:tc>
      </w:tr>
      <w:tr>
        <w:tc>
          <w:tcPr>
            <w:shd w:val="clear" w:color="auto" w:fill="F2F2F2"/>
          </w:tcPr>
          <w:tcPr/>
          <w:p>
            <w:pPr>
              <w:pStyle w:val="Compact"/>
            </w:pPr>
            <w:r>
              <w:t xml:space="preserve">DieIdentifier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Die name/number captured from the machine’s</w:t>
            </w:r>
            <w:r>
              <w:t xml:space="preserve"> </w:t>
            </w:r>
            <w:r>
              <w:rPr>
                <w:rStyle w:val="VerbatimChar"/>
              </w:rPr>
              <w:t xml:space="preserve">LocationAttribute</w:t>
            </w:r>
            <w:r>
              <w:t xml:space="preserve"> </w:t>
            </w:r>
            <w:r>
              <w:t xml:space="preserve">value at event time. Retained as an immutable historical snapshot (survives tool rename/replacement). v1.7 promoted Tool to a first-class entity (§7 Tools Schema) — a parallel</w:t>
            </w:r>
            <w:r>
              <w:t xml:space="preserve"> </w:t>
            </w:r>
            <w:r>
              <w:rPr>
                <w:rStyle w:val="VerbatimChar"/>
              </w:rPr>
              <w:t xml:space="preserve">ToolId BIGINT FK → Tools.Tool</w:t>
            </w:r>
            <w:r>
              <w:t xml:space="preserve"> </w:t>
            </w:r>
            <w:r>
              <w:t xml:space="preserve">may be added in a later phase for query/analytics joins, but this NVARCHAR column stays as the as-captured string.</w:t>
            </w:r>
          </w:p>
        </w:tc>
      </w:tr>
      <w:tr>
        <w:tc>
          <w:tcPr/>
          <w:p>
            <w:pPr>
              <w:pStyle w:val="Compact"/>
            </w:pPr>
            <w:r>
              <w:t xml:space="preserve">CavityNumber</w:t>
            </w:r>
          </w:p>
        </w:tc>
        <w:tc>
          <w:tcPr/>
          <w:p>
            <w:pPr>
              <w:pStyle w:val="Compact"/>
            </w:pPr>
            <w:r>
              <w:t xml:space="preserve">INT</w:t>
            </w:r>
          </w:p>
        </w:tc>
        <w:tc>
          <w:tcPr/>
          <w:p>
            <w:pPr>
              <w:pStyle w:val="Compact"/>
            </w:pPr>
            <w:r>
              <w:t xml:space="preserve">NULL</w:t>
            </w:r>
          </w:p>
        </w:tc>
        <w:tc>
          <w:tcPr/>
          <w:p>
            <w:pPr>
              <w:pStyle w:val="Compact"/>
            </w:pPr>
            <w:r>
              <w:t xml:space="preserve">Cavity captured when the operation template requires</w:t>
            </w:r>
            <w:r>
              <w:t xml:space="preserve"> </w:t>
            </w:r>
            <w:r>
              <w:rPr>
                <w:rStyle w:val="VerbatimChar"/>
              </w:rPr>
              <w:t xml:space="preserve">CavityInfo</w:t>
            </w:r>
          </w:p>
        </w:tc>
      </w:tr>
      <w:tr>
        <w:tc>
          <w:tcPr>
            <w:shd w:val="clear" w:color="auto" w:fill="F2F2F2"/>
          </w:tcPr>
          <w:tcPr/>
          <w:p>
            <w:pPr>
              <w:pStyle w:val="Compact"/>
            </w:pPr>
            <w:r>
              <w:t xml:space="preserve">WeightValue</w:t>
            </w:r>
          </w:p>
        </w:tc>
        <w:tc>
          <w:tcPr>
            <w:shd w:val="clear" w:color="auto" w:fill="F2F2F2"/>
          </w:tcPr>
          <w:tcPr/>
          <w:p>
            <w:pPr>
              <w:pStyle w:val="Compact"/>
            </w:pPr>
            <w:r>
              <w:t xml:space="preserve">DECIMAL(10,3)</w:t>
            </w:r>
          </w:p>
        </w:tc>
        <w:tc>
          <w:tcPr>
            <w:shd w:val="clear" w:color="auto" w:fill="F2F2F2"/>
          </w:tcPr>
          <w:tcPr/>
          <w:p>
            <w:pPr>
              <w:pStyle w:val="Compact"/>
            </w:pPr>
            <w:r>
              <w:t xml:space="preserve">NULL</w:t>
            </w:r>
          </w:p>
        </w:tc>
        <w:tc>
          <w:tcPr>
            <w:shd w:val="clear" w:color="auto" w:fill="F2F2F2"/>
          </w:tcPr>
          <w:tcPr/>
          <w:p>
            <w:pPr>
              <w:pStyle w:val="Compact"/>
            </w:pPr>
            <w:r>
              <w:t xml:space="preserve">Captured when operation template requires</w:t>
            </w:r>
            <w:r>
              <w:t xml:space="preserve"> </w:t>
            </w:r>
            <w:r>
              <w:rPr>
                <w:rStyle w:val="VerbatimChar"/>
              </w:rPr>
              <w:t xml:space="preserve">Weight</w:t>
            </w:r>
            <w:r>
              <w:t xml:space="preserve"> </w:t>
            </w:r>
            <w:r>
              <w:t xml:space="preserve">(e.g., scale-driven container closure, OI-02)</w:t>
            </w:r>
          </w:p>
        </w:tc>
      </w:tr>
      <w:tr>
        <w:tc>
          <w:tcPr/>
          <w:p>
            <w:pPr>
              <w:pStyle w:val="Compact"/>
            </w:pPr>
            <w:r>
              <w:t xml:space="preserve">WeightUomId</w:t>
            </w:r>
          </w:p>
        </w:tc>
        <w:tc>
          <w:tcPr/>
          <w:p>
            <w:pPr>
              <w:pStyle w:val="Compact"/>
            </w:pPr>
            <w:r>
              <w:t xml:space="preserve">BIGINT</w:t>
            </w:r>
          </w:p>
        </w:tc>
        <w:tc>
          <w:tcPr/>
          <w:p>
            <w:pPr>
              <w:pStyle w:val="Compact"/>
            </w:pPr>
            <w:r>
              <w:t xml:space="preserve">FK → Parts.Uom.Id, NULL</w:t>
            </w:r>
          </w:p>
        </w:tc>
        <w:tc>
          <w:tcPr/>
          <w:p>
            <w:pPr>
              <w:pStyle w:val="Compact"/>
            </w:pPr>
            <w:r>
              <w:t xml:space="preserve">Required whenever</w:t>
            </w:r>
            <w:r>
              <w:t xml:space="preserve"> </w:t>
            </w:r>
            <w:r>
              <w:rPr>
                <w:rStyle w:val="VerbatimChar"/>
              </w:rPr>
              <w:t xml:space="preserve">WeightValue</w:t>
            </w:r>
            <w:r>
              <w:t xml:space="preserve"> </w:t>
            </w:r>
            <w:r>
              <w:t xml:space="preserve">is set</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RecordedAt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59"/>
    <w:bookmarkStart w:id="60"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(GoodCount, NoGoodCount, DieIdentifier, CavityNumber, WeightValue) SHALL NOT also be written to</w:t>
      </w:r>
      <w:r>
        <w:t xml:space="preserve"> </w:t>
      </w:r>
      <w:r>
        <w:rPr>
          <w:rStyle w:val="VerbatimChar"/>
        </w:rPr>
        <w:t xml:space="preserve">ProductionEventValue</w:t>
      </w:r>
      <w:r>
        <w:t xml:space="preserve">. The Phase 8 write proc enforces this.</w:t>
      </w:r>
    </w:p>
    <w:bookmarkEnd w:id="60"/>
    <w:bookmarkStart w:id="61"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1"/>
    <w:bookmarkStart w:id="62"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2"/>
    <w:bookmarkEnd w:id="63"/>
    <w:bookmarkStart w:id="77"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4"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4"/>
    <w:bookmarkStart w:id="65"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5"/>
    <w:bookmarkStart w:id="66"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6"/>
    <w:bookmarkStart w:id="67"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7"/>
    <w:bookmarkStart w:id="68"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8"/>
    <w:bookmarkStart w:id="69"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69"/>
    <w:bookmarkStart w:id="70"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0"/>
    <w:bookmarkStart w:id="71"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1"/>
    <w:bookmarkStart w:id="72"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2"/>
    <w:bookmarkStart w:id="73"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3"/>
    <w:bookmarkStart w:id="74"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4"/>
    <w:bookmarkStart w:id="75"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5"/>
    <w:bookmarkStart w:id="76"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6"/>
    <w:bookmarkEnd w:id="77"/>
    <w:bookmarkStart w:id="85"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8"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79"/>
    <w:bookmarkStart w:id="80"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0"/>
    <w:bookmarkStart w:id="81"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1"/>
    <w:bookmarkStart w:id="82"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3"/>
    <w:bookmarkStart w:id="84"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4"/>
    <w:bookmarkEnd w:id="85"/>
    <w:bookmarkStart w:id="98"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86"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86"/>
    <w:bookmarkStart w:id="87"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87"/>
    <w:bookmarkStart w:id="88"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88"/>
    <w:bookmarkStart w:id="89"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89"/>
    <w:bookmarkStart w:id="90"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0"/>
    <w:bookmarkStart w:id="91"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1"/>
    <w:bookmarkStart w:id="92"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UQ_ToolAssignment_ActiveToolMount</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2"/>
    <w:bookmarkStart w:id="93"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3"/>
    <w:bookmarkStart w:id="94"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4"/>
    <w:bookmarkStart w:id="95"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5"/>
    <w:bookmarkStart w:id="96"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96"/>
    <w:bookmarkStart w:id="97" w:name="cross-references"/>
    <w:p>
      <w:pPr>
        <w:pStyle w:val="Heading3"/>
      </w:pPr>
      <w:r>
        <w:t xml:space="preserve">Cross-references</w:t>
      </w:r>
    </w:p>
    <w:p>
      <w:pPr>
        <w:pStyle w:val="Compact"/>
        <w:numPr>
          <w:ilvl w:val="0"/>
          <w:numId w:val="1004"/>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04"/>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04"/>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04"/>
        </w:numPr>
      </w:pPr>
      <w:r>
        <w:rPr>
          <w:b/>
          <w:bCs/>
        </w:rPr>
        <w:t xml:space="preserve">Audit.LogEntityType</w:t>
      </w:r>
      <w:r>
        <w:t xml:space="preserve"> </w:t>
      </w:r>
      <w:r>
        <w:t xml:space="preserve">(§8) — v1.8 adds 2 further seed rows in Phase G:</w:t>
      </w:r>
      <w:r>
        <w:t xml:space="preserve"> </w:t>
      </w:r>
      <w:r>
        <w:rPr>
          <w:rStyle w:val="VerbatimChar"/>
        </w:rPr>
        <w:t xml:space="preserve">ItemTransform</w:t>
      </w:r>
      <w:r>
        <w:t xml:space="preserve"> </w:t>
      </w:r>
      <w:r>
        <w:t xml:space="preserve">(Parts.ItemTransform, OI-11) and</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97"/>
    <w:bookmarkEnd w:id="98"/>
    <w:bookmarkStart w:id="106"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99"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9"/>
    <w:bookmarkStart w:id="100"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0"/>
    <w:bookmarkStart w:id="101"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1"/>
    <w:bookmarkStart w:id="102"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2"/>
    <w:bookmarkStart w:id="103"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3"/>
    <w:bookmarkStart w:id="104"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4"/>
    <w:bookmarkStart w:id="105"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2026-04-22T16:34:15Z</dcterms:created>
  <dcterms:modified xsi:type="dcterms:W3CDTF">2026-04-22T16:34:15Z</dcterms:modified>
</cp:coreProperties>
</file>

<file path=docProps/custom.xml><?xml version="1.0" encoding="utf-8"?>
<Properties xmlns="http://schemas.openxmlformats.org/officeDocument/2006/custom-properties" xmlns:vt="http://schemas.openxmlformats.org/officeDocument/2006/docPropsVTypes"/>
</file>