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4"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0.10 — Working Draft</w:t>
      </w:r>
      <w:r>
        <w:t xml:space="preserve"> </w:t>
      </w:r>
      <w:r>
        <w:rPr>
          <w:b/>
          <w:bCs/>
        </w:rPr>
        <w:t xml:space="preserve">Date:</w:t>
      </w:r>
      <w:r>
        <w:t xml:space="preserve"> </w:t>
      </w:r>
      <w:r>
        <w:t xml:space="preserve">2026-04-22</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derived from the terminal’s</w:t>
      </w:r>
      <w:r>
        <w:t xml:space="preserve"> </w:t>
      </w:r>
      <w:r>
        <w:rPr>
          <w:rStyle w:val="VerbatimChar"/>
        </w:rPr>
        <w:t xml:space="preserve">LocationAttribute</w:t>
      </w:r>
      <w:r>
        <w:t xml:space="preserve"> </w:t>
      </w:r>
      <w:r>
        <w:t xml:space="preserve">(</w:t>
      </w:r>
      <w:r>
        <w:rPr>
          <w:rStyle w:val="VerbatimChar"/>
        </w:rPr>
        <w:t xml:space="preserve">DedicatedMachineLocationId</w:t>
      </w:r>
      <w:r>
        <w:t xml:space="preserve">) without requiring a scan on every session; the terminal still writes both FKs on events.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4f8b7b4cf9dc36ad23da7d2094fe20658e0010a"/>
    <w:p>
      <w:pPr>
        <w:pStyle w:val="Heading4"/>
      </w:pPr>
      <w:r>
        <w:t xml:space="preserve">FDS-02-010 — Terminal Mode LocationAttribute</w:t>
      </w:r>
    </w:p>
    <w:p>
      <w:pPr>
        <w:pStyle w:val="FirstParagraph"/>
      </w:pPr>
      <w:r>
        <w:t xml:space="preserve">Each</w:t>
      </w:r>
      <w:r>
        <w:t xml:space="preserve"> </w:t>
      </w:r>
      <w:r>
        <w:rPr>
          <w:rStyle w:val="VerbatimChar"/>
        </w:rPr>
        <w:t xml:space="preserve">Terminal</w:t>
      </w:r>
      <w:r>
        <w:t xml:space="preserve">-definition Location SHALL carry a</w:t>
      </w:r>
      <w:r>
        <w:t xml:space="preserve"> </w:t>
      </w:r>
      <w:r>
        <w:rPr>
          <w:rStyle w:val="VerbatimChar"/>
        </w:rPr>
        <w:t xml:space="preserve">LocationAttribute</w:t>
      </w:r>
      <w:r>
        <w:t xml:space="preserve"> </w:t>
      </w:r>
      <w:r>
        <w:t xml:space="preserve">named</w:t>
      </w:r>
      <w:r>
        <w:t xml:space="preserve"> </w:t>
      </w:r>
      <w:r>
        <w:rPr>
          <w:rStyle w:val="VerbatimChar"/>
        </w:rPr>
        <w:t xml:space="preserve">TerminalMode</w:t>
      </w:r>
      <w:r>
        <w:t xml:space="preserve"> </w:t>
      </w:r>
      <w:r>
        <w:t xml:space="preserve">with allowed values</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The Configuration Tool SHALL expose this attribute on the Terminal edit screen. Behaviour:</w:t>
      </w:r>
    </w:p>
    <w:p>
      <w:pPr>
        <w:pStyle w:val="Compact"/>
        <w:numPr>
          <w:ilvl w:val="0"/>
          <w:numId w:val="1004"/>
        </w:numPr>
      </w:pPr>
      <w:r>
        <w:rPr>
          <w:b/>
          <w:bCs/>
        </w:rPr>
        <w:t xml:space="preserve">Dedicated (≈80% of terminals):</w:t>
      </w:r>
      <w:r>
        <w:t xml:space="preserve"> </w:t>
      </w:r>
      <w:r>
        <w:t xml:space="preserve">The terminal is permanently bound to a single machine context (e.g.,</w:t>
      </w:r>
      <w:r>
        <w:t xml:space="preserve"> </w:t>
      </w:r>
      <w:r>
        <w:rPr>
          <w:rStyle w:val="VerbatimChar"/>
        </w:rPr>
        <w:t xml:space="preserve">DC-07</w:t>
      </w:r>
      <w:r>
        <w:t xml:space="preserve"> </w:t>
      </w:r>
      <w:r>
        <w:t xml:space="preserve">terminal at Die Cast Machine 7). A</w:t>
      </w:r>
      <w:r>
        <w:t xml:space="preserve"> </w:t>
      </w:r>
      <w:r>
        <w:rPr>
          <w:rStyle w:val="VerbatimChar"/>
        </w:rPr>
        <w:t xml:space="preserve">DedicatedMachineLocationId</w:t>
      </w:r>
      <w:r>
        <w:t xml:space="preserve"> </w:t>
      </w:r>
      <w:r>
        <w:t xml:space="preserve">attribute SHALL reference the machine</w:t>
      </w:r>
      <w:r>
        <w:t xml:space="preserve"> </w:t>
      </w:r>
      <w:r>
        <w:rPr>
          <w:rStyle w:val="VerbatimChar"/>
        </w:rPr>
        <w:t xml:space="preserve">Location</w:t>
      </w:r>
      <w:r>
        <w:t xml:space="preserve">. The operator’s initials presence (§4) persists across the shift with 30-min idle re-confirmation (FDS-04-006); machine context is never re-prompted.</w:t>
      </w:r>
    </w:p>
    <w:p>
      <w:pPr>
        <w:pStyle w:val="Compact"/>
        <w:numPr>
          <w:ilvl w:val="0"/>
          <w:numId w:val="1004"/>
        </w:numPr>
      </w:pPr>
      <w:r>
        <w:rPr>
          <w:b/>
          <w:bCs/>
        </w:rPr>
        <w:t xml:space="preserve">Shared (≈20% of terminals):</w:t>
      </w:r>
      <w:r>
        <w:t xml:space="preserve"> </w:t>
      </w:r>
      <w:r>
        <w:t xml:space="preserve">The terminal is unbound to a specific machine. The operator’s initials presence AND machine context SHALL be prompted on first action and on machine change. Use case: trim shop with multiple stations fed through one terminal.</w:t>
      </w:r>
    </w:p>
    <w:p>
      <w:pPr>
        <w:pStyle w:val="FirstParagraph"/>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de18523983306ddccbde651169f16089a6f36d4"/>
    <w:p>
      <w:pPr>
        <w:pStyle w:val="Heading4"/>
      </w:pPr>
      <w:r>
        <w:t xml:space="preserve">FDS-03-017a — Data Collection Capture at Event Time</w:t>
      </w:r>
    </w:p>
    <w:p>
      <w:pPr>
        <w:pStyle w:val="FirstParagraph"/>
      </w:pPr>
      <w:r>
        <w:t xml:space="preserve">When a LOT passes through an operation, the system SHALL persist every field configured on the operation template as part of the production event:</w:t>
      </w:r>
    </w:p>
    <w:p>
      <w:pPr>
        <w:pStyle w:val="Compact"/>
        <w:numPr>
          <w:ilvl w:val="0"/>
          <w:numId w:val="1005"/>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5"/>
        </w:numPr>
      </w:pPr>
      <w:r>
        <w:t xml:space="preserve">On submit, the Phase 8</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6"/>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OperationTemplateId</w:t>
      </w:r>
      <w:r>
        <w:t xml:space="preserve"> </w:t>
      </w:r>
      <w:r>
        <w:t xml:space="preserve">and the hot typed columns for fields that have been promoted (GoodCount, NoGoodCount, DieIdentifier, CavityNumber, WeightValue, WeightUomId).</w:t>
      </w:r>
    </w:p>
    <w:p>
      <w:pPr>
        <w:pStyle w:val="Compact"/>
        <w:numPr>
          <w:ilvl w:val="1"/>
          <w:numId w:val="1006"/>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6"/>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6"/>
        </w:numPr>
      </w:pPr>
      <w:r>
        <w:t xml:space="preserve">Reject the submission if the payload duplicates a hot-column field in</w:t>
      </w:r>
      <w:r>
        <w:t xml:space="preserve"> </w:t>
      </w:r>
      <w:r>
        <w:rPr>
          <w:rStyle w:val="VerbatimChar"/>
        </w:rPr>
        <w:t xml:space="preserve">ProductionEventValue</w:t>
      </w:r>
      <w:r>
        <w:t xml:space="preserve"> </w:t>
      </w:r>
      <w:r>
        <w:t xml:space="preserve">(hot columns are the sole home for promoted fields).</w:t>
      </w:r>
    </w:p>
    <w:p>
      <w:pPr>
        <w:pStyle w:val="Compact"/>
        <w:numPr>
          <w:ilvl w:val="0"/>
          <w:numId w:val="1005"/>
        </w:numPr>
      </w:pPr>
      <w:r>
        <w:rPr>
          <w:rStyle w:val="VerbatimChar"/>
        </w:rPr>
        <w:t xml:space="preserve">DieIdentifier</w:t>
      </w:r>
      <w:r>
        <w:t xml:space="preserve"> </w:t>
      </w:r>
      <w:r>
        <w:t xml:space="preserve">SHALL be captured from the machine’s current</w:t>
      </w:r>
      <w:r>
        <w:t xml:space="preserve"> </w:t>
      </w:r>
      <w:r>
        <w:rPr>
          <w:rStyle w:val="VerbatimChar"/>
        </w:rPr>
        <w:t xml:space="preserve">LocationAttribute</w:t>
      </w:r>
      <w:r>
        <w:t xml:space="preserve"> </w:t>
      </w:r>
      <w:r>
        <w:t xml:space="preserve">value at event time — it is the historical snapshot of the die mounted on the machine when the event occurred, not a reference to any die table (OI-10 pending).</w:t>
      </w:r>
    </w:p>
    <w:bookmarkEnd w:id="75"/>
    <w:bookmarkEnd w:id="76"/>
    <w:bookmarkStart w:id="80" w:name="part-to-location-eligibility"/>
    <w:p>
      <w:pPr>
        <w:pStyle w:val="Heading3"/>
      </w:pPr>
      <w:r>
        <w:t xml:space="preserve">3.5 Part-to-Location Eligibility</w:t>
      </w:r>
    </w:p>
    <w:bookmarkStart w:id="77"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7"/>
    <w:bookmarkStart w:id="78"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8"/>
    <w:bookmarkStart w:id="79"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rPr>
          <w:b/>
          <w:bCs/>
        </w:rPr>
        <w:t xml:space="preserve">OI-18 (new v0.10):</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OI-12 lineside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Cell consumes this Item (input);</w:t>
            </w:r>
            <w:r>
              <w:t xml:space="preserve"> </w:t>
            </w:r>
            <w:r>
              <w:rPr>
                <w:rStyle w:val="VerbatimChar"/>
              </w:rPr>
              <w:t xml:space="preserve">0</w:t>
            </w:r>
            <w:r>
              <w:t xml:space="preserve"> </w:t>
            </w:r>
            <w:r>
              <w:t xml:space="preserve">= Cell produces this Item (output) or is eligible without being a consumption point</w:t>
            </w:r>
          </w:p>
        </w:tc>
      </w:tr>
    </w:tbl>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fds-03-019-per-container-piece-cap-mvp"/>
    <w:p>
      <w:pPr>
        <w:pStyle w:val="Heading4"/>
      </w:pPr>
      <w:r>
        <w:t xml:space="preserve">FDS-03-019 — Per-Container Piece Cap —</w:t>
      </w:r>
      <w:r>
        <w:t xml:space="preserve"> </w:t>
      </w:r>
      <w:r>
        <w:rPr>
          <w:rStyle w:val="VerbatimChar"/>
        </w:rPr>
        <w:t xml:space="preserve">MVP</w:t>
      </w:r>
    </w:p>
    <w:p>
      <w:pPr>
        <w:pStyle w:val="FirstParagraph"/>
      </w:pPr>
      <w:r>
        <w:rPr>
          <w:b/>
          <w:bCs/>
        </w:rPr>
        <w:t xml:space="preserve">OI-12 (new v0.10):</w:t>
      </w:r>
      <w:r>
        <w:t xml:space="preserve"> </w:t>
      </w:r>
      <w:r>
        <w:rPr>
          <w:rStyle w:val="VerbatimChar"/>
        </w:rPr>
        <w:t xml:space="preserve">Parts.ContainerConfig.MaxParts INT NULL</w:t>
      </w:r>
      <w:r>
        <w:t xml:space="preserve"> </w:t>
      </w:r>
      <w:r>
        <w:t xml:space="preserve">SHALL hard-cap the total number of pieces a single container can hold, independent of the</w:t>
      </w:r>
      <w:r>
        <w:t xml:space="preserve"> </w:t>
      </w:r>
      <w:r>
        <w:rPr>
          <w:rStyle w:val="VerbatimChar"/>
        </w:rPr>
        <w:t xml:space="preserve">TraysPerContainer × PartsPerTray</w:t>
      </w:r>
      <w:r>
        <w:t xml:space="preserve"> </w:t>
      </w:r>
      <w:r>
        <w:t xml:space="preserve">product. Scan-in mutations SHALL reject when adding pieces would push the container total beyond</w:t>
      </w:r>
      <w:r>
        <w:t xml:space="preserve"> </w:t>
      </w:r>
      <w:r>
        <w:rPr>
          <w:rStyle w:val="VerbatimChar"/>
        </w:rPr>
        <w:t xml:space="preserve">MaxParts</w:t>
      </w:r>
      <w:r>
        <w:t xml:space="preserve">. Rationale: MPP reports operators over-scanning material into containers to minimise re-scans; a configurable per-container cap blocks the workaround.</w:t>
      </w:r>
      <w:r>
        <w:t xml:space="preserve"> </w:t>
      </w:r>
      <w:r>
        <w:rPr>
          <w:rStyle w:val="VerbatimChar"/>
        </w:rPr>
        <w:t xml:space="preserve">MaxParts</w:t>
      </w:r>
      <w:r>
        <w:t xml:space="preserve"> </w:t>
      </w:r>
      <w:r>
        <w:t xml:space="preserve">is NULL-capable for Items that don’t require a hard cap (they still observe tray/container math).</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7"/>
        </w:numPr>
      </w:pPr>
      <w:r>
        <w:t xml:space="preserve">another operator enters different initials, or</w:t>
      </w:r>
    </w:p>
    <w:p>
      <w:pPr>
        <w:pStyle w:val="Compact"/>
        <w:numPr>
          <w:ilvl w:val="0"/>
          <w:numId w:val="1007"/>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78cc5d68796befaa9caa431196ca68b9621ed00"/>
    <w:p>
      <w:pPr>
        <w:pStyle w:val="Heading4"/>
      </w:pPr>
      <w:r>
        <w:t xml:space="preserve">FDS-04-003 — Terminal Mode: Dedicated vs Shared</w:t>
      </w:r>
    </w:p>
    <w:p>
      <w:pPr>
        <w:pStyle w:val="FirstParagraph"/>
      </w:pPr>
      <w:r>
        <w:t xml:space="preserve">Terminals SHALL be classified via a</w:t>
      </w:r>
      <w:r>
        <w:t xml:space="preserve"> </w:t>
      </w:r>
      <w:r>
        <w:rPr>
          <w:rStyle w:val="VerbatimChar"/>
        </w:rPr>
        <w:t xml:space="preserve">LocationAttribute</w:t>
      </w:r>
      <w:r>
        <w:t xml:space="preserve"> </w:t>
      </w:r>
      <w:r>
        <w:t xml:space="preserve">on the Terminal location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default</w:t>
      </w:r>
      <w:r>
        <w:t xml:space="preserve"> </w:t>
      </w:r>
      <w:r>
        <w:rPr>
          <w:rStyle w:val="VerbatimChar"/>
        </w:rPr>
        <w:t xml:space="preserve">Dedicated</w:t>
      </w:r>
      <w:r>
        <w:t xml:space="preserve">).</w:t>
      </w:r>
    </w:p>
    <w:p>
      <w:pPr>
        <w:pStyle w:val="Compact"/>
        <w:numPr>
          <w:ilvl w:val="0"/>
          <w:numId w:val="1008"/>
        </w:numPr>
      </w:pPr>
      <w:r>
        <w:rPr>
          <w:b/>
          <w:bCs/>
        </w:rPr>
        <w:t xml:space="preserve">Dedicated terminals</w:t>
      </w:r>
      <w:r>
        <w:t xml:space="preserve"> </w:t>
      </w:r>
      <w:r>
        <w:t xml:space="preserve">(approx. 80% of the plant — one-to-one with a Cell). The presence context persists across idle gaps, subject only to the 30-minute re-confirmation prompt. Initials do not clear unless explicitly changed.</w:t>
      </w:r>
    </w:p>
    <w:p>
      <w:pPr>
        <w:pStyle w:val="Compact"/>
        <w:numPr>
          <w:ilvl w:val="0"/>
          <w:numId w:val="1008"/>
        </w:numPr>
      </w:pPr>
      <w:r>
        <w:rPr>
          <w:b/>
          <w:bCs/>
        </w:rPr>
        <w:t xml:space="preserve">Shared terminals</w:t>
      </w:r>
      <w:r>
        <w:t xml:space="preserve"> </w:t>
      </w:r>
      <w:r>
        <w:t xml:space="preserve">(trim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09"/>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09"/>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0"/>
        </w:numPr>
      </w:pPr>
      <w:r>
        <w:t xml:space="preserve">Place a LOT on hold</w:t>
      </w:r>
    </w:p>
    <w:p>
      <w:pPr>
        <w:pStyle w:val="Compact"/>
        <w:numPr>
          <w:ilvl w:val="0"/>
          <w:numId w:val="1010"/>
        </w:numPr>
      </w:pPr>
      <w:r>
        <w:t xml:space="preserve">Release a LOT from hold</w:t>
      </w:r>
    </w:p>
    <w:p>
      <w:pPr>
        <w:pStyle w:val="Compact"/>
        <w:numPr>
          <w:ilvl w:val="0"/>
          <w:numId w:val="1010"/>
        </w:numPr>
      </w:pPr>
      <w:r>
        <w:t xml:space="preserve">Override a vision or interlock failure</w:t>
      </w:r>
    </w:p>
    <w:p>
      <w:pPr>
        <w:pStyle w:val="Compact"/>
        <w:numPr>
          <w:ilvl w:val="0"/>
          <w:numId w:val="1010"/>
        </w:numPr>
      </w:pPr>
      <w:r>
        <w:t xml:space="preserve">Scrap a LOT or container</w:t>
      </w:r>
    </w:p>
    <w:p>
      <w:pPr>
        <w:pStyle w:val="Compact"/>
        <w:numPr>
          <w:ilvl w:val="0"/>
          <w:numId w:val="1010"/>
        </w:numPr>
      </w:pPr>
      <w:r>
        <w:t xml:space="preserve">Void or reprint a shipping label</w:t>
      </w:r>
    </w:p>
    <w:p>
      <w:pPr>
        <w:pStyle w:val="Compact"/>
        <w:numPr>
          <w:ilvl w:val="0"/>
          <w:numId w:val="1010"/>
        </w:numPr>
      </w:pPr>
      <w:r>
        <w:t xml:space="preserve">Merge or split LOTs outside of the normal sort workflow</w:t>
      </w:r>
    </w:p>
    <w:p>
      <w:pPr>
        <w:pStyle w:val="Compact"/>
        <w:numPr>
          <w:ilvl w:val="0"/>
          <w:numId w:val="1010"/>
        </w:numPr>
      </w:pPr>
      <w:r>
        <w:t xml:space="preserve">Issue or close a maintenance work order against a tool</w:t>
      </w:r>
    </w:p>
    <w:p>
      <w:pPr>
        <w:pStyle w:val="Compact"/>
        <w:numPr>
          <w:ilvl w:val="0"/>
          <w:numId w:val="1010"/>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0"/>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1"/>
        </w:numPr>
      </w:pPr>
      <w:r>
        <w:t xml:space="preserve">Shop-floor terminal screens SHALL be accessible without interactive authentication; operator presence is sufficient.</w:t>
      </w:r>
    </w:p>
    <w:p>
      <w:pPr>
        <w:pStyle w:val="Compact"/>
        <w:numPr>
          <w:ilvl w:val="0"/>
          <w:numId w:val="1011"/>
        </w:numPr>
      </w:pPr>
      <w:r>
        <w:t xml:space="preserve">Shop-floor screens SHALL NOT expose Configuration Tool or master-data functions.</w:t>
      </w:r>
    </w:p>
    <w:p>
      <w:pPr>
        <w:pStyle w:val="Compact"/>
        <w:numPr>
          <w:ilvl w:val="0"/>
          <w:numId w:val="1011"/>
        </w:numPr>
      </w:pPr>
      <w:r>
        <w:t xml:space="preserve">Configuration Tool, Supervisor dashboards, and Engineering screens SHALL require AD-backed authentication on page entry.</w:t>
      </w:r>
    </w:p>
    <w:p>
      <w:pPr>
        <w:pStyle w:val="Compact"/>
        <w:numPr>
          <w:ilvl w:val="0"/>
          <w:numId w:val="1011"/>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6" w:name="lot-lifecycle-genealogy-mvp"/>
    <w:p>
      <w:pPr>
        <w:pStyle w:val="Heading2"/>
      </w:pPr>
      <w:r>
        <w:t xml:space="preserve">5. LOT Lifecycle &amp; Genealogy —</w:t>
      </w:r>
      <w:r>
        <w:t xml:space="preserve"> </w:t>
      </w:r>
      <w:r>
        <w:rPr>
          <w:rStyle w:val="VerbatimChar"/>
        </w:rPr>
        <w:t xml:space="preserve">MVP</w:t>
      </w:r>
    </w:p>
    <w:bookmarkStart w:id="106"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DieNumber</w:t>
            </w:r>
          </w:p>
        </w:tc>
        <w:tc>
          <w:tcPr>
            <w:shd w:val="clear" w:color="auto" w:fill="F2F2F2"/>
          </w:tcPr>
          <w:tcPr/>
          <w:p>
            <w:pPr>
              <w:pStyle w:val="Compact"/>
            </w:pPr>
            <w:r>
              <w:t xml:space="preserve">Operator entry</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Operator entry</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rPr>
          <w:b/>
          <w:bCs/>
        </w:rPr>
        <w:t xml:space="preserve">OI-23 (new v0.10):</w:t>
      </w:r>
      <w:r>
        <w:t xml:space="preserve"> </w:t>
      </w:r>
      <w:r>
        <w:t xml:space="preserve">The Lot Details screen SHALL surface two derived quantities in the header:</w:t>
      </w:r>
    </w:p>
    <w:p>
      <w:pPr>
        <w:pStyle w:val="Compact"/>
        <w:numPr>
          <w:ilvl w:val="0"/>
          <w:numId w:val="1012"/>
        </w:numPr>
      </w:pPr>
      <w:r>
        <w:rPr>
          <w:b/>
          <w:bCs/>
        </w:rPr>
        <w:t xml:space="preserve">TotalInProcess</w:t>
      </w:r>
      <w:r>
        <w:t xml:space="preserve"> </w:t>
      </w:r>
      <w:r>
        <w:t xml:space="preserve">— sum of pieces currently held at all non-terminal workstations (i.e., pieces that have been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are</w:t>
      </w:r>
      <w:r>
        <w:t xml:space="preserve"> </w:t>
      </w:r>
      <w:r>
        <w:rPr>
          <w:b/>
          <w:bCs/>
        </w:rPr>
        <w:t xml:space="preserve">derived, not stored</w:t>
      </w:r>
      <w:r>
        <w:t xml:space="preserve">. The MES SHALL expose them via dedicated read procs (e.g.,</w:t>
      </w:r>
      <w:r>
        <w:t xml:space="preserve"> </w:t>
      </w:r>
      <w:r>
        <w:rPr>
          <w:rStyle w:val="VerbatimChar"/>
        </w:rPr>
        <w:t xml:space="preserve">Lots.Lot_GetDerivedQuantities</w:t>
      </w:r>
      <w:r>
        <w:t xml:space="preserve">) that execute the aggregation at read time. If UI performance demands, these MAY be materialized in a future phase — the derivation formulas in this requirement are the source of truth. Legacy Flexware exposes these as header fields on its Lot Details screen.</w:t>
      </w:r>
    </w:p>
    <w:bookmarkEnd w:id="105"/>
    <w:bookmarkEnd w:id="106"/>
    <w:bookmarkStart w:id="110" w:name="lot-creation-workflows"/>
    <w:p>
      <w:pPr>
        <w:pStyle w:val="Heading3"/>
      </w:pPr>
      <w:r>
        <w:t xml:space="preserve">5.2 LOT Creation Workflows</w:t>
      </w:r>
    </w:p>
    <w:bookmarkStart w:id="107" w:name="X73ad30121c973d5d75ac3c447af18b3e31abffc"/>
    <w:p>
      <w:pPr>
        <w:pStyle w:val="Heading4"/>
      </w:pPr>
      <w:r>
        <w:t xml:space="preserve">FDS-05-004 — Manufactured LOT Creation (Die Cast)</w:t>
      </w:r>
    </w:p>
    <w:p>
      <w:pPr>
        <w:pStyle w:val="FirstParagraph"/>
      </w:pPr>
      <w:r>
        <w:t xml:space="preserve">At Die Cast, the operator SHALL:</w:t>
      </w:r>
      <w:r>
        <w:t xml:space="preserve"> </w:t>
      </w:r>
      <w:r>
        <w:t xml:space="preserve">1. Fill a basket with parts from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Manually enter: part number, die number, cavity number, piece count, and shot counts (total, good, warm-up) (FRS 2.2.2)</w:t>
      </w:r>
      <w:r>
        <w:t xml:space="preserve"> </w:t>
      </w:r>
      <w:r>
        <w:t xml:space="preserve">5. The MES SHALL validate: piece count ≤ max lot size, part is eligible on this machine</w:t>
      </w:r>
      <w:r>
        <w:t xml:space="preserve"> </w:t>
      </w:r>
      <w:r>
        <w:t xml:space="preserve">6. The MES SHALL create the LOT with origin type Manufactured, status Good, location = scanned machine (per FDS-02-009)</w:t>
      </w:r>
      <w:r>
        <w:t xml:space="preserve"> </w:t>
      </w:r>
      <w:r>
        <w:t xml:space="preserve">7. The MES SHALL write a</w:t>
      </w:r>
      <w:r>
        <w:t xml:space="preserve"> </w:t>
      </w:r>
      <w:r>
        <w:rPr>
          <w:rStyle w:val="VerbatimChar"/>
        </w:rPr>
        <w:t xml:space="preserve">ProductionEvent</w:t>
      </w:r>
      <w:r>
        <w:t xml:space="preserve"> </w:t>
      </w:r>
      <w:r>
        <w:t xml:space="preserve">recording the good count</w:t>
      </w:r>
      <w:r>
        <w:t xml:space="preserve"> </w:t>
      </w:r>
      <w:r>
        <w:t xml:space="preserve">8.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9. The MES SHALL log the creation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7"/>
    <w:bookmarkStart w:id="108"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08"/>
    <w:bookmarkStart w:id="109"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09"/>
    <w:bookmarkEnd w:id="110"/>
    <w:bookmarkStart w:id="114" w:name="lot-movement"/>
    <w:p>
      <w:pPr>
        <w:pStyle w:val="Heading3"/>
      </w:pPr>
      <w:r>
        <w:t xml:space="preserve">5.3 LOT Movement</w:t>
      </w:r>
    </w:p>
    <w:bookmarkStart w:id="111"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1"/>
    <w:bookmarkStart w:id="112"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3"/>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3"/>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3"/>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3"/>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3"/>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2"/>
    <w:bookmarkStart w:id="113"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3"/>
    <w:bookmarkEnd w:id="114"/>
    <w:bookmarkStart w:id="121" w:name="sub-lot-splitting"/>
    <w:p>
      <w:pPr>
        <w:pStyle w:val="Heading3"/>
      </w:pPr>
      <w:r>
        <w:t xml:space="preserve">5.4 Sub-LOT Splitting</w:t>
      </w:r>
    </w:p>
    <w:p>
      <w:pPr>
        <w:pStyle w:val="BlockText"/>
      </w:pPr>
      <w:r>
        <w:t xml:space="preserve">🔶</w:t>
      </w:r>
      <w:r>
        <w:t xml:space="preserve"> </w:t>
      </w:r>
      <w:r>
        <w:rPr>
          <w:b/>
          <w:bCs/>
        </w:rPr>
        <w:t xml:space="preserve">REVISED — OI-09 addenda (2026-04-20):</w:t>
      </w:r>
      <w:r>
        <w:t xml:space="preserve"> </w:t>
      </w:r>
      <w:r>
        <w:t xml:space="preserve">Sublots are broader than just the Machining auto-split. They arise in three places: (1)</w:t>
      </w:r>
      <w:r>
        <w:t xml:space="preserve"> </w:t>
      </w:r>
      <w:r>
        <w:rPr>
          <w:b/>
          <w:bCs/>
        </w:rPr>
        <w:t xml:space="preserve">per-cavity sublots at Die Cast</w:t>
      </w:r>
      <w:r>
        <w:t xml:space="preserve"> </w:t>
      </w:r>
      <w:r>
        <w:t xml:space="preserve">— each cavity of a multi-cavity die produces a distinct sublot of the parent LOT running under one part number; (2)</w:t>
      </w:r>
      <w:r>
        <w:t xml:space="preserve"> </w:t>
      </w:r>
      <w:r>
        <w:rPr>
          <w:b/>
          <w:bCs/>
        </w:rPr>
        <w:t xml:space="preserve">basket-level sublots</w:t>
      </w:r>
      <w:r>
        <w:t xml:space="preserve"> </w:t>
      </w:r>
      <w:r>
        <w:t xml:space="preserve">— small baskets are broken out of a parent LOT as they’re filled, each carrying its own label with a parent reference; (3)</w:t>
      </w:r>
      <w:r>
        <w:t xml:space="preserve"> </w:t>
      </w:r>
      <w:r>
        <w:rPr>
          <w:b/>
          <w:bCs/>
        </w:rPr>
        <w:t xml:space="preserve">machining auto-split</w:t>
      </w:r>
      <w:r>
        <w:t xml:space="preserve"> </w:t>
      </w:r>
      <w:r>
        <w:t xml:space="preserve">— the existing UJ-03 workflow. All three use the same data-model pattern: child</w:t>
      </w:r>
      <w:r>
        <w:t xml:space="preserve"> </w:t>
      </w:r>
      <w:r>
        <w:rPr>
          <w:rStyle w:val="VerbatimChar"/>
        </w:rPr>
        <w:t xml:space="preserve">Lot</w:t>
      </w:r>
      <w:r>
        <w:t xml:space="preserve"> </w:t>
      </w:r>
      <w:r>
        <w:t xml:space="preserve">rows carry</w:t>
      </w:r>
      <w:r>
        <w:t xml:space="preserve"> </w:t>
      </w:r>
      <w:r>
        <w:rPr>
          <w:rStyle w:val="VerbatimChar"/>
        </w:rPr>
        <w:t xml:space="preserve">ParentLotId</w:t>
      </w:r>
      <w:r>
        <w:t xml:space="preserve"> </w:t>
      </w:r>
      <w:r>
        <w:t xml:space="preserve">FK,</w:t>
      </w:r>
      <w:r>
        <w:t xml:space="preserve"> </w:t>
      </w:r>
      <w:r>
        <w:rPr>
          <w:rStyle w:val="VerbatimChar"/>
        </w:rPr>
        <w:t xml:space="preserve">LotGenealogy</w:t>
      </w:r>
      <w:r>
        <w:t xml:space="preserve"> </w:t>
      </w:r>
      <w:r>
        <w:t xml:space="preserve">captures the split relationship, and labels reference the parent.</w:t>
      </w:r>
    </w:p>
    <w:bookmarkStart w:id="115" w:name="fds-05-022-sublot-pattern"/>
    <w:p>
      <w:pPr>
        <w:pStyle w:val="Heading4"/>
      </w:pPr>
      <w:r>
        <w:t xml:space="preserve">FDS-05-022 — Sublot Pattern</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bookmarkEnd w:id="115"/>
    <w:bookmarkStart w:id="116" w:name="Xf0405c997d21a9f41ccced07520faa2dac64fd6"/>
    <w:p>
      <w:pPr>
        <w:pStyle w:val="Heading4"/>
      </w:pPr>
      <w:r>
        <w:t xml:space="preserve">FDS-05-023 — Per-Cavity Sublots at Die Cast</w:t>
      </w:r>
    </w:p>
    <w:p>
      <w:pPr>
        <w:pStyle w:val="FirstParagraph"/>
      </w:pPr>
      <w:r>
        <w:t xml:space="preserve">On a multi-cavity die, each cavity’s output MAY be tracked as a distinct sublot of a single parent LOT (the parent representing the die’s production run for a given shift or time window). When the operator opts into per-cavity sublots (configured per Part × Cell — see</w:t>
      </w:r>
      <w:r>
        <w:t xml:space="preserve"> </w:t>
      </w:r>
      <w:r>
        <w:rPr>
          <w:rStyle w:val="VerbatimChar"/>
        </w:rPr>
        <w:t xml:space="preserve">Parts.ItemLocation</w:t>
      </w:r>
      <w:r>
        <w:t xml:space="preserve"> </w:t>
      </w:r>
      <w:r>
        <w:t xml:space="preserve">attributes), the MES SHALL:</w:t>
      </w:r>
    </w:p>
    <w:p>
      <w:pPr>
        <w:pStyle w:val="Compact"/>
        <w:numPr>
          <w:ilvl w:val="0"/>
          <w:numId w:val="1014"/>
        </w:numPr>
      </w:pPr>
      <w:r>
        <w:t xml:space="preserve">On parent LOT creation, create one child sublot per active cavity, pre-associated with</w:t>
      </w:r>
      <w:r>
        <w:t xml:space="preserve"> </w:t>
      </w:r>
      <w:r>
        <w:rPr>
          <w:rStyle w:val="VerbatimChar"/>
        </w:rPr>
        <w:t xml:space="preserve">CavityNumber</w:t>
      </w:r>
      <w:r>
        <w:t xml:space="preserve">.</w:t>
      </w:r>
    </w:p>
    <w:p>
      <w:pPr>
        <w:pStyle w:val="Compact"/>
        <w:numPr>
          <w:ilvl w:val="0"/>
          <w:numId w:val="1014"/>
        </w:numPr>
      </w:pPr>
      <w:r>
        <w:t xml:space="preserve">Apply each die cycle’s piece output to the sublot matching the cavity that produced it (inferred from the machine tag namespace or explicit operator entry).</w:t>
      </w:r>
    </w:p>
    <w:p>
      <w:pPr>
        <w:pStyle w:val="Compact"/>
        <w:numPr>
          <w:ilvl w:val="0"/>
          <w:numId w:val="1014"/>
        </w:numPr>
      </w:pPr>
      <w:r>
        <w:t xml:space="preserve">Print a sublot LTT label for each cavity at container-close time.</w:t>
      </w:r>
    </w:p>
    <w:p>
      <w:pPr>
        <w:pStyle w:val="FirstParagraph"/>
      </w:pPr>
      <w:r>
        <w:t xml:space="preserve">This does NOT contradict FDS-03-017</w:t>
      </w:r>
      <w:r>
        <w:t xml:space="preserve"> </w:t>
      </w:r>
      <w:r>
        <w:t xml:space="preserve">“one part at a time”</w:t>
      </w:r>
      <w:r>
        <w:t xml:space="preserve"> </w:t>
      </w:r>
      <w:r>
        <w:t xml:space="preserve">— all cavities produce the same part number. Cavities producing from a</w:t>
      </w:r>
      <w:r>
        <w:t xml:space="preserve"> </w:t>
      </w:r>
      <w:r>
        <w:rPr>
          <w:rStyle w:val="VerbatimChar"/>
        </w:rPr>
        <w:t xml:space="preserve">ToolCavity</w:t>
      </w:r>
      <w:r>
        <w:t xml:space="preserve"> </w:t>
      </w:r>
      <w:r>
        <w:t xml:space="preserve">row in</w:t>
      </w:r>
      <w:r>
        <w:t xml:space="preserve"> </w:t>
      </w:r>
      <w:r>
        <w:rPr>
          <w:rStyle w:val="VerbatimChar"/>
        </w:rPr>
        <w:t xml:space="preserve">StatusCode = Closed</w:t>
      </w:r>
      <w:r>
        <w:t xml:space="preserve"> </w:t>
      </w:r>
      <w:r>
        <w:t xml:space="preserve">or</w:t>
      </w:r>
      <w:r>
        <w:t xml:space="preserve"> </w:t>
      </w:r>
      <w:r>
        <w:rPr>
          <w:rStyle w:val="VerbatimChar"/>
        </w:rPr>
        <w:t xml:space="preserve">Scrapped</w:t>
      </w:r>
      <w:r>
        <w:t xml:space="preserve"> </w:t>
      </w:r>
      <w:r>
        <w:t xml:space="preserve">SHALL NOT produce a sublot; the die runs on remaining cavities. (FRS 2.1.4, 3.9.12; OI-09 addenda; couples to Phase B Tools schema.)</w:t>
      </w:r>
    </w:p>
    <w:bookmarkEnd w:id="116"/>
    <w:bookmarkStart w:id="117"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17"/>
    <w:bookmarkStart w:id="118"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18"/>
    <w:bookmarkStart w:id="119"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19"/>
    <w:bookmarkStart w:id="120"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0"/>
    <w:bookmarkEnd w:id="121"/>
    <w:bookmarkStart w:id="128"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2"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2"/>
    <w:bookmarkStart w:id="123"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3"/>
    <w:bookmarkStart w:id="124"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4"/>
    <w:bookmarkStart w:id="125"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5"/>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5"/>
        </w:numPr>
      </w:pPr>
      <w:r>
        <w:t xml:space="preserve">If all source LOTs share the same die, the compatibility check is bypassed; proceed to FDS-05-028 (Quality Status Gating).</w:t>
      </w:r>
    </w:p>
    <w:p>
      <w:pPr>
        <w:pStyle w:val="Compact"/>
        <w:numPr>
          <w:ilvl w:val="0"/>
          <w:numId w:val="1015"/>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5"/>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5"/>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5"/>
    <w:bookmarkStart w:id="126"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26"/>
    <w:bookmarkStart w:id="127"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sublots of a multi-cavity parent LOT arrive at a machining cell, the cell SHALL process them first-in-first-out (FIFO) keyed by sublot</w:t>
      </w:r>
      <w:r>
        <w:t xml:space="preserve"> </w:t>
      </w:r>
      <w:r>
        <w:rPr>
          <w:rStyle w:val="VerbatimChar"/>
        </w:rPr>
        <w:t xml:space="preserve">CreatedAt</w:t>
      </w:r>
      <w:r>
        <w:t xml:space="preserve">, grouped by</w:t>
      </w:r>
      <w:r>
        <w:t xml:space="preserve"> </w:t>
      </w:r>
      <w:r>
        <w:rPr>
          <w:rStyle w:val="VerbatimChar"/>
        </w:rPr>
        <w:t xml:space="preserve">CavityNumber</w:t>
      </w:r>
      <w:r>
        <w:t xml:space="preserve">. Each sublot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27"/>
    <w:bookmarkEnd w:id="128"/>
    <w:bookmarkStart w:id="132" w:name="lot-status-transitions"/>
    <w:p>
      <w:pPr>
        <w:pStyle w:val="Heading3"/>
      </w:pPr>
      <w:r>
        <w:t xml:space="preserve">5.6 LOT Status Transitions</w:t>
      </w:r>
    </w:p>
    <w:bookmarkStart w:id="129"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29"/>
    <w:bookmarkStart w:id="130"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0"/>
    <w:bookmarkStart w:id="131"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1"/>
    <w:bookmarkEnd w:id="132"/>
    <w:bookmarkStart w:id="136" w:name="genealogy"/>
    <w:p>
      <w:pPr>
        <w:pStyle w:val="Heading3"/>
      </w:pPr>
      <w:r>
        <w:t xml:space="preserve">5.7 Genealogy</w:t>
      </w:r>
    </w:p>
    <w:bookmarkStart w:id="133"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3"/>
    <w:bookmarkStart w:id="134"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4"/>
    <w:bookmarkStart w:id="135"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35"/>
    <w:bookmarkEnd w:id="136"/>
    <w:bookmarkStart w:id="139" w:name="lot-label-management"/>
    <w:p>
      <w:pPr>
        <w:pStyle w:val="Heading3"/>
      </w:pPr>
      <w:r>
        <w:t xml:space="preserve">5.8 LOT Label Management</w:t>
      </w:r>
    </w:p>
    <w:bookmarkStart w:id="137"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37"/>
    <w:bookmarkStart w:id="138"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38"/>
    <w:bookmarkEnd w:id="139"/>
    <w:bookmarkStart w:id="141" w:name="lot-attribute-auditing"/>
    <w:p>
      <w:pPr>
        <w:pStyle w:val="Heading3"/>
      </w:pPr>
      <w:r>
        <w:t xml:space="preserve">5.9 LOT Attribute Auditing</w:t>
      </w:r>
    </w:p>
    <w:bookmarkStart w:id="140"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0"/>
    <w:bookmarkEnd w:id="141"/>
    <w:bookmarkStart w:id="145" w:name="X7e59a25c8cc779a06b740db82850b6ae7dbf889"/>
    <w:p>
      <w:pPr>
        <w:pStyle w:val="Heading3"/>
      </w:pPr>
      <w:r>
        <w:t xml:space="preserve">5.10 Part Identity Change — Casting to Trim —</w:t>
      </w:r>
      <w:r>
        <w:t xml:space="preserve"> </w:t>
      </w:r>
      <w:r>
        <w:rPr>
          <w:rStyle w:val="VerbatimChar"/>
        </w:rPr>
        <w:t xml:space="preserve">MVP</w:t>
      </w:r>
      <w:r>
        <w:t xml:space="preserve"> </w:t>
      </w:r>
      <w:r>
        <w:t xml:space="preserve">(new in v0.10, OI-11)</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 The</w:t>
      </w:r>
      <w:r>
        <w:t xml:space="preserve"> </w:t>
      </w:r>
      <w:r>
        <w:rPr>
          <w:rStyle w:val="VerbatimChar"/>
        </w:rPr>
        <w:t xml:space="preserve">Parts.ItemTransform</w:t>
      </w:r>
      <w:r>
        <w:t xml:space="preserve"> </w:t>
      </w:r>
      <w:r>
        <w:t xml:space="preserve">table (added in Data Model v1.8) is the dedicated bridge.</w:t>
      </w:r>
    </w:p>
    <w:bookmarkStart w:id="142" w:name="fds-05-033-itemtransform-event"/>
    <w:p>
      <w:pPr>
        <w:pStyle w:val="Heading4"/>
      </w:pPr>
      <w:r>
        <w:t xml:space="preserve">FDS-05-033 — ItemTransform Event</w:t>
      </w:r>
    </w:p>
    <w:p>
      <w:pPr>
        <w:pStyle w:val="FirstParagraph"/>
      </w:pPr>
      <w:r>
        <w:t xml:space="preserve">Every rename SHALL be recorded as an immutable</w:t>
      </w:r>
      <w:r>
        <w:t xml:space="preserve"> </w:t>
      </w:r>
      <w:r>
        <w:rPr>
          <w:rStyle w:val="VerbatimChar"/>
        </w:rPr>
        <w:t xml:space="preserve">Parts.ItemTransform</w:t>
      </w:r>
      <w:r>
        <w:t xml:space="preserve"> </w:t>
      </w:r>
      <w:r>
        <w:t xml:space="preserve">row capturing: source item id, destination item id, source lot id, destination lot id, optional</w:t>
      </w:r>
      <w:r>
        <w:t xml:space="preserve"> </w:t>
      </w:r>
      <w:r>
        <w:rPr>
          <w:rStyle w:val="VerbatimChar"/>
        </w:rPr>
        <w:t xml:space="preserve">ProductionEventId</w:t>
      </w:r>
      <w:r>
        <w:t xml:space="preserve">, cell location id, piece count, operator, terminal, and</w:t>
      </w:r>
      <w:r>
        <w:t xml:space="preserve"> </w:t>
      </w:r>
      <w:r>
        <w:rPr>
          <w:rStyle w:val="VerbatimChar"/>
        </w:rPr>
        <w:t xml:space="preserve">RecordedAt</w:t>
      </w:r>
      <w:r>
        <w:t xml:space="preserve">. The row SHALL be written by the Trim Shop in-scan workflow — specifically, when a source LOT is scanned into the first Trim Shop Cell and a new destination LOT is created under the Trim part number.</w:t>
      </w:r>
      <w:r>
        <w:t xml:space="preserve"> </w:t>
      </w:r>
      <w:r>
        <w:rPr>
          <w:rStyle w:val="VerbatimChar"/>
        </w:rPr>
        <w:t xml:space="preserve">SourceItemId &lt;&gt; DestinationItemId</w:t>
      </w:r>
      <w:r>
        <w:t xml:space="preserve"> </w:t>
      </w:r>
      <w:r>
        <w:t xml:space="preserve">is a rule (enforced at the proc layer).</w:t>
      </w:r>
    </w:p>
    <w:bookmarkEnd w:id="142"/>
    <w:bookmarkStart w:id="143" w:name="fds-05-034-genealogy-composition"/>
    <w:p>
      <w:pPr>
        <w:pStyle w:val="Heading4"/>
      </w:pPr>
      <w:r>
        <w:t xml:space="preserve">FDS-05-034 — Genealogy Composition</w:t>
      </w:r>
    </w:p>
    <w:p>
      <w:pPr>
        <w:pStyle w:val="FirstParagraph"/>
      </w:pPr>
      <w:r>
        <w:rPr>
          <w:rStyle w:val="VerbatimChar"/>
        </w:rPr>
        <w:t xml:space="preserve">ItemTransform</w:t>
      </w:r>
      <w:r>
        <w:t xml:space="preserve"> </w:t>
      </w:r>
      <w:r>
        <w:t xml:space="preserve">SHALL NOT replace</w:t>
      </w:r>
      <w:r>
        <w:t xml:space="preserve"> </w:t>
      </w:r>
      <w:r>
        <w:rPr>
          <w:rStyle w:val="VerbatimChar"/>
        </w:rPr>
        <w:t xml:space="preserve">Lots.LotGenealogy</w:t>
      </w:r>
      <w:r>
        <w:t xml:space="preserve">. Physical parent/child continues to flow through</w:t>
      </w:r>
      <w:r>
        <w:t xml:space="preserve"> </w:t>
      </w:r>
      <w:r>
        <w:rPr>
          <w:rStyle w:val="VerbatimChar"/>
        </w:rPr>
        <w:t xml:space="preserve">LotGenealogy</w:t>
      </w:r>
      <w:r>
        <w:t xml:space="preserve"> </w:t>
      </w:r>
      <w:r>
        <w:t xml:space="preserve">(</w:t>
      </w:r>
      <w:r>
        <w:rPr>
          <w:rStyle w:val="VerbatimChar"/>
        </w:rPr>
        <w:t xml:space="preserve">RelationshipType = Split</w:t>
      </w:r>
      <w:r>
        <w:t xml:space="preserve"> </w:t>
      </w:r>
      <w:r>
        <w:t xml:space="preserve">or</w:t>
      </w:r>
      <w:r>
        <w:t xml:space="preserve"> </w:t>
      </w:r>
      <w:r>
        <w:rPr>
          <w:rStyle w:val="VerbatimChar"/>
        </w:rPr>
        <w:t xml:space="preserve">Transform</w:t>
      </w:r>
      <w:r>
        <w:t xml:space="preserve">, TBD naming — see below); the</w:t>
      </w:r>
      <w:r>
        <w:t xml:space="preserve"> </w:t>
      </w:r>
      <w:r>
        <w:rPr>
          <w:rStyle w:val="VerbatimChar"/>
        </w:rPr>
        <w:t xml:space="preserve">ItemTransform</w:t>
      </w:r>
      <w:r>
        <w:t xml:space="preserve"> </w:t>
      </w:r>
      <w:r>
        <w:t xml:space="preserve">row layers the</w:t>
      </w:r>
      <w:r>
        <w:t xml:space="preserve"> </w:t>
      </w:r>
      <w:r>
        <w:rPr>
          <w:b/>
          <w:bCs/>
        </w:rPr>
        <w:t xml:space="preserve">part-identity change</w:t>
      </w:r>
      <w:r>
        <w:t xml:space="preserve"> </w:t>
      </w:r>
      <w:r>
        <w:t xml:space="preserve">on top. A full backward trace joins through both:</w:t>
      </w:r>
    </w:p>
    <w:p>
      <w:pPr>
        <w:pStyle w:val="Compact"/>
        <w:numPr>
          <w:ilvl w:val="0"/>
          <w:numId w:val="1016"/>
        </w:numPr>
      </w:pPr>
      <w:r>
        <w:t xml:space="preserve">Start from the destination LOT (e.g., a Trim Shop LOT).</w:t>
      </w:r>
    </w:p>
    <w:p>
      <w:pPr>
        <w:pStyle w:val="Compact"/>
        <w:numPr>
          <w:ilvl w:val="0"/>
          <w:numId w:val="1016"/>
        </w:numPr>
      </w:pPr>
      <w:r>
        <w:t xml:space="preserve">Walk</w:t>
      </w:r>
      <w:r>
        <w:t xml:space="preserve"> </w:t>
      </w:r>
      <w:r>
        <w:rPr>
          <w:rStyle w:val="VerbatimChar"/>
        </w:rPr>
        <w:t xml:space="preserve">Lots.LotGenealogy</w:t>
      </w:r>
      <w:r>
        <w:t xml:space="preserve"> </w:t>
      </w:r>
      <w:r>
        <w:t xml:space="preserve">up to the source LOT.</w:t>
      </w:r>
    </w:p>
    <w:p>
      <w:pPr>
        <w:pStyle w:val="Compact"/>
        <w:numPr>
          <w:ilvl w:val="0"/>
          <w:numId w:val="1016"/>
        </w:numPr>
      </w:pPr>
      <w:r>
        <w:t xml:space="preserve">Look up</w:t>
      </w:r>
      <w:r>
        <w:t xml:space="preserve"> </w:t>
      </w:r>
      <w:r>
        <w:rPr>
          <w:rStyle w:val="VerbatimChar"/>
        </w:rPr>
        <w:t xml:space="preserve">Parts.ItemTransform</w:t>
      </w:r>
      <w:r>
        <w:t xml:space="preserve"> </w:t>
      </w:r>
      <w:r>
        <w:t xml:space="preserve">by</w:t>
      </w:r>
      <w:r>
        <w:t xml:space="preserve"> </w:t>
      </w:r>
      <w:r>
        <w:rPr>
          <w:rStyle w:val="VerbatimChar"/>
        </w:rPr>
        <w:t xml:space="preserve">DestinationLotId</w:t>
      </w:r>
      <w:r>
        <w:t xml:space="preserve"> </w:t>
      </w:r>
      <w:r>
        <w:t xml:space="preserve">to recover the source part number.</w:t>
      </w:r>
    </w:p>
    <w:p>
      <w:pPr>
        <w:pStyle w:val="Compact"/>
        <w:numPr>
          <w:ilvl w:val="0"/>
          <w:numId w:val="1016"/>
        </w:numPr>
      </w:pPr>
      <w:r>
        <w:t xml:space="preserve">Continue walking upstream from the source LOT to the original cast LOT.</w:t>
      </w:r>
    </w:p>
    <w:p>
      <w:pPr>
        <w:pStyle w:val="FirstParagraph"/>
      </w:pPr>
      <w:r>
        <w:t xml:space="preserve">The backward-trace read proc (</w:t>
      </w:r>
      <w:r>
        <w:rPr>
          <w:rStyle w:val="VerbatimChar"/>
        </w:rPr>
        <w:t xml:space="preserve">Lots.Lot_GetGenealogyTree</w:t>
      </w:r>
      <w:r>
        <w:t xml:space="preserve">) SHALL be extended to surface the ItemTransform join in the returned rowset.</w:t>
      </w:r>
    </w:p>
    <w:bookmarkEnd w:id="143"/>
    <w:bookmarkStart w:id="144" w:name="Xe4c53e7c49ff366df51862f517c4a5b3cd68a9c"/>
    <w:p>
      <w:pPr>
        <w:pStyle w:val="Heading4"/>
      </w:pPr>
      <w:r>
        <w:t xml:space="preserve">FDS-05-035 — UI Behaviour on Scan-In at Trim</w:t>
      </w:r>
    </w:p>
    <w:p>
      <w:pPr>
        <w:pStyle w:val="FirstParagraph"/>
      </w:pPr>
      <w:r>
        <w:t xml:space="preserve">At the first Trim Shop Cell, when the operator scans a source LOT whose part number differs from the Cell’s configured destination part, the MES SHALL:</w:t>
      </w:r>
    </w:p>
    <w:p>
      <w:pPr>
        <w:pStyle w:val="Compact"/>
        <w:numPr>
          <w:ilvl w:val="0"/>
          <w:numId w:val="1017"/>
        </w:numPr>
      </w:pPr>
      <w:r>
        <w:t xml:space="preserve">Look up the expected</w:t>
      </w:r>
      <w:r>
        <w:t xml:space="preserve"> </w:t>
      </w:r>
      <w:r>
        <w:rPr>
          <w:rStyle w:val="VerbatimChar"/>
        </w:rPr>
        <w:t xml:space="preserve">(SourceItemId, DestinationItemId)</w:t>
      </w:r>
      <w:r>
        <w:t xml:space="preserve"> </w:t>
      </w:r>
      <w:r>
        <w:t xml:space="preserve">pair for that Cell in a mapping table (</w:t>
      </w:r>
      <w:r>
        <w:rPr>
          <w:rStyle w:val="VerbatimChar"/>
        </w:rPr>
        <w:t xml:space="preserve">Parts.ItemTransformDefinition</w:t>
      </w:r>
      <w:r>
        <w:t xml:space="preserve"> </w:t>
      </w:r>
      <w:r>
        <w:t xml:space="preserve">— FUTURE, if the Cell handles multiple source/destination pairs) or infer from the Cell’s</w:t>
      </w:r>
      <w:r>
        <w:t xml:space="preserve"> </w:t>
      </w:r>
      <w:r>
        <w:rPr>
          <w:rStyle w:val="VerbatimChar"/>
        </w:rPr>
        <w:t xml:space="preserve">ItemLocation</w:t>
      </w:r>
      <w:r>
        <w:t xml:space="preserve"> </w:t>
      </w:r>
      <w:r>
        <w:t xml:space="preserve">configuration.</w:t>
      </w:r>
    </w:p>
    <w:p>
      <w:pPr>
        <w:pStyle w:val="Compact"/>
        <w:numPr>
          <w:ilvl w:val="0"/>
          <w:numId w:val="1017"/>
        </w:numPr>
      </w:pPr>
      <w:r>
        <w:t xml:space="preserve">Prompt the operator to confirm the transform (</w:t>
      </w:r>
      <w:r>
        <w:t xml:space="preserve">“This LOT is {sourcePart}. Receive as {destinationPart}?”</w:t>
      </w:r>
      <w:r>
        <w:t xml:space="preserve">) with a Yes / No control.</w:t>
      </w:r>
    </w:p>
    <w:p>
      <w:pPr>
        <w:pStyle w:val="Compact"/>
        <w:numPr>
          <w:ilvl w:val="0"/>
          <w:numId w:val="1017"/>
        </w:numPr>
      </w:pPr>
      <w:r>
        <w:t xml:space="preserve">On confirmation, create the destination LOT (fresh LTT scan), write the</w:t>
      </w:r>
      <w:r>
        <w:t xml:space="preserve"> </w:t>
      </w:r>
      <w:r>
        <w:rPr>
          <w:rStyle w:val="VerbatimChar"/>
        </w:rPr>
        <w:t xml:space="preserve">ItemTransform</w:t>
      </w:r>
      <w:r>
        <w:t xml:space="preserve"> </w:t>
      </w:r>
      <w:r>
        <w:t xml:space="preserve">row, and update the source LOT’s status/piece-count accordingly.</w:t>
      </w:r>
    </w:p>
    <w:p>
      <w:pPr>
        <w:pStyle w:val="Compact"/>
        <w:numPr>
          <w:ilvl w:val="0"/>
          <w:numId w:val="1017"/>
        </w:numPr>
      </w:pPr>
      <w:r>
        <w:t xml:space="preserve">On Cancel, abort the scan-in — operator may re-scan or escalate to a supervisor (elevation per FDS-04-007 is NOT required for the normal confirmed path; it IS required for any override of the expected mapping).</w:t>
      </w:r>
    </w:p>
    <w:p>
      <w:pPr>
        <w:pStyle w:val="FirstParagraph"/>
      </w:pPr>
      <w:r>
        <w:rPr>
          <w:b/>
          <w:bCs/>
        </w:rPr>
        <w:t xml:space="preserve">Open sub-decision (parked for Phase E late design):</w:t>
      </w:r>
      <w:r>
        <w:t xml:space="preserve"> </w:t>
      </w:r>
      <w:r>
        <w:t xml:space="preserve">whether</w:t>
      </w:r>
      <w:r>
        <w:t xml:space="preserve"> </w:t>
      </w:r>
      <w:r>
        <w:rPr>
          <w:rStyle w:val="VerbatimChar"/>
        </w:rPr>
        <w:t xml:space="preserve">LotGenealogy.RelationshipType</w:t>
      </w:r>
      <w:r>
        <w:t xml:space="preserve"> </w:t>
      </w:r>
      <w:r>
        <w:t xml:space="preserve">gains a new</w:t>
      </w:r>
      <w:r>
        <w:t xml:space="preserve"> </w:t>
      </w:r>
      <w:r>
        <w:rPr>
          <w:rStyle w:val="VerbatimChar"/>
        </w:rPr>
        <w:t xml:space="preserve">Transform</w:t>
      </w:r>
      <w:r>
        <w:t xml:space="preserve"> </w:t>
      </w:r>
      <w:r>
        <w:t xml:space="preserve">code-table value, or whether</w:t>
      </w:r>
      <w:r>
        <w:t xml:space="preserve"> </w:t>
      </w:r>
      <w:r>
        <w:rPr>
          <w:rStyle w:val="VerbatimChar"/>
        </w:rPr>
        <w:t xml:space="preserve">Split</w:t>
      </w:r>
      <w:r>
        <w:t xml:space="preserve"> </w:t>
      </w:r>
      <w:r>
        <w:t xml:space="preserve">is reused with the</w:t>
      </w:r>
      <w:r>
        <w:t xml:space="preserve"> </w:t>
      </w:r>
      <w:r>
        <w:rPr>
          <w:rStyle w:val="VerbatimChar"/>
        </w:rPr>
        <w:t xml:space="preserve">ItemTransform</w:t>
      </w:r>
      <w:r>
        <w:t xml:space="preserve"> </w:t>
      </w:r>
      <w:r>
        <w:t xml:space="preserve">row providing the type discrimination. Current lean: new</w:t>
      </w:r>
      <w:r>
        <w:t xml:space="preserve"> </w:t>
      </w:r>
      <w:r>
        <w:rPr>
          <w:rStyle w:val="VerbatimChar"/>
        </w:rPr>
        <w:t xml:space="preserve">Transform</w:t>
      </w:r>
      <w:r>
        <w:t xml:space="preserve"> </w:t>
      </w:r>
      <w:r>
        <w:t xml:space="preserve">value — clearer in audit output.</w:t>
      </w:r>
    </w:p>
    <w:p>
      <w:r>
        <w:pict>
          <v:rect style="width:0;height:1.5pt" o:hralign="center" o:hrstd="t" o:hr="t"/>
        </w:pict>
      </w:r>
    </w:p>
    <w:bookmarkEnd w:id="144"/>
    <w:bookmarkEnd w:id="145"/>
    <w:bookmarkEnd w:id="146"/>
    <w:bookmarkStart w:id="187" w:name="production-execution-mvp-expanded"/>
    <w:p>
      <w:pPr>
        <w:pStyle w:val="Heading2"/>
      </w:pPr>
      <w:r>
        <w:t xml:space="preserve">6. Production Execution —</w:t>
      </w:r>
      <w:r>
        <w:t xml:space="preserve"> </w:t>
      </w:r>
      <w:r>
        <w:rPr>
          <w:rStyle w:val="VerbatimChar"/>
        </w:rPr>
        <w:t xml:space="preserve">MVP-EXPANDED</w:t>
      </w:r>
    </w:p>
    <w:bookmarkStart w:id="147"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47"/>
    <w:bookmarkStart w:id="151" w:name="die-cast-workflow"/>
    <w:p>
      <w:pPr>
        <w:pStyle w:val="Heading3"/>
      </w:pPr>
      <w:r>
        <w:t xml:space="preserve">6.2 Die Cast Workflow</w:t>
      </w:r>
    </w:p>
    <w:bookmarkStart w:id="148"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48"/>
    <w:bookmarkStart w:id="149"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49"/>
    <w:bookmarkStart w:id="150" w:name="fds-06-003-die-cast-production-event"/>
    <w:p>
      <w:pPr>
        <w:pStyle w:val="Heading4"/>
      </w:pPr>
      <w:r>
        <w:t xml:space="preserve">FDS-06-003 — Die Cast Production Event</w:t>
      </w:r>
    </w:p>
    <w:p>
      <w:pPr>
        <w:pStyle w:val="FirstParagraph"/>
      </w:pPr>
      <w:r>
        <w:t xml:space="preserve">On submission,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header carrying</w:t>
      </w:r>
      <w:r>
        <w:t xml:space="preserve"> </w:t>
      </w:r>
      <w:r>
        <w:rPr>
          <w:rStyle w:val="VerbatimChar"/>
        </w:rPr>
        <w:t xml:space="preserve">OperationTemplateId</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ItemId</w:t>
      </w:r>
      <w:r>
        <w:t xml:space="preserve">,</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 </w:t>
      </w:r>
      <w:r>
        <w:t xml:space="preserve">(from the machine’s</w:t>
      </w:r>
      <w:r>
        <w:t xml:space="preserve"> </w:t>
      </w:r>
      <w:r>
        <w:rPr>
          <w:rStyle w:val="VerbatimChar"/>
        </w:rPr>
        <w:t xml:space="preserve">LocationAttribute</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OperatorId</w:t>
      </w:r>
      <w:r>
        <w:t xml:space="preserve">,</w:t>
      </w:r>
      <w:r>
        <w:t xml:space="preserve"> </w:t>
      </w:r>
      <w:r>
        <w:rPr>
          <w:rStyle w:val="VerbatimChar"/>
        </w:rPr>
        <w:t xml:space="preserve">TerminalLocationId</w:t>
      </w:r>
      <w:r>
        <w:t xml:space="preserve">, and</w:t>
      </w:r>
      <w:r>
        <w:t xml:space="preserve"> </w:t>
      </w:r>
      <w:r>
        <w:rPr>
          <w:rStyle w:val="VerbatimChar"/>
        </w:rPr>
        <w:t xml:space="preserve">RecordedAt</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good count.</w:t>
      </w:r>
      <w:r>
        <w:t xml:space="preserve"> </w:t>
      </w:r>
      <w:r>
        <w:t xml:space="preserve">4. Log to</w:t>
      </w:r>
      <w:r>
        <w:t xml:space="preserve"> </w:t>
      </w:r>
      <w:r>
        <w:rPr>
          <w:rStyle w:val="VerbatimChar"/>
        </w:rPr>
        <w:t xml:space="preserve">Audit.OperationLog</w:t>
      </w:r>
      <w:r>
        <w:t xml:space="preserve">.</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0"/>
    <w:bookmarkEnd w:id="151"/>
    <w:bookmarkStart w:id="155" w:name="trim-shop-workflow"/>
    <w:p>
      <w:pPr>
        <w:pStyle w:val="Heading3"/>
      </w:pPr>
      <w:r>
        <w:t xml:space="preserve">6.3 Trim Shop Workflow</w:t>
      </w:r>
    </w:p>
    <w:bookmarkStart w:id="152"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2"/>
    <w:bookmarkStart w:id="153"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3"/>
    <w:bookmarkStart w:id="154"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4"/>
    <w:bookmarkEnd w:id="155"/>
    <w:bookmarkStart w:id="159" w:name="machining-workflow"/>
    <w:p>
      <w:pPr>
        <w:pStyle w:val="Heading3"/>
      </w:pPr>
      <w:r>
        <w:t xml:space="preserve">6.4 Machining Workflow</w:t>
      </w:r>
    </w:p>
    <w:bookmarkStart w:id="156"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6"/>
    <w:bookmarkStart w:id="157"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57"/>
    <w:bookmarkStart w:id="158"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58"/>
    <w:bookmarkEnd w:id="159"/>
    <w:bookmarkStart w:id="163" w:name="assembly-workflow-serialized-lines"/>
    <w:p>
      <w:pPr>
        <w:pStyle w:val="Heading3"/>
      </w:pPr>
      <w:r>
        <w:t xml:space="preserve">6.5 Assembly Workflow — Serialized Lines</w:t>
      </w:r>
    </w:p>
    <w:bookmarkStart w:id="160"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0"/>
    <w:bookmarkStart w:id="161"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1"/>
    <w:bookmarkStart w:id="162"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2"/>
    <w:bookmarkEnd w:id="163"/>
    <w:bookmarkStart w:id="166" w:name="assembly-workflow-non-serialized-lines"/>
    <w:p>
      <w:pPr>
        <w:pStyle w:val="Heading3"/>
      </w:pPr>
      <w:r>
        <w:t xml:space="preserve">6.6 Assembly Workflow — Non-Serialized Lines</w:t>
      </w:r>
    </w:p>
    <w:bookmarkStart w:id="164"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4"/>
    <w:bookmarkStart w:id="165"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5"/>
    <w:bookmarkEnd w:id="166"/>
    <w:bookmarkStart w:id="169" w:name="production-events"/>
    <w:p>
      <w:pPr>
        <w:pStyle w:val="Heading3"/>
      </w:pPr>
      <w:r>
        <w:t xml:space="preserve">6.7 Production Events</w:t>
      </w:r>
    </w:p>
    <w:bookmarkStart w:id="167"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67"/>
    <w:bookmarkStart w:id="168"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68"/>
    <w:bookmarkEnd w:id="169"/>
    <w:bookmarkStart w:id="174" w:name="reject-events-and-scrap-handling"/>
    <w:p>
      <w:pPr>
        <w:pStyle w:val="Heading3"/>
      </w:pPr>
      <w:r>
        <w:t xml:space="preserve">6.8 Reject Events and Scrap Handling</w:t>
      </w:r>
    </w:p>
    <w:bookmarkStart w:id="170"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0"/>
    <w:bookmarkStart w:id="171"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1"/>
    <w:bookmarkStart w:id="172"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2"/>
    <w:bookmarkStart w:id="173"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3"/>
    <w:bookmarkEnd w:id="174"/>
    <w:bookmarkStart w:id="177" w:name="consumption-events"/>
    <w:p>
      <w:pPr>
        <w:pStyle w:val="Heading3"/>
      </w:pPr>
      <w:r>
        <w:t xml:space="preserve">6.9 Consumption Events</w:t>
      </w:r>
    </w:p>
    <w:bookmarkStart w:id="175"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5"/>
    <w:bookmarkStart w:id="176"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6"/>
    <w:bookmarkEnd w:id="177"/>
    <w:bookmarkStart w:id="186" w:name="Xa16d6ec4751f5634d31a4731659e76d8ad50fe6"/>
    <w:p>
      <w:pPr>
        <w:pStyle w:val="Heading3"/>
      </w:pPr>
      <w:r>
        <w:t xml:space="preserve">6.10 Work Orders —</w:t>
      </w:r>
      <w:r>
        <w:t xml:space="preserve"> </w:t>
      </w:r>
      <w:r>
        <w:rPr>
          <w:rStyle w:val="VerbatimChar"/>
        </w:rPr>
        <w:t xml:space="preserve">MVP-LITE</w:t>
      </w:r>
      <w:r>
        <w:t xml:space="preserve"> </w:t>
      </w:r>
      <w:r>
        <w:t xml:space="preserve">(with Maintenance flow</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(2026-04-20):</w:t>
      </w:r>
      <w:r>
        <w:t xml:space="preserve"> </w:t>
      </w:r>
      <w:r>
        <w:t xml:space="preserve">Three work-order types exist:</w:t>
      </w:r>
      <w:r>
        <w:t xml:space="preserve"> </w:t>
      </w:r>
      <w:r>
        <w:rPr>
          <w:b/>
          <w:bCs/>
        </w:rPr>
        <w:t xml:space="preserve">Demand</w:t>
      </w:r>
      <w:r>
        <w:t xml:space="preserve"> </w:t>
      </w:r>
      <w:r>
        <w:t xml:space="preserve">(production, MVP-Lite — existing auto-generation behaviour),</w:t>
      </w:r>
      <w:r>
        <w:t xml:space="preserve"> </w:t>
      </w:r>
      <w:r>
        <w:rPr>
          <w:b/>
          <w:bCs/>
        </w:rPr>
        <w:t xml:space="preserve">Maintenance</w:t>
      </w:r>
      <w:r>
        <w:t xml:space="preserve"> </w:t>
      </w:r>
      <w:r>
        <w:t xml:space="preserve">(targets a</w:t>
      </w:r>
      <w:r>
        <w:t xml:space="preserve"> </w:t>
      </w:r>
      <w:r>
        <w:rPr>
          <w:rStyle w:val="VerbatimChar"/>
        </w:rPr>
        <w:t xml:space="preserve">Tools.Tool</w:t>
      </w:r>
      <w:r>
        <w:t xml:space="preserve">; flow is FUTURE, schema hook only in MVP),</w:t>
      </w:r>
      <w:r>
        <w:t xml:space="preserve"> </w:t>
      </w:r>
      <w:r>
        <w:rPr>
          <w:b/>
          <w:bCs/>
        </w:rPr>
        <w:t xml:space="preserve">Recipe</w:t>
      </w:r>
      <w:r>
        <w:t xml:space="preserve"> </w:t>
      </w:r>
      <w:r>
        <w:t xml:space="preserve">(configuration/recipe context; hidden from operator). Data model v1.7 added</w:t>
      </w:r>
      <w:r>
        <w:t xml:space="preserve"> </w:t>
      </w:r>
      <w:r>
        <w:rPr>
          <w:rStyle w:val="VerbatimChar"/>
        </w:rPr>
        <w:t xml:space="preserve">Workorder.WorkOrderType</w:t>
      </w:r>
      <w:r>
        <w:t xml:space="preserve"> </w:t>
      </w:r>
      <w:r>
        <w:t xml:space="preserve">code table and</w:t>
      </w:r>
      <w:r>
        <w:t xml:space="preserve"> </w:t>
      </w:r>
      <w:r>
        <w:rPr>
          <w:rStyle w:val="VerbatimChar"/>
        </w:rPr>
        <w:t xml:space="preserve">WorkOrderTypeId</w:t>
      </w:r>
      <w:r>
        <w:t xml:space="preserve"> </w:t>
      </w:r>
      <w:r>
        <w:t xml:space="preserve">+ nullable</w:t>
      </w:r>
      <w:r>
        <w:t xml:space="preserve"> </w:t>
      </w:r>
      <w:r>
        <w:rPr>
          <w:rStyle w:val="VerbatimChar"/>
        </w:rPr>
        <w:t xml:space="preserve">ToolId</w:t>
      </w:r>
      <w:r>
        <w:t xml:space="preserve"> </w:t>
      </w:r>
      <w:r>
        <w:t xml:space="preserve">columns on</w:t>
      </w:r>
      <w:r>
        <w:t xml:space="preserve"> </w:t>
      </w:r>
      <w:r>
        <w:rPr>
          <w:rStyle w:val="VerbatimChar"/>
        </w:rPr>
        <w:t xml:space="preserve">Workorder.WorkOrder</w:t>
      </w:r>
      <w:r>
        <w:t xml:space="preserve">. Ben (MPP maintenance-engine SME) owes the Maintenance lifecycle, scheduling, and integration scope before the Maintenance flow can be delivered.</w:t>
      </w:r>
    </w:p>
    <w:bookmarkStart w:id="178" w:name="Xd66e3d99b8361e245e8d26b4cae7edbe1843982"/>
    <w:p>
      <w:pPr>
        <w:pStyle w:val="Heading4"/>
      </w:pPr>
      <w:r>
        <w:t xml:space="preserve">FDS-06-022 — Work Order Auto-Generation (Demand Type)</w:t>
      </w:r>
    </w:p>
    <w:p>
      <w:pPr>
        <w:pStyle w:val="FirstParagraph"/>
      </w:pPr>
      <w:r>
        <w:t xml:space="preserve">The system SHALL auto-generate</w:t>
      </w:r>
      <w:r>
        <w:t xml:space="preserve"> </w:t>
      </w:r>
      <w:r>
        <w:rPr>
          <w:b/>
          <w:bCs/>
        </w:rPr>
        <w:t xml:space="preserve">Demand-type</w:t>
      </w:r>
      <w:r>
        <w:t xml:space="preserve"> </w:t>
      </w:r>
      <w:r>
        <w:t xml:space="preserve">internal work orders when production activity begins on a LOT. Operators SHALL NOT see, create, or interact with Demand work orders directly — they remain invisible bookkeeping. Auto-generation semantics are unchanged from the pre-v0.9 MVP-Lite design. Demand WOs SHALL be created with</w:t>
      </w:r>
      <w:r>
        <w:t xml:space="preserve"> </w:t>
      </w:r>
      <w:r>
        <w:rPr>
          <w:rStyle w:val="VerbatimChar"/>
        </w:rPr>
        <w:t xml:space="preserve">WorkOrderType.Code = Demand</w:t>
      </w:r>
      <w:r>
        <w:t xml:space="preserve"> </w:t>
      </w:r>
      <w:r>
        <w:t xml:space="preserve">and</w:t>
      </w:r>
      <w:r>
        <w:t xml:space="preserve"> </w:t>
      </w:r>
      <w:r>
        <w:rPr>
          <w:rStyle w:val="VerbatimChar"/>
        </w:rPr>
        <w:t xml:space="preserve">ToolId = NULL</w:t>
      </w:r>
      <w:r>
        <w:t xml:space="preserve">. (FRS 3.1.5)</w:t>
      </w:r>
    </w:p>
    <w:bookmarkEnd w:id="178"/>
    <w:bookmarkStart w:id="179"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Demand; MAY be NULL for Maintenance if the WO targets a tool rather than a part; NOT NULL for Recipe)</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Populated only for</w:t>
      </w:r>
      <w:r>
        <w:t xml:space="preserve"> </w:t>
      </w:r>
      <w:r>
        <w:rPr>
          <w:rStyle w:val="VerbatimChar"/>
        </w:rPr>
        <w:t xml:space="preserve">WorkOrderType = Maintenance</w:t>
      </w:r>
      <w:r>
        <w:t xml:space="preserve">; enforced at the stored-procedure layer because Recipe WOs legitimately leave it NULL.</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79"/>
    <w:bookmarkStart w:id="180"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Maintenance and Recipe WOs that have no ProductionEvents), the evidence layer operates standalone.</w:t>
      </w:r>
    </w:p>
    <w:bookmarkEnd w:id="180"/>
    <w:bookmarkStart w:id="181"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 three read-only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Demand</w:t>
            </w:r>
          </w:p>
        </w:tc>
        <w:tc>
          <w:tcPr/>
          <w:p>
            <w:pPr>
              <w:pStyle w:val="Compact"/>
            </w:pPr>
            <w:r>
              <w:t xml:space="preserve">Demand Work Order</w:t>
            </w:r>
          </w:p>
        </w:tc>
        <w:tc>
          <w:tcPr/>
          <w:p>
            <w:pPr>
              <w:pStyle w:val="Compact"/>
            </w:pPr>
            <w:r>
              <w:rPr>
                <w:rStyle w:val="VerbatimChar"/>
              </w:rPr>
              <w:t xml:space="preserve">MVP-LITE</w:t>
            </w:r>
            <w:r>
              <w:t xml:space="preserve"> </w:t>
            </w:r>
            <w:r>
              <w:t xml:space="preserve">— auto-generated, invisible to operators (FDS-06-022).</w:t>
            </w:r>
          </w:p>
        </w:tc>
      </w:tr>
      <w:tr>
        <w:tc>
          <w:tcPr>
            <w:shd w:val="clear" w:color="auto" w:fill="F2F2F2"/>
          </w:tcPr>
          <w:tcPr/>
          <w:p>
            <w:pPr>
              <w:pStyle w:val="Compact"/>
            </w:pPr>
            <w:r>
              <w:t xml:space="preserve">Maintenance</w:t>
            </w:r>
          </w:p>
        </w:tc>
        <w:tc>
          <w:tcPr>
            <w:shd w:val="clear" w:color="auto" w:fill="F2F2F2"/>
          </w:tcPr>
          <w:tcPr/>
          <w:p>
            <w:pPr>
              <w:pStyle w:val="Compact"/>
            </w:pPr>
            <w:r>
              <w:t xml:space="preserve">Maintenance Work Order</w:t>
            </w:r>
          </w:p>
        </w:tc>
        <w:tc>
          <w:tcPr>
            <w:shd w:val="clear" w:color="auto" w:fill="F2F2F2"/>
          </w:tcPr>
          <w:tcPr/>
          <w:p>
            <w:pPr>
              <w:pStyle w:val="Compact"/>
            </w:pPr>
            <w:r>
              <w:rPr>
                <w:rStyle w:val="VerbatimChar"/>
              </w:rPr>
              <w:t xml:space="preserve">FUTURE</w:t>
            </w:r>
            <w:r>
              <w:t xml:space="preserve"> </w:t>
            </w:r>
            <w:r>
              <w:t xml:space="preserve">flow — schema hook only in MVP. Targets a</w:t>
            </w:r>
            <w:r>
              <w:t xml:space="preserve"> </w:t>
            </w:r>
            <w:r>
              <w:rPr>
                <w:rStyle w:val="VerbatimChar"/>
              </w:rPr>
              <w:t xml:space="preserve">Tools.Tool</w:t>
            </w:r>
            <w:r>
              <w:t xml:space="preserve">.</w:t>
            </w:r>
          </w:p>
        </w:tc>
      </w:tr>
      <w:tr>
        <w:tc>
          <w:tcPr/>
          <w:p>
            <w:pPr>
              <w:pStyle w:val="Compact"/>
            </w:pPr>
            <w:r>
              <w:t xml:space="preserve">Recipe</w:t>
            </w:r>
          </w:p>
        </w:tc>
        <w:tc>
          <w:tcPr/>
          <w:p>
            <w:pPr>
              <w:pStyle w:val="Compact"/>
            </w:pPr>
            <w:r>
              <w:t xml:space="preserve">Recipe Work Order</w:t>
            </w:r>
          </w:p>
        </w:tc>
        <w:tc>
          <w:tcPr/>
          <w:p>
            <w:pPr>
              <w:pStyle w:val="Compact"/>
            </w:pPr>
            <w:r>
              <w:rPr>
                <w:rStyle w:val="VerbatimChar"/>
              </w:rPr>
              <w:t xml:space="preserve">MVP-LITE</w:t>
            </w:r>
            <w:r>
              <w:t xml:space="preserve"> </w:t>
            </w:r>
            <w:r>
              <w:t xml:space="preserve">— hidden from operator; used for configuration/recipe context.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Demand</w:t>
      </w:r>
      <w:r>
        <w:t xml:space="preserve">. Create-proc defaults SHALL set</w:t>
      </w:r>
      <w:r>
        <w:t xml:space="preserve"> </w:t>
      </w:r>
      <w:r>
        <w:rPr>
          <w:rStyle w:val="VerbatimChar"/>
        </w:rPr>
        <w:t xml:space="preserve">WorkOrderTypeId = Demand</w:t>
      </w:r>
      <w:r>
        <w:t xml:space="preserve"> </w:t>
      </w:r>
      <w:r>
        <w:t xml:space="preserve">so Phase 1–8 callers keep working unchanged.</w:t>
      </w:r>
    </w:p>
    <w:bookmarkEnd w:id="181"/>
    <w:bookmarkStart w:id="182" w:name="X0eb9d3c7887a1772a4deb1097d62a07de65074a"/>
    <w:p>
      <w:pPr>
        <w:pStyle w:val="Heading4"/>
      </w:pPr>
      <w:r>
        <w:t xml:space="preserve">FDS-06-026 — Maintenance Work Orders —</w:t>
      </w:r>
      <w:r>
        <w:t xml:space="preserve"> </w:t>
      </w:r>
      <w:r>
        <w:rPr>
          <w:rStyle w:val="VerbatimChar"/>
        </w:rPr>
        <w:t xml:space="preserve">FUTURE</w:t>
      </w:r>
    </w:p>
    <w:p>
      <w:pPr>
        <w:pStyle w:val="FirstParagraph"/>
      </w:pPr>
      <w:r>
        <w:t xml:space="preserve">Maintenance work orders target a</w:t>
      </w:r>
      <w:r>
        <w:t xml:space="preserve"> </w:t>
      </w:r>
      <w:r>
        <w:rPr>
          <w:rStyle w:val="VerbatimChar"/>
        </w:rPr>
        <w:t xml:space="preserve">Tools.Tool</w:t>
      </w:r>
      <w:r>
        <w:t xml:space="preserve"> </w:t>
      </w:r>
      <w:r>
        <w:t xml:space="preserve">and coordinate with the MPP maintenance team’s existing engine (details owed by Ben). The schema hook is</w:t>
      </w:r>
      <w:r>
        <w:t xml:space="preserve"> </w:t>
      </w:r>
      <w:r>
        <w:rPr>
          <w:b/>
          <w:bCs/>
        </w:rPr>
        <w:t xml:space="preserve">MVP</w:t>
      </w:r>
      <w:r>
        <w:t xml:space="preserve">: the</w:t>
      </w:r>
      <w:r>
        <w:t xml:space="preserve"> </w:t>
      </w:r>
      <w:r>
        <w:rPr>
          <w:rStyle w:val="VerbatimChar"/>
        </w:rPr>
        <w:t xml:space="preserve">WorkOrderType = Maintenance</w:t>
      </w:r>
      <w:r>
        <w:t xml:space="preserve"> </w:t>
      </w:r>
      <w:r>
        <w:t xml:space="preserve">seed row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The</w:t>
      </w:r>
      <w:r>
        <w:t xml:space="preserve"> </w:t>
      </w:r>
      <w:r>
        <w:rPr>
          <w:b/>
          <w:bCs/>
        </w:rPr>
        <w:t xml:space="preserve">flow</w:t>
      </w:r>
      <w:r>
        <w:t xml:space="preserve"> </w:t>
      </w:r>
      <w:r>
        <w:t xml:space="preserve">is</w:t>
      </w:r>
      <w:r>
        <w:t xml:space="preserve"> </w:t>
      </w:r>
      <w:r>
        <w:rPr>
          <w:rStyle w:val="VerbatimChar"/>
        </w:rPr>
        <w:t xml:space="preserve">FUTURE</w:t>
      </w:r>
      <w:r>
        <w:t xml:space="preserve">: no Perspective screens, no state machine, no scheduling, no integration with the maintenance team’s tooling in MVP. When activated, Maintenance WOs SHALL be creatable only via the Configuration Tool (admin) with full FDS-04-007 elevation. Maintenance operators SHALL use a separate Perspective view (out of scope for MVP) that does not mix with production screens.</w:t>
      </w:r>
    </w:p>
    <w:bookmarkEnd w:id="182"/>
    <w:bookmarkStart w:id="183" w:name="fds-06-027-recipe-work-orders"/>
    <w:p>
      <w:pPr>
        <w:pStyle w:val="Heading4"/>
      </w:pPr>
      <w:r>
        <w:t xml:space="preserve">FDS-06-027 — Recipe Work Orders</w:t>
      </w:r>
    </w:p>
    <w:p>
      <w:pPr>
        <w:pStyle w:val="FirstParagraph"/>
      </w:pPr>
      <w:r>
        <w:t xml:space="preserve">Recipe work orders provide configuration / recipe context for Engineering-managed part changes. They SHALL be created by the Configuration Tool and SHALL NOT appear on any operator-facing screen.</w:t>
      </w:r>
      <w:r>
        <w:t xml:space="preserve"> </w:t>
      </w:r>
      <w:r>
        <w:rPr>
          <w:rStyle w:val="VerbatimChar"/>
        </w:rPr>
        <w:t xml:space="preserve">ToolId</w:t>
      </w:r>
      <w:r>
        <w:t xml:space="preserve"> </w:t>
      </w:r>
      <w:r>
        <w:t xml:space="preserve">is always NULL for Recipe WOs. Recipe WOs carry</w:t>
      </w:r>
      <w:r>
        <w:t xml:space="preserve"> </w:t>
      </w:r>
      <w:r>
        <w:rPr>
          <w:rStyle w:val="VerbatimChar"/>
        </w:rPr>
        <w:t xml:space="preserve">ItemId</w:t>
      </w:r>
      <w:r>
        <w:t xml:space="preserve"> </w:t>
      </w:r>
      <w:r>
        <w:t xml:space="preserve">to identify the part whose recipe is being configured, and MAY carry a</w:t>
      </w:r>
      <w:r>
        <w:t xml:space="preserve"> </w:t>
      </w:r>
      <w:r>
        <w:rPr>
          <w:rStyle w:val="VerbatimChar"/>
        </w:rPr>
        <w:t xml:space="preserve">RouteTemplateId</w:t>
      </w:r>
      <w:r>
        <w:t xml:space="preserve"> </w:t>
      </w:r>
      <w:r>
        <w:t xml:space="preserve">when the recipe change affects a specific route version. No separate UI in MVP — surfaced only in Configuration Tool audit views.</w:t>
      </w:r>
    </w:p>
    <w:p>
      <w:pPr>
        <w:pStyle w:val="BlockText"/>
      </w:pPr>
      <w:r>
        <w:t xml:space="preserve">ℹ️</w:t>
      </w:r>
      <w:r>
        <w:t xml:space="preserve"> </w:t>
      </w:r>
      <w:r>
        <w:rPr>
          <w:b/>
          <w:bCs/>
        </w:rPr>
        <w:t xml:space="preserve">Maintenance WO flow status:</w:t>
      </w:r>
      <w:r>
        <w:t xml:space="preserve"> </w:t>
      </w:r>
      <w:r>
        <w:t xml:space="preserve">The MVP schema hook is delivered via Phase G SQL migration</w:t>
      </w:r>
      <w:r>
        <w:t xml:space="preserve"> </w:t>
      </w:r>
      <w:r>
        <w:rPr>
          <w:rStyle w:val="VerbatimChar"/>
        </w:rPr>
        <w:t xml:space="preserve">0010_phase9_tools_and_workorder.sql</w:t>
      </w:r>
      <w:r>
        <w:t xml:space="preserve">. Full Maintenance flow is</w:t>
      </w:r>
      <w:r>
        <w:t xml:space="preserve"> </w:t>
      </w:r>
      <w:r>
        <w:rPr>
          <w:rStyle w:val="VerbatimChar"/>
        </w:rPr>
        <w:t xml:space="preserve">FUTURE</w:t>
      </w:r>
      <w:r>
        <w:t xml:space="preserve"> </w:t>
      </w:r>
      <w:r>
        <w:t xml:space="preserve">— Ben owes a separate scope document covering lifecycle (request → scheduled → in progress → closed), maintenance-team integration, and whether the MPP maintenance engine generates WOs directly or consumes them from the MES.</w:t>
      </w:r>
    </w:p>
    <w:bookmarkEnd w:id="183"/>
    <w:bookmarkStart w:id="184"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Demand Work Orders SHALL support two automatic-finish modes, configurable per WO:</w:t>
      </w:r>
    </w:p>
    <w:p>
      <w:pPr>
        <w:pStyle w:val="Compact"/>
        <w:numPr>
          <w:ilvl w:val="0"/>
          <w:numId w:val="1022"/>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2"/>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4"/>
    <w:bookmarkStart w:id="185"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r>
        <w:pict>
          <v:rect style="width:0;height:1.5pt" o:hralign="center" o:hrstd="t" o:hr="t"/>
        </w:pict>
      </w:r>
    </w:p>
    <w:bookmarkEnd w:id="185"/>
    <w:bookmarkEnd w:id="186"/>
    <w:bookmarkEnd w:id="187"/>
    <w:bookmarkStart w:id="214" w:name="container-management-shipping-mvp"/>
    <w:p>
      <w:pPr>
        <w:pStyle w:val="Heading2"/>
      </w:pPr>
      <w:r>
        <w:t xml:space="preserve">7. Container Management &amp; Shipping —</w:t>
      </w:r>
      <w:r>
        <w:t xml:space="preserve"> </w:t>
      </w:r>
      <w:r>
        <w:rPr>
          <w:rStyle w:val="VerbatimChar"/>
        </w:rPr>
        <w:t xml:space="preserve">MVP</w:t>
      </w:r>
    </w:p>
    <w:bookmarkStart w:id="188"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88"/>
    <w:bookmarkStart w:id="194" w:name="container-lifecycle"/>
    <w:p>
      <w:pPr>
        <w:pStyle w:val="Heading3"/>
      </w:pPr>
      <w:r>
        <w:t xml:space="preserve">7.2 Container Lifecycle</w:t>
      </w:r>
    </w:p>
    <w:bookmarkStart w:id="189"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89"/>
    <w:bookmarkStart w:id="190"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0"/>
    <w:bookmarkStart w:id="191"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1"/>
    <w:bookmarkStart w:id="192"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2"/>
    <w:bookmarkStart w:id="193"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3"/>
    <w:bookmarkEnd w:id="194"/>
    <w:bookmarkStart w:id="199" w:name="shipping-labels"/>
    <w:p>
      <w:pPr>
        <w:pStyle w:val="Heading3"/>
      </w:pPr>
      <w:r>
        <w:t xml:space="preserve">7.3 Shipping Labels</w:t>
      </w:r>
    </w:p>
    <w:bookmarkStart w:id="195"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5"/>
    <w:bookmarkStart w:id="196"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6"/>
    <w:bookmarkStart w:id="197"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197"/>
    <w:bookmarkStart w:id="198"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198"/>
    <w:bookmarkEnd w:id="199"/>
    <w:bookmarkStart w:id="203" w:name="aim-integration"/>
    <w:p>
      <w:pPr>
        <w:pStyle w:val="Heading3"/>
      </w:pPr>
      <w:r>
        <w:t xml:space="preserve">7.4 AIM Integration</w:t>
      </w:r>
    </w:p>
    <w:bookmarkStart w:id="200"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0"/>
    <w:bookmarkStart w:id="201"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1"/>
    <w:bookmarkStart w:id="202"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2"/>
    <w:bookmarkEnd w:id="203"/>
    <w:bookmarkStart w:id="206" w:name="shipping-dock-workflow"/>
    <w:p>
      <w:pPr>
        <w:pStyle w:val="Heading3"/>
      </w:pPr>
      <w:r>
        <w:t xml:space="preserve">7.5 Shipping Dock Workflow</w:t>
      </w:r>
    </w:p>
    <w:bookmarkStart w:id="204"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4"/>
    <w:bookmarkStart w:id="205"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5"/>
    <w:bookmarkEnd w:id="206"/>
    <w:bookmarkStart w:id="209" w:name="container-holds"/>
    <w:p>
      <w:pPr>
        <w:pStyle w:val="Heading3"/>
      </w:pPr>
      <w:r>
        <w:t xml:space="preserve">7.6 Container Holds</w:t>
      </w:r>
    </w:p>
    <w:bookmarkStart w:id="207"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07"/>
    <w:bookmarkStart w:id="208"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08"/>
    <w:bookmarkEnd w:id="209"/>
    <w:bookmarkStart w:id="213" w:name="sort-cage-mvp-expanded"/>
    <w:p>
      <w:pPr>
        <w:pStyle w:val="Heading3"/>
      </w:pPr>
      <w:r>
        <w:t xml:space="preserve">7.7 Sort Cage —</w:t>
      </w:r>
      <w:r>
        <w:t xml:space="preserve"> </w:t>
      </w:r>
      <w:r>
        <w:rPr>
          <w:rStyle w:val="VerbatimChar"/>
        </w:rPr>
        <w:t xml:space="preserve">MVP-EXPANDED</w:t>
      </w:r>
    </w:p>
    <w:bookmarkStart w:id="210"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0"/>
    <w:bookmarkStart w:id="211"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1"/>
    <w:bookmarkStart w:id="212"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3"/>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3"/>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3"/>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2"/>
    <w:bookmarkEnd w:id="213"/>
    <w:bookmarkEnd w:id="214"/>
    <w:bookmarkStart w:id="240" w:name="quality-hold-management-mixed-scope"/>
    <w:p>
      <w:pPr>
        <w:pStyle w:val="Heading2"/>
      </w:pPr>
      <w:r>
        <w:t xml:space="preserve">8. Quality &amp; Hold Management — MIXED SCOPE</w:t>
      </w:r>
    </w:p>
    <w:bookmarkStart w:id="215"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5"/>
    <w:bookmarkStart w:id="224" w:name="hold-management-mvp-expanded"/>
    <w:p>
      <w:pPr>
        <w:pStyle w:val="Heading3"/>
      </w:pPr>
      <w:r>
        <w:t xml:space="preserve">8.2 Hold Management —</w:t>
      </w:r>
      <w:r>
        <w:t xml:space="preserve"> </w:t>
      </w:r>
      <w:r>
        <w:rPr>
          <w:rStyle w:val="VerbatimChar"/>
        </w:rPr>
        <w:t xml:space="preserve">MVP-EXPANDED</w:t>
      </w:r>
    </w:p>
    <w:bookmarkStart w:id="216"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6"/>
    <w:bookmarkStart w:id="217"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17"/>
    <w:bookmarkStart w:id="218"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18"/>
    <w:bookmarkStart w:id="219"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19"/>
    <w:bookmarkStart w:id="220"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0"/>
    <w:bookmarkStart w:id="221"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1"/>
    <w:bookmarkStart w:id="222"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2"/>
    <w:bookmarkStart w:id="223"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4"/>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4"/>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4"/>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4"/>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4"/>
        </w:numPr>
      </w:pPr>
      <w:r>
        <w:rPr>
          <w:b/>
          <w:bCs/>
        </w:rPr>
        <w:t xml:space="preserve">Bulk Hold / Bulk Release</w:t>
      </w:r>
      <w:r>
        <w:t xml:space="preserve"> </w:t>
      </w:r>
      <w:r>
        <w:t xml:space="preserve">— follows FDS-08-006 search + multi-select semantics.</w:t>
      </w:r>
    </w:p>
    <w:p>
      <w:pPr>
        <w:pStyle w:val="Compact"/>
        <w:numPr>
          <w:ilvl w:val="0"/>
          <w:numId w:val="1024"/>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3"/>
    <w:bookmarkEnd w:id="224"/>
    <w:bookmarkStart w:id="231" w:name="inspections-mvp"/>
    <w:p>
      <w:pPr>
        <w:pStyle w:val="Heading3"/>
      </w:pPr>
      <w:r>
        <w:t xml:space="preserve">8.3 Inspections —</w:t>
      </w:r>
      <w:r>
        <w:t xml:space="preserve"> </w:t>
      </w:r>
      <w:r>
        <w:rPr>
          <w:rStyle w:val="VerbatimChar"/>
        </w:rPr>
        <w:t xml:space="preserve">MVP</w:t>
      </w:r>
    </w:p>
    <w:bookmarkStart w:id="225"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5"/>
    <w:bookmarkStart w:id="226"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6"/>
    <w:bookmarkStart w:id="227"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27"/>
    <w:bookmarkStart w:id="228"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28"/>
    <w:bookmarkStart w:id="229"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29"/>
    <w:bookmarkStart w:id="230"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0"/>
    <w:bookmarkEnd w:id="231"/>
    <w:bookmarkStart w:id="234" w:name="sampling-workflows-conditional"/>
    <w:p>
      <w:pPr>
        <w:pStyle w:val="Heading3"/>
      </w:pPr>
      <w:r>
        <w:t xml:space="preserve">8.4 Sampling Workflows —</w:t>
      </w:r>
      <w:r>
        <w:t xml:space="preserve"> </w:t>
      </w:r>
      <w:r>
        <w:rPr>
          <w:rStyle w:val="VerbatimChar"/>
        </w:rPr>
        <w:t xml:space="preserve">CONDITIONAL</w:t>
      </w:r>
    </w:p>
    <w:bookmarkStart w:id="232"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2"/>
    <w:bookmarkStart w:id="233"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3"/>
    <w:bookmarkEnd w:id="234"/>
    <w:bookmarkStart w:id="237" w:name="defect-codes-mvp"/>
    <w:p>
      <w:pPr>
        <w:pStyle w:val="Heading3"/>
      </w:pPr>
      <w:r>
        <w:t xml:space="preserve">8.5 Defect Codes —</w:t>
      </w:r>
      <w:r>
        <w:t xml:space="preserve"> </w:t>
      </w:r>
      <w:r>
        <w:rPr>
          <w:rStyle w:val="VerbatimChar"/>
        </w:rPr>
        <w:t xml:space="preserve">MVP</w:t>
      </w:r>
    </w:p>
    <w:bookmarkStart w:id="235"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5"/>
    <w:bookmarkStart w:id="236"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6"/>
    <w:bookmarkEnd w:id="237"/>
    <w:bookmarkStart w:id="239" w:name="non-conformance-management-future"/>
    <w:p>
      <w:pPr>
        <w:pStyle w:val="Heading3"/>
      </w:pPr>
      <w:r>
        <w:t xml:space="preserve">8.6 Non-Conformance Management —</w:t>
      </w:r>
      <w:r>
        <w:t xml:space="preserve"> </w:t>
      </w:r>
      <w:r>
        <w:rPr>
          <w:rStyle w:val="VerbatimChar"/>
        </w:rPr>
        <w:t xml:space="preserve">FUTURE</w:t>
      </w:r>
    </w:p>
    <w:bookmarkStart w:id="238"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38"/>
    <w:bookmarkEnd w:id="239"/>
    <w:bookmarkEnd w:id="240"/>
    <w:bookmarkStart w:id="260" w:name="downtime-tracking-mixed-scope"/>
    <w:p>
      <w:pPr>
        <w:pStyle w:val="Heading2"/>
      </w:pPr>
      <w:r>
        <w:t xml:space="preserve">9. Downtime Tracking — MIXED SCOPE</w:t>
      </w:r>
    </w:p>
    <w:bookmarkStart w:id="241"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1"/>
    <w:bookmarkStart w:id="247" w:name="downtime-events-mvp"/>
    <w:p>
      <w:pPr>
        <w:pStyle w:val="Heading3"/>
      </w:pPr>
      <w:r>
        <w:t xml:space="preserve">9.2 Downtime Events —</w:t>
      </w:r>
      <w:r>
        <w:t xml:space="preserve"> </w:t>
      </w:r>
      <w:r>
        <w:rPr>
          <w:rStyle w:val="VerbatimChar"/>
        </w:rPr>
        <w:t xml:space="preserve">MVP</w:t>
      </w:r>
    </w:p>
    <w:bookmarkStart w:id="242"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2"/>
    <w:bookmarkStart w:id="243"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3"/>
    <w:bookmarkStart w:id="244"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4"/>
    <w:bookmarkStart w:id="245"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5"/>
    <w:bookmarkStart w:id="246"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6"/>
    <w:bookmarkEnd w:id="247"/>
    <w:bookmarkStart w:id="250" w:name="downtime-reason-codes-mvp"/>
    <w:p>
      <w:pPr>
        <w:pStyle w:val="Heading3"/>
      </w:pPr>
      <w:r>
        <w:t xml:space="preserve">9.3 Downtime Reason Codes —</w:t>
      </w:r>
      <w:r>
        <w:t xml:space="preserve"> </w:t>
      </w:r>
      <w:r>
        <w:rPr>
          <w:rStyle w:val="VerbatimChar"/>
        </w:rPr>
        <w:t xml:space="preserve">MVP</w:t>
      </w:r>
    </w:p>
    <w:bookmarkStart w:id="248"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48"/>
    <w:bookmarkStart w:id="249"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49"/>
    <w:bookmarkEnd w:id="250"/>
    <w:bookmarkStart w:id="257"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1"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1"/>
    <w:bookmarkStart w:id="252"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5"/>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5"/>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5"/>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2"/>
    <w:bookmarkStart w:id="253"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3"/>
    <w:bookmarkStart w:id="254"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4"/>
    <w:bookmarkStart w:id="255"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5"/>
    <w:bookmarkStart w:id="256"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6"/>
    <w:bookmarkEnd w:id="257"/>
    <w:bookmarkStart w:id="259" w:name="oee-future"/>
    <w:p>
      <w:pPr>
        <w:pStyle w:val="Heading3"/>
      </w:pPr>
      <w:r>
        <w:t xml:space="preserve">9.5 OEE —</w:t>
      </w:r>
      <w:r>
        <w:t xml:space="preserve"> </w:t>
      </w:r>
      <w:r>
        <w:rPr>
          <w:rStyle w:val="VerbatimChar"/>
        </w:rPr>
        <w:t xml:space="preserve">FUTURE</w:t>
      </w:r>
    </w:p>
    <w:bookmarkStart w:id="258"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58"/>
    <w:bookmarkEnd w:id="259"/>
    <w:bookmarkEnd w:id="260"/>
    <w:bookmarkStart w:id="278" w:name="plcopc-integration-mvp"/>
    <w:p>
      <w:pPr>
        <w:pStyle w:val="Heading2"/>
      </w:pPr>
      <w:r>
        <w:t xml:space="preserve">10. PLC/OPC Integration —</w:t>
      </w:r>
      <w:r>
        <w:t xml:space="preserve"> </w:t>
      </w:r>
      <w:r>
        <w:rPr>
          <w:rStyle w:val="VerbatimChar"/>
        </w:rPr>
        <w:t xml:space="preserve">MVP</w:t>
      </w:r>
    </w:p>
    <w:bookmarkStart w:id="261"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1"/>
    <w:bookmarkStart w:id="265" w:name="mip-handshake-protocol-serialized-lines"/>
    <w:p>
      <w:pPr>
        <w:pStyle w:val="Heading3"/>
      </w:pPr>
      <w:r>
        <w:t xml:space="preserve">10.2 MIP Handshake Protocol — Serialized Lines</w:t>
      </w:r>
    </w:p>
    <w:bookmarkStart w:id="262"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2"/>
    <w:bookmarkStart w:id="263"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3"/>
    <w:bookmarkStart w:id="264"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4"/>
    <w:bookmarkEnd w:id="265"/>
    <w:bookmarkStart w:id="272"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6"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6"/>
    <w:bookmarkStart w:id="267"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6"/>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6"/>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6"/>
        </w:numPr>
      </w:pPr>
      <w:r>
        <w:t xml:space="preserve">Route to escalation per FDS-10-009 / FDS-10-010 based on failure count and failure type.</w:t>
      </w:r>
    </w:p>
    <w:p>
      <w:pPr>
        <w:pStyle w:val="Compact"/>
        <w:numPr>
          <w:ilvl w:val="0"/>
          <w:numId w:val="1026"/>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6"/>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67"/>
    <w:bookmarkStart w:id="268"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7"/>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7"/>
        </w:numPr>
      </w:pPr>
      <w:r>
        <w:t xml:space="preserve">Require supervisor AD elevation (FDS-04-007) before production can resume on that cell.</w:t>
      </w:r>
    </w:p>
    <w:p>
      <w:pPr>
        <w:pStyle w:val="Compact"/>
        <w:numPr>
          <w:ilvl w:val="0"/>
          <w:numId w:val="1027"/>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68"/>
    <w:bookmarkStart w:id="269"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69"/>
    <w:bookmarkStart w:id="270"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8"/>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8"/>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0"/>
    <w:bookmarkStart w:id="271"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29"/>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29"/>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29"/>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29"/>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29"/>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1"/>
    <w:bookmarkEnd w:id="272"/>
    <w:bookmarkStart w:id="274" w:name="scale-integration"/>
    <w:p>
      <w:pPr>
        <w:pStyle w:val="Heading3"/>
      </w:pPr>
      <w:r>
        <w:t xml:space="preserve">10.4 Scale Integration</w:t>
      </w:r>
    </w:p>
    <w:bookmarkStart w:id="27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3"/>
    <w:bookmarkEnd w:id="274"/>
    <w:bookmarkStart w:id="277" w:name="barcode-integration"/>
    <w:p>
      <w:pPr>
        <w:pStyle w:val="Heading3"/>
      </w:pPr>
      <w:r>
        <w:t xml:space="preserve">10.5 Barcode Integration</w:t>
      </w:r>
    </w:p>
    <w:bookmarkStart w:id="27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5"/>
    <w:bookmarkStart w:id="27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6"/>
    <w:bookmarkEnd w:id="277"/>
    <w:bookmarkEnd w:id="278"/>
    <w:bookmarkStart w:id="294" w:name="audit-logging-mvp"/>
    <w:p>
      <w:pPr>
        <w:pStyle w:val="Heading2"/>
      </w:pPr>
      <w:r>
        <w:t xml:space="preserve">11. Audit &amp; Logging —</w:t>
      </w:r>
      <w:r>
        <w:t xml:space="preserve"> </w:t>
      </w:r>
      <w:r>
        <w:rPr>
          <w:rStyle w:val="VerbatimChar"/>
        </w:rPr>
        <w:t xml:space="preserve">MVP</w:t>
      </w:r>
    </w:p>
    <w:bookmarkStart w:id="279"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79"/>
    <w:bookmarkStart w:id="285" w:name="log-types"/>
    <w:p>
      <w:pPr>
        <w:pStyle w:val="Heading3"/>
      </w:pPr>
      <w:r>
        <w:t xml:space="preserve">11.2 Log Types</w:t>
      </w:r>
    </w:p>
    <w:bookmarkStart w:id="280"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0"/>
    <w:bookmarkStart w:id="281"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1"/>
    <w:bookmarkStart w:id="282"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2"/>
    <w:bookmarkStart w:id="283"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3"/>
    <w:bookmarkStart w:id="284"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4"/>
    <w:bookmarkEnd w:id="285"/>
    <w:bookmarkStart w:id="290" w:name="normalized-vocabularies"/>
    <w:p>
      <w:pPr>
        <w:pStyle w:val="Heading3"/>
      </w:pPr>
      <w:r>
        <w:t xml:space="preserve">11.3 Normalized Vocabularies</w:t>
      </w:r>
    </w:p>
    <w:bookmarkStart w:id="286"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6"/>
    <w:bookmarkStart w:id="287"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87"/>
    <w:bookmarkStart w:id="288"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88"/>
    <w:bookmarkStart w:id="289"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0"/>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0"/>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0"/>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0"/>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89"/>
    <w:bookmarkEnd w:id="290"/>
    <w:bookmarkStart w:id="293" w:name="data-retention"/>
    <w:p>
      <w:pPr>
        <w:pStyle w:val="Heading3"/>
      </w:pPr>
      <w:r>
        <w:t xml:space="preserve">11.4 Data Retention</w:t>
      </w:r>
    </w:p>
    <w:bookmarkStart w:id="291"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1"/>
    <w:bookmarkStart w:id="292"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2"/>
    <w:bookmarkEnd w:id="293"/>
    <w:bookmarkEnd w:id="294"/>
    <w:bookmarkStart w:id="314" w:name="reporting-mvp"/>
    <w:p>
      <w:pPr>
        <w:pStyle w:val="Heading2"/>
      </w:pPr>
      <w:r>
        <w:t xml:space="preserve">12. Reporting —</w:t>
      </w:r>
      <w:r>
        <w:t xml:space="preserve"> </w:t>
      </w:r>
      <w:r>
        <w:rPr>
          <w:rStyle w:val="VerbatimChar"/>
        </w:rPr>
        <w:t xml:space="preserve">MVP</w:t>
      </w:r>
    </w:p>
    <w:bookmarkStart w:id="295"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5"/>
    <w:bookmarkStart w:id="300" w:name="traceability-reports"/>
    <w:p>
      <w:pPr>
        <w:pStyle w:val="Heading3"/>
      </w:pPr>
      <w:r>
        <w:t xml:space="preserve">12.2 Traceability Reports</w:t>
      </w:r>
    </w:p>
    <w:bookmarkStart w:id="296"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6"/>
    <w:bookmarkStart w:id="297"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297"/>
    <w:bookmarkStart w:id="298"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298"/>
    <w:bookmarkStart w:id="299"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299"/>
    <w:bookmarkEnd w:id="300"/>
    <w:bookmarkStart w:id="305" w:name="X20e5703298e30073c8ffa1040c87c727e57d853"/>
    <w:p>
      <w:pPr>
        <w:pStyle w:val="Heading3"/>
      </w:pPr>
      <w:r>
        <w:t xml:space="preserve">12.3 Production Reports (Replacing Productivity DB)</w:t>
      </w:r>
    </w:p>
    <w:bookmarkStart w:id="301"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1"/>
    <w:bookmarkStart w:id="302"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2"/>
    <w:bookmarkStart w:id="303"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3"/>
    <w:bookmarkStart w:id="304"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4"/>
    <w:bookmarkEnd w:id="305"/>
    <w:bookmarkStart w:id="309" w:name="operational-reports"/>
    <w:p>
      <w:pPr>
        <w:pStyle w:val="Heading3"/>
      </w:pPr>
      <w:r>
        <w:t xml:space="preserve">12.4 Operational Reports</w:t>
      </w:r>
    </w:p>
    <w:bookmarkStart w:id="306"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6"/>
    <w:bookmarkStart w:id="307"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07"/>
    <w:bookmarkStart w:id="308"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08"/>
    <w:bookmarkEnd w:id="309"/>
    <w:bookmarkStart w:id="313"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0"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0"/>
    <w:bookmarkStart w:id="311"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1"/>
        </w:numPr>
      </w:pPr>
      <w:r>
        <w:t xml:space="preserve">LOT</w:t>
      </w:r>
      <w:r>
        <w:t xml:space="preserve"> </w:t>
      </w:r>
      <w:r>
        <w:rPr>
          <w:rStyle w:val="VerbatimChar"/>
        </w:rPr>
        <w:t xml:space="preserve">LotName</w:t>
      </w:r>
      <w:r>
        <w:t xml:space="preserve"> </w:t>
      </w:r>
      <w:r>
        <w:t xml:space="preserve">(LTT barcode)</w:t>
      </w:r>
    </w:p>
    <w:p>
      <w:pPr>
        <w:pStyle w:val="Compact"/>
        <w:numPr>
          <w:ilvl w:val="0"/>
          <w:numId w:val="1031"/>
        </w:numPr>
      </w:pPr>
      <w:r>
        <w:t xml:space="preserve">Sub-LOT</w:t>
      </w:r>
      <w:r>
        <w:t xml:space="preserve"> </w:t>
      </w:r>
      <w:r>
        <w:rPr>
          <w:rStyle w:val="VerbatimChar"/>
        </w:rPr>
        <w:t xml:space="preserve">LotName</w:t>
      </w:r>
    </w:p>
    <w:p>
      <w:pPr>
        <w:pStyle w:val="Compact"/>
        <w:numPr>
          <w:ilvl w:val="0"/>
          <w:numId w:val="1031"/>
        </w:numPr>
      </w:pPr>
      <w:r>
        <w:t xml:space="preserve">Serialized part serial number (</w:t>
      </w:r>
      <w:r>
        <w:rPr>
          <w:rStyle w:val="VerbatimChar"/>
        </w:rPr>
        <w:t xml:space="preserve">SerializedPart.SerialNumber</w:t>
      </w:r>
      <w:r>
        <w:t xml:space="preserve">)</w:t>
      </w:r>
    </w:p>
    <w:p>
      <w:pPr>
        <w:pStyle w:val="Compact"/>
        <w:numPr>
          <w:ilvl w:val="0"/>
          <w:numId w:val="1031"/>
        </w:numPr>
      </w:pPr>
      <w:r>
        <w:t xml:space="preserve">Container</w:t>
      </w:r>
      <w:r>
        <w:t xml:space="preserve"> </w:t>
      </w:r>
      <w:r>
        <w:rPr>
          <w:rStyle w:val="VerbatimChar"/>
        </w:rPr>
        <w:t xml:space="preserve">ContainerName</w:t>
      </w:r>
    </w:p>
    <w:p>
      <w:pPr>
        <w:pStyle w:val="Compact"/>
        <w:numPr>
          <w:ilvl w:val="0"/>
          <w:numId w:val="1031"/>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1"/>
    <w:bookmarkStart w:id="312"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2"/>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2"/>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2"/>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2"/>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2"/>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2"/>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2"/>
    <w:bookmarkEnd w:id="313"/>
    <w:bookmarkEnd w:id="314"/>
    <w:bookmarkStart w:id="325" w:name="external-system-interfaces-mixed-scope"/>
    <w:p>
      <w:pPr>
        <w:pStyle w:val="Heading2"/>
      </w:pPr>
      <w:r>
        <w:t xml:space="preserve">13. External System Interfaces — MIXED SCOPE</w:t>
      </w:r>
    </w:p>
    <w:bookmarkStart w:id="318" w:name="aim-honda-edi-mvp"/>
    <w:p>
      <w:pPr>
        <w:pStyle w:val="Heading3"/>
      </w:pPr>
      <w:r>
        <w:t xml:space="preserve">13.1 AIM (Honda EDI) —</w:t>
      </w:r>
      <w:r>
        <w:t xml:space="preserve"> </w:t>
      </w:r>
      <w:r>
        <w:rPr>
          <w:rStyle w:val="VerbatimChar"/>
        </w:rPr>
        <w:t xml:space="preserve">MVP</w:t>
      </w:r>
    </w:p>
    <w:bookmarkStart w:id="315"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5"/>
    <w:bookmarkStart w:id="316"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6"/>
    <w:bookmarkStart w:id="317"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17"/>
    <w:bookmarkEnd w:id="318"/>
    <w:bookmarkStart w:id="320" w:name="macola-erp-future"/>
    <w:p>
      <w:pPr>
        <w:pStyle w:val="Heading3"/>
      </w:pPr>
      <w:r>
        <w:t xml:space="preserve">13.2 Macola ERP —</w:t>
      </w:r>
      <w:r>
        <w:t xml:space="preserve"> </w:t>
      </w:r>
      <w:r>
        <w:rPr>
          <w:rStyle w:val="VerbatimChar"/>
        </w:rPr>
        <w:t xml:space="preserve">FUTURE</w:t>
      </w:r>
    </w:p>
    <w:bookmarkStart w:id="319"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19"/>
    <w:bookmarkEnd w:id="320"/>
    <w:bookmarkStart w:id="322" w:name="intelex-quality-management-future"/>
    <w:p>
      <w:pPr>
        <w:pStyle w:val="Heading3"/>
      </w:pPr>
      <w:r>
        <w:t xml:space="preserve">13.3 Intelex (Quality Management) —</w:t>
      </w:r>
      <w:r>
        <w:t xml:space="preserve"> </w:t>
      </w:r>
      <w:r>
        <w:rPr>
          <w:rStyle w:val="VerbatimChar"/>
        </w:rPr>
        <w:t xml:space="preserve">FUTURE</w:t>
      </w:r>
    </w:p>
    <w:bookmarkStart w:id="321"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1"/>
    <w:bookmarkEnd w:id="322"/>
    <w:bookmarkStart w:id="324" w:name="scada-process-dashboards-future"/>
    <w:p>
      <w:pPr>
        <w:pStyle w:val="Heading3"/>
      </w:pPr>
      <w:r>
        <w:t xml:space="preserve">13.4 SCADA / Process Dashboards —</w:t>
      </w:r>
      <w:r>
        <w:t xml:space="preserve"> </w:t>
      </w:r>
      <w:r>
        <w:rPr>
          <w:rStyle w:val="VerbatimChar"/>
        </w:rPr>
        <w:t xml:space="preserve">FUTURE</w:t>
      </w:r>
    </w:p>
    <w:bookmarkStart w:id="323"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3"/>
    <w:bookmarkEnd w:id="324"/>
    <w:bookmarkEnd w:id="325"/>
    <w:bookmarkStart w:id="332" w:name="data-migration-conditional"/>
    <w:p>
      <w:pPr>
        <w:pStyle w:val="Heading2"/>
      </w:pPr>
      <w:r>
        <w:t xml:space="preserve">14. Data Migration —</w:t>
      </w:r>
      <w:r>
        <w:t xml:space="preserve"> </w:t>
      </w:r>
      <w:r>
        <w:rPr>
          <w:rStyle w:val="VerbatimChar"/>
        </w:rPr>
        <w:t xml:space="preserve">CONDITIONAL</w:t>
      </w:r>
    </w:p>
    <w:bookmarkStart w:id="331"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6"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6"/>
    <w:bookmarkStart w:id="327"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27"/>
    <w:bookmarkStart w:id="328"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28"/>
    <w:bookmarkStart w:id="329"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29"/>
    <w:bookmarkStart w:id="330"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3"/>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3"/>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3"/>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3"/>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0"/>
    <w:bookmarkEnd w:id="331"/>
    <w:bookmarkEnd w:id="332"/>
    <w:bookmarkStart w:id="343" w:name="deployment-commissioning-mvp"/>
    <w:p>
      <w:pPr>
        <w:pStyle w:val="Heading2"/>
      </w:pPr>
      <w:r>
        <w:t xml:space="preserve">15. Deployment &amp; Commissioning —</w:t>
      </w:r>
      <w:r>
        <w:t xml:space="preserve"> </w:t>
      </w:r>
      <w:r>
        <w:rPr>
          <w:rStyle w:val="VerbatimChar"/>
        </w:rPr>
        <w:t xml:space="preserve">MVP</w:t>
      </w:r>
    </w:p>
    <w:bookmarkStart w:id="339" w:name="deployment-approach"/>
    <w:p>
      <w:pPr>
        <w:pStyle w:val="Heading3"/>
      </w:pPr>
      <w:r>
        <w:t xml:space="preserve">15.1 Deployment Approach</w:t>
      </w:r>
    </w:p>
    <w:bookmarkStart w:id="333"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3"/>
    <w:bookmarkStart w:id="334"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4"/>
    <w:bookmarkStart w:id="335"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5"/>
    <w:bookmarkStart w:id="336"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6"/>
    <w:bookmarkStart w:id="337"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37"/>
    <w:bookmarkStart w:id="338"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38"/>
    <w:bookmarkEnd w:id="339"/>
    <w:bookmarkStart w:id="342" w:name="change-management"/>
    <w:p>
      <w:pPr>
        <w:pStyle w:val="Heading3"/>
      </w:pPr>
      <w:r>
        <w:t xml:space="preserve">15.2 Change Management</w:t>
      </w:r>
    </w:p>
    <w:bookmarkStart w:id="340"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0"/>
    <w:bookmarkStart w:id="341"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1"/>
    <w:bookmarkEnd w:id="342"/>
    <w:bookmarkEnd w:id="343"/>
    <w:bookmarkStart w:id="352" w:name="appendices"/>
    <w:p>
      <w:pPr>
        <w:pStyle w:val="Heading2"/>
      </w:pPr>
      <w:r>
        <w:t xml:space="preserve">Appendices</w:t>
      </w:r>
    </w:p>
    <w:bookmarkStart w:id="344"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44"/>
    <w:bookmarkStart w:id="345"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45"/>
    <w:bookmarkStart w:id="346"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46"/>
    <w:bookmarkStart w:id="347"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47"/>
    <w:bookmarkStart w:id="348"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48"/>
    <w:bookmarkStart w:id="349"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49"/>
    <w:bookmarkStart w:id="350"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0"/>
    <w:bookmarkStart w:id="351"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1"/>
    <w:bookmarkEnd w:id="352"/>
    <w:bookmarkStart w:id="353"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Revised 2026-04-20 (addenda):</w:t>
            </w:r>
            <w:r>
              <w:t xml:space="preserve"> </w:t>
            </w:r>
            <w:r>
              <w:t xml:space="preserve">dedicated ≈80% / shared ≈20% via</w:t>
            </w:r>
            <w:r>
              <w:t xml:space="preserve"> </w:t>
            </w:r>
            <w:r>
              <w:rPr>
                <w:rStyle w:val="VerbatimChar"/>
              </w:rPr>
              <w:t xml:space="preserve">TerminalMode</w:t>
            </w:r>
            <w:r>
              <w:t xml:space="preserve"> </w:t>
            </w:r>
            <w:r>
              <w:t xml:space="preserve">attribute,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Revised — Addenda</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2026-04-22T16:34:14Z</dcterms:created>
  <dcterms:modified xsi:type="dcterms:W3CDTF">2026-04-22T16:34:14Z</dcterms:modified>
</cp:coreProperties>
</file>

<file path=docProps/custom.xml><?xml version="1.0" encoding="utf-8"?>
<Properties xmlns="http://schemas.openxmlformats.org/officeDocument/2006/custom-properties" xmlns:vt="http://schemas.openxmlformats.org/officeDocument/2006/docPropsVTypes"/>
</file>