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pp-mes-user-journeys"/>
    <w:p>
      <w:pPr>
        <w:pStyle w:val="Heading1"/>
      </w:pPr>
      <w:r>
        <w:t xml:space="preserve">MPP MES — User Journeys</w:t>
      </w:r>
    </w:p>
    <w:p>
      <w:pPr>
        <w:pStyle w:val="FirstParagraph"/>
      </w:pPr>
      <w:r>
        <w:rPr>
          <w:b/>
          <w:bCs/>
        </w:rPr>
        <w:t xml:space="preserve">Project:</w:t>
      </w:r>
      <w:r>
        <w:t xml:space="preserve"> </w:t>
      </w:r>
      <w:r>
        <w:t xml:space="preserve">Madison Precision Products MES Replacement</w:t>
      </w:r>
      <w:r>
        <w:t xml:space="preserve"> </w:t>
      </w:r>
      <w:r>
        <w:rPr>
          <w:b/>
          <w:bCs/>
        </w:rPr>
        <w:t xml:space="preserve">Purpose:</w:t>
      </w:r>
      <w:r>
        <w:t xml:space="preserve"> </w:t>
      </w:r>
      <w:r>
        <w:t xml:space="preserve">Narrative walkthrough of the two primary user experiences — Configuration and Plant Floor</w:t>
      </w:r>
      <w:r>
        <w:t xml:space="preserve"> </w:t>
      </w:r>
      <w:r>
        <w:rPr>
          <w:b/>
          <w:bCs/>
        </w:rPr>
        <w:t xml:space="preserve">Status:</w:t>
      </w:r>
      <w:r>
        <w:t xml:space="preserve"> </w:t>
      </w:r>
      <w:r>
        <w:t xml:space="preserve">Working draft — assumptions and open decisions flagged at end</w:t>
      </w:r>
      <w:r>
        <w:t xml:space="preserve"> </w:t>
      </w:r>
      <w:r>
        <w:rPr>
          <w:b/>
          <w:bCs/>
        </w:rPr>
        <w:t xml:space="preserve">References:</w:t>
      </w:r>
      <w:r>
        <w:t xml:space="preserve"> </w:t>
      </w:r>
      <w:r>
        <w:rPr>
          <w:rStyle w:val="VerbatimChar"/>
        </w:rPr>
        <w:t xml:space="preserve">MPP_MES_SUMMARY.md</w:t>
      </w:r>
      <w:r>
        <w:t xml:space="preserve">,</w:t>
      </w:r>
      <w:r>
        <w:t xml:space="preserve"> </w:t>
      </w:r>
      <w:r>
        <w:rPr>
          <w:rStyle w:val="VerbatimChar"/>
        </w:rPr>
        <w:t xml:space="preserve">MPP_MES_DATA_MODEL.md</w:t>
      </w:r>
      <w:r>
        <w:t xml:space="preserve">, Scope Matrix</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w:t>
            </w:r>
          </w:p>
        </w:tc>
        <w:tc>
          <w:tcPr/>
          <w:p>
            <w:pPr>
              <w:pStyle w:val="Compact"/>
            </w:pPr>
            <w:r>
              <w:t xml:space="preserve">2026-04-06</w:t>
            </w:r>
          </w:p>
        </w:tc>
        <w:tc>
          <w:tcPr/>
          <w:p>
            <w:pPr>
              <w:pStyle w:val="Compact"/>
            </w:pPr>
            <w:r>
              <w:t xml:space="preserve">Blue Ridge Automation</w:t>
            </w:r>
          </w:p>
        </w:tc>
        <w:tc>
          <w:tcPr/>
          <w:p>
            <w:pPr>
              <w:pStyle w:val="Compact"/>
            </w:pPr>
            <w:r>
              <w:t xml:space="preserve">Initial user journeys — 2 narrative arcs, 19 assumptions, impact matrix, validation log</w:t>
            </w:r>
          </w:p>
        </w:tc>
      </w:tr>
      <w:tr>
        <w:tc>
          <w:tcPr>
            <w:shd w:val="clear" w:color="auto" w:fill="F2F2F2"/>
          </w:tcPr>
          <w:tcPr/>
          <w:p>
            <w:pPr>
              <w:pStyle w:val="Compact"/>
            </w:pPr>
            <w:r>
              <w:t xml:space="preserve">0.2</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 decision text and status tags to all 19 assumptions. 4 resolved (UJ-06, UJ-15 + mapped OI-01, OI-08, OI-09). 8 pending customer validation, 4 pending internal review (Ben), 7 remain open. Added status legend.</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t xml:space="preserve">UpperCamelCase naming convention applied to all DB references. Department references updated to Area per ISA-95.</w:t>
            </w:r>
          </w:p>
        </w:tc>
      </w:tr>
      <w:tr>
        <w:tc>
          <w:tcPr>
            <w:shd w:val="clear" w:color="auto" w:fill="F2F2F2"/>
          </w:tcPr>
          <w:tcPr/>
          <w:p>
            <w:pPr>
              <w:pStyle w:val="Compact"/>
            </w:pPr>
            <w:r>
              <w:t xml:space="preserve">0.4</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Location model references updated for the new three-tier polymorphic model (LocationType → LocationTypeDefinition → LocationAttributeDefinition). See FDS v0.4 for details.</w:t>
            </w:r>
          </w:p>
        </w:tc>
      </w:tr>
      <w:tr>
        <w:tc>
          <w:tcPr/>
          <w:p>
            <w:pPr>
              <w:pStyle w:val="Compact"/>
            </w:pPr>
            <w:r>
              <w:t xml:space="preserve">0.5</w:t>
            </w:r>
          </w:p>
        </w:tc>
        <w:tc>
          <w:tcPr/>
          <w:p>
            <w:pPr>
              <w:pStyle w:val="Compact"/>
            </w:pPr>
            <w:r>
              <w:t xml:space="preserve">2026-04-15</w:t>
            </w:r>
          </w:p>
        </w:tc>
        <w:tc>
          <w:tcPr/>
          <w:p>
            <w:pPr>
              <w:pStyle w:val="Compact"/>
            </w:pPr>
            <w:r>
              <w:t xml:space="preserve">Blue Ridge Automation</w:t>
            </w:r>
          </w:p>
        </w:tc>
        <w:tc>
          <w:tcPr/>
          <w:p>
            <w:pPr>
              <w:pStyle w:val="Compact"/>
            </w:pPr>
            <w:r>
              <w:t xml:space="preserve">Aligned to data model v1.3 and Phase 5/6 SQL delivery. Configuration Tool arc now reflects three-state versioning (Draft / Published / Deprecated) for RouteTemplate, OperationTemplate, and Bom — engineers author across sessions, publish to release for production, and deprecate rather than delete. OperationTemplate data collection described via the DataCollectionField junction (configurable per step) instead of hardcoded flags. Location management references the SortOrder + MoveUp/MoveDown arrow-button pattern (no drag-and-drop, per project convention). Plant Floor arc references HoldEvent as a single place/release lifecycle table consistent with DowntimeEvent. Added note that all Configuration Tool screens bind to Ignition Named Queries over stored procs returning a single result set (see FDS §11 FDS-11-011).</w:t>
            </w:r>
          </w:p>
        </w:tc>
      </w:tr>
      <w:tr>
        <w:tc>
          <w:tcPr>
            <w:shd w:val="clear" w:color="auto" w:fill="F2F2F2"/>
          </w:tcPr>
          <w:tcPr/>
          <w:p>
            <w:pPr>
              <w:pStyle w:val="Compact"/>
            </w:pPr>
            <w:r>
              <w:t xml:space="preserve">0.6</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Security model rewrite (OI-06 closed — Phase C of the 2026-04-20 OI review refactor).</w:t>
            </w:r>
            <w:r>
              <w:t xml:space="preserve"> </w:t>
            </w:r>
            <w:r>
              <w:t xml:space="preserve">Operator identity narrative updated end-to-end. Carlos Die Cast scene now shows the initials-based presence pattern (</w:t>
            </w:r>
            <w:r>
              <w:rPr>
                <w:rStyle w:val="VerbatimChar"/>
              </w:rPr>
              <w:t xml:space="preserve">CM</w:t>
            </w:r>
            <w:r>
              <w:t xml:space="preserve"> </w:t>
            </w:r>
            <w:r>
              <w:t xml:space="preserve">pre-populated on the LOT creation screen, defeasible before submit). UJ-§1</w:t>
            </w:r>
            <w:r>
              <w:t xml:space="preserve"> </w:t>
            </w:r>
            <w:r>
              <w:t xml:space="preserve">“Operator Authentication &amp; Session Model”</w:t>
            </w:r>
            <w:r>
              <w:t xml:space="preserve"> </w:t>
            </w:r>
            <w:r>
              <w:t xml:space="preserve">renamed to</w:t>
            </w:r>
            <w:r>
              <w:t xml:space="preserve"> </w:t>
            </w:r>
            <w:r>
              <w:t xml:space="preserve">“Operator Identity &amp; Elevation Model”</w:t>
            </w:r>
            <w:r>
              <w:t xml:space="preserve"> </w:t>
            </w:r>
            <w:r>
              <w:t xml:space="preserve">and closed as Resolved. 5-minute timeout, clock number, and PIN references removed. 30-minute idle re-confirmation popup described. Elevated actions use per-action AD prompts (no convenience login). See FDS §4 for the full specification.</w:t>
            </w:r>
          </w:p>
        </w:tc>
      </w:tr>
      <w:tr>
        <w:tc>
          <w:tcPr/>
          <w:p>
            <w:pPr>
              <w:pStyle w:val="Compact"/>
            </w:pPr>
            <w:r>
              <w:t xml:space="preserve">0.7</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Phase E Group 4 — narrative additions for OI-11, 15, 20, 22.</w:t>
            </w:r>
            <w:r>
              <w:t xml:space="preserve"> </w:t>
            </w:r>
            <w:r>
              <w:t xml:space="preserve">Arc 2 now references: (1) the</w:t>
            </w:r>
            <w:r>
              <w:t xml:space="preserve"> </w:t>
            </w:r>
            <w:r>
              <w:rPr>
                <w:b/>
                <w:bCs/>
              </w:rPr>
              <w:t xml:space="preserve">Track</w:t>
            </w:r>
            <w:r>
              <w:t xml:space="preserve"> </w:t>
            </w:r>
            <w:r>
              <w:t xml:space="preserve">tool at the Sort Cage scene — Diane enters a serial number into the home-tile Track screen and gets the full genealogy tree without leaving her context (OI-15 / FDS-12-012..014); (2) the</w:t>
            </w:r>
            <w:r>
              <w:t xml:space="preserve"> </w:t>
            </w:r>
            <w:r>
              <w:rPr>
                <w:b/>
                <w:bCs/>
              </w:rPr>
              <w:t xml:space="preserve">Part Identity Change</w:t>
            </w:r>
            <w:r>
              <w:t xml:space="preserve"> </w:t>
            </w:r>
            <w:r>
              <w:t xml:space="preserve">at the Casting → Trim Shop boundary — added a short scene showing the operator confirming the rename from the cast part number to the trim part number, creating the</w:t>
            </w:r>
            <w:r>
              <w:t xml:space="preserve"> </w:t>
            </w:r>
            <w:r>
              <w:rPr>
                <w:rStyle w:val="VerbatimChar"/>
              </w:rPr>
              <w:t xml:space="preserve">ItemTransform</w:t>
            </w:r>
            <w:r>
              <w:t xml:space="preserve"> </w:t>
            </w:r>
            <w:r>
              <w:t xml:space="preserve">row (OI-11 / FDS-05-033..035); (3)</w:t>
            </w:r>
            <w:r>
              <w:t xml:space="preserve"> </w:t>
            </w:r>
            <w:r>
              <w:rPr>
                <w:b/>
                <w:bCs/>
              </w:rPr>
              <w:t xml:space="preserve">Scrap source choice</w:t>
            </w:r>
            <w:r>
              <w:t xml:space="preserve"> </w:t>
            </w:r>
            <w:r>
              <w:t xml:space="preserve">called out in the Sort Cage disposition — Diane scraps from Location (in-process at the Machine Shop) vs Inventory (unallocated stock), clarifying the two buttons now present on Lot Details (OI-20 / FDS-06-023a); (4)</w:t>
            </w:r>
            <w:r>
              <w:t xml:space="preserve"> </w:t>
            </w:r>
            <w:r>
              <w:rPr>
                <w:b/>
                <w:bCs/>
              </w:rPr>
              <w:t xml:space="preserve">Hold Management screen</w:t>
            </w:r>
            <w:r>
              <w:t xml:space="preserve"> </w:t>
            </w:r>
            <w:r>
              <w:t xml:space="preserve">already described at the 1:15pm scene — reference updated to make explicit that it is the dedicated top-level Hold tile (OI-22 / FDS-08-007a). No new assumption rows added — these additions ride on existing UJ-03 (split), UJ-08 (merge), UJ-17 (vision conflict) threads.</w:t>
            </w:r>
          </w:p>
        </w:tc>
      </w:tr>
    </w:tbl>
    <w:p>
      <w:r>
        <w:pict>
          <v:rect style="width:0;height:1.5pt" o:hralign="center" o:hrstd="t" o:hr="t"/>
        </w:pict>
      </w:r>
    </w:p>
    <w:bookmarkEnd w:id="9"/>
    <w:bookmarkStart w:id="10" w:name="two-story-arcs"/>
    <w:p>
      <w:pPr>
        <w:pStyle w:val="Heading2"/>
      </w:pPr>
      <w:r>
        <w:t xml:space="preserve">Two Story Arcs</w:t>
      </w:r>
    </w:p>
    <w:p>
      <w:pPr>
        <w:pStyle w:val="FirstParagraph"/>
      </w:pPr>
      <w:r>
        <w:t xml:space="preserve">The MES has two fundamentally different audiences using the same underlying data model: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Arc</w:t>
            </w:r>
          </w:p>
        </w:tc>
        <w:tc>
          <w:tcPr>
            <w:shd w:val="clear" w:color="auto" w:fill="1F4E79"/>
          </w:tcPr>
          <w:tcPr/>
          <w:p>
            <w:pPr>
              <w:pStyle w:val="Compact"/>
            </w:pPr>
            <w:r>
              <w:rPr>
                <w:b/>
                <w:color w:val="FFFFFF"/>
              </w:rPr>
              <w:t xml:space="preserve">Who</w:t>
            </w:r>
          </w:p>
        </w:tc>
        <w:tc>
          <w:tcPr>
            <w:shd w:val="clear" w:color="auto" w:fill="1F4E79"/>
          </w:tcPr>
          <w:tcPr/>
          <w:p>
            <w:pPr>
              <w:pStyle w:val="Compact"/>
            </w:pPr>
            <w:r>
              <w:rPr>
                <w:b/>
                <w:color w:val="FFFFFF"/>
              </w:rPr>
              <w:t xml:space="preserve">When</w:t>
            </w:r>
          </w:p>
        </w:tc>
        <w:tc>
          <w:tcPr>
            <w:shd w:val="clear" w:color="auto" w:fill="1F4E79"/>
          </w:tcPr>
          <w:tcPr/>
          <w:p>
            <w:pPr>
              <w:pStyle w:val="Compact"/>
            </w:pPr>
            <w:r>
              <w:rPr>
                <w:b/>
                <w:color w:val="FFFFFF"/>
              </w:rPr>
              <w:t xml:space="preserve">What They See</w:t>
            </w:r>
          </w:p>
        </w:tc>
      </w:tr>
      <w:tr>
        <w:tc>
          <w:tcPr/>
          <w:p>
            <w:pPr>
              <w:pStyle w:val="Compact"/>
            </w:pPr>
            <w:r>
              <w:rPr>
                <w:b/>
                <w:bCs/>
              </w:rPr>
              <w:t xml:space="preserve">Configuration Tool</w:t>
            </w:r>
          </w:p>
        </w:tc>
        <w:tc>
          <w:tcPr/>
          <w:p>
            <w:pPr>
              <w:pStyle w:val="Compact"/>
            </w:pPr>
            <w:r>
              <w:t xml:space="preserve">Engineers, production control, IT</w:t>
            </w:r>
          </w:p>
        </w:tc>
        <w:tc>
          <w:tcPr/>
          <w:p>
            <w:pPr>
              <w:pStyle w:val="Compact"/>
            </w:pPr>
            <w:r>
              <w:t xml:space="preserve">Before production, during setup changes</w:t>
            </w:r>
          </w:p>
        </w:tc>
        <w:tc>
          <w:tcPr/>
          <w:p>
            <w:pPr>
              <w:pStyle w:val="Compact"/>
            </w:pPr>
            <w:r>
              <w:t xml:space="preserve">Plant model, item master, routes, specs, code tables</w:t>
            </w:r>
          </w:p>
        </w:tc>
      </w:tr>
      <w:tr>
        <w:tc>
          <w:tcPr>
            <w:shd w:val="clear" w:color="auto" w:fill="F2F2F2"/>
          </w:tcPr>
          <w:tcPr/>
          <w:p>
            <w:pPr>
              <w:pStyle w:val="Compact"/>
            </w:pPr>
            <w:r>
              <w:rPr>
                <w:b/>
                <w:bCs/>
              </w:rPr>
              <w:t xml:space="preserve">Plant Floor MES</w:t>
            </w:r>
          </w:p>
        </w:tc>
        <w:tc>
          <w:tcPr>
            <w:shd w:val="clear" w:color="auto" w:fill="F2F2F2"/>
          </w:tcPr>
          <w:tcPr/>
          <w:p>
            <w:pPr>
              <w:pStyle w:val="Compact"/>
            </w:pPr>
            <w:r>
              <w:t xml:space="preserve">Operators, supervisors, quality, shipping</w:t>
            </w:r>
          </w:p>
        </w:tc>
        <w:tc>
          <w:tcPr>
            <w:shd w:val="clear" w:color="auto" w:fill="F2F2F2"/>
          </w:tcPr>
          <w:tcPr/>
          <w:p>
            <w:pPr>
              <w:pStyle w:val="Compact"/>
            </w:pPr>
            <w:r>
              <w:t xml:space="preserve">Every shift, all day</w:t>
            </w:r>
          </w:p>
        </w:tc>
        <w:tc>
          <w:tcPr>
            <w:shd w:val="clear" w:color="auto" w:fill="F2F2F2"/>
          </w:tcPr>
          <w:tcPr/>
          <w:p>
            <w:pPr>
              <w:pStyle w:val="Compact"/>
            </w:pPr>
            <w:r>
              <w:t xml:space="preserve">LOT creation, production recording, container packing, holds</w:t>
            </w:r>
          </w:p>
        </w:tc>
      </w:tr>
    </w:tbl>
    <w:p>
      <w:pPr>
        <w:pStyle w:val="BodyText"/>
      </w:pPr>
      <w:r>
        <w:t xml:space="preserve">The configuration tool creates the rules. The plant floor MES enforces them.</w:t>
      </w:r>
    </w:p>
    <w:p>
      <w:r>
        <w:pict>
          <v:rect style="width:0;height:1.5pt" o:hralign="center" o:hrstd="t" o:hr="t"/>
        </w:pict>
      </w:r>
    </w:p>
    <w:bookmarkEnd w:id="10"/>
    <w:bookmarkStart w:id="16" w:name="X8a62b6bbd3b7dbd28b80423735197bca531f61b"/>
    <w:p>
      <w:pPr>
        <w:pStyle w:val="Heading2"/>
      </w:pPr>
      <w:r>
        <w:t xml:space="preserve">Arc 1: The Configuration Tool —</w:t>
      </w:r>
      <w:r>
        <w:t xml:space="preserve"> </w:t>
      </w:r>
      <w:r>
        <w:t xml:space="preserve">“Before the First Part Moves”</w:t>
      </w:r>
    </w:p>
    <w:p>
      <w:pPr>
        <w:pStyle w:val="FirstParagraph"/>
      </w:pPr>
      <w:r>
        <w:t xml:space="preserve">Before a single LOT can be created on the shop floor, an engineer at Madison Precision Products has to teach the MES what the plant looks like, what it makes, and how it makes it. This is the configuration tool — the Ignition Perspective application that probably lives behind a different navigation root than the shop floor screens, accessible only to users whose AD accounts carry an engineering or admin role in Ignition.</w:t>
      </w:r>
    </w:p>
    <w:bookmarkStart w:id="11" w:name="building-the-plant"/>
    <w:p>
      <w:pPr>
        <w:pStyle w:val="Heading3"/>
      </w:pPr>
      <w:r>
        <w:t xml:space="preserve">Building the Plant</w:t>
      </w:r>
    </w:p>
    <w:p>
      <w:pPr>
        <w:pStyle w:val="FirstParagraph"/>
      </w:pPr>
      <w:r>
        <w:t xml:space="preserve">The engineer’s first job is the plant model. They open the Location Management screen and start building the hierarchy from the top down. Madison Precision Products is the Site. Under it, they create Areas — maybe the physical buildings or wings. These are the Areas: Die Cast, Trim Shop, Machine Shop, Production Control. Under areas, Lines. Under lines, individual Machines — all ~230 of them. Each one is just a row in the same</w:t>
      </w:r>
      <w:r>
        <w:t xml:space="preserve"> </w:t>
      </w:r>
      <w:r>
        <w:rPr>
          <w:rStyle w:val="VerbatimChar"/>
        </w:rPr>
        <w:t xml:space="preserve">Location</w:t>
      </w:r>
      <w:r>
        <w:t xml:space="preserve"> </w:t>
      </w:r>
      <w:r>
        <w:t xml:space="preserve">table, differentiated by its</w:t>
      </w:r>
      <w:r>
        <w:t xml:space="preserve"> </w:t>
      </w:r>
      <w:r>
        <w:rPr>
          <w:rStyle w:val="VerbatimChar"/>
        </w:rPr>
        <w:t xml:space="preserve">LocationType</w:t>
      </w:r>
      <w:r>
        <w:t xml:space="preserve">.</w:t>
      </w:r>
    </w:p>
    <w:p>
      <w:pPr>
        <w:pStyle w:val="BodyText"/>
      </w:pPr>
      <w:r>
        <w:t xml:space="preserve">As they create each machine, the system shows them the attribute definitions for that location type. A Die Cast machine might need</w:t>
      </w:r>
      <w:r>
        <w:t xml:space="preserve"> </w:t>
      </w:r>
      <w:r>
        <w:rPr>
          <w:rStyle w:val="VerbatimChar"/>
        </w:rPr>
        <w:t xml:space="preserve">Tonnage</w:t>
      </w:r>
      <w:r>
        <w:t xml:space="preserve">,</w:t>
      </w:r>
      <w:r>
        <w:t xml:space="preserve"> </w:t>
      </w:r>
      <w:r>
        <w:rPr>
          <w:rStyle w:val="VerbatimChar"/>
        </w:rPr>
        <w:t xml:space="preserve">RefCycleTimeSec</w:t>
      </w:r>
      <w:r>
        <w:t xml:space="preserve">, and</w:t>
      </w:r>
      <w:r>
        <w:t xml:space="preserve"> </w:t>
      </w:r>
      <w:r>
        <w:rPr>
          <w:rStyle w:val="VerbatimChar"/>
        </w:rPr>
        <w:t xml:space="preserve">NumberOfCavities</w:t>
      </w:r>
      <w:r>
        <w:t xml:space="preserve">. A machining center might need</w:t>
      </w:r>
      <w:r>
        <w:t xml:space="preserve"> </w:t>
      </w:r>
      <w:r>
        <w:rPr>
          <w:rStyle w:val="VerbatimChar"/>
        </w:rPr>
        <w:t xml:space="preserve">SpindleCount</w:t>
      </w:r>
      <w:r>
        <w:t xml:space="preserve"> </w:t>
      </w:r>
      <w:r>
        <w:t xml:space="preserve">and</w:t>
      </w:r>
      <w:r>
        <w:t xml:space="preserve"> </w:t>
      </w:r>
      <w:r>
        <w:rPr>
          <w:rStyle w:val="VerbatimChar"/>
        </w:rPr>
        <w:t xml:space="preserve">CoolantType</w:t>
      </w:r>
      <w:r>
        <w:t xml:space="preserve">. These attribute definitions were themselves configured earlier — someone decided what metadata each type of location carries. The engineer fills in the values. They also create the logical locations: Receiving Dock, Shipping Dock, WIP Storage, Sort Cage. These are Inventory Location types — they don’t have cycle times, but they’re real places where LOTs live.</w:t>
      </w:r>
    </w:p>
    <w:p>
      <w:pPr>
        <w:pStyle w:val="BodyText"/>
      </w:pPr>
      <w:r>
        <w:t xml:space="preserve">Then they set up terminals. Each Ignition client station on the floor gets a</w:t>
      </w:r>
      <w:r>
        <w:t xml:space="preserve"> </w:t>
      </w:r>
      <w:r>
        <w:rPr>
          <w:rStyle w:val="VerbatimChar"/>
        </w:rPr>
        <w:t xml:space="preserve">Terminal</w:t>
      </w:r>
      <w:r>
        <w:t xml:space="preserve"> </w:t>
      </w:r>
      <w:r>
        <w:t xml:space="preserve">record — its IP address, which location it’s at, which Zebra printer it talks to, whether it has a barcode scanner. This is how the system knows that when operator Maria scans a LOT at terminal DC-05, that action happened at Die Cast Machine #5, and any label it prints goes to the Zebra on the table next to her.</w:t>
      </w:r>
    </w:p>
    <w:bookmarkEnd w:id="11"/>
    <w:bookmarkStart w:id="12" w:name="defining-what-we-make"/>
    <w:p>
      <w:pPr>
        <w:pStyle w:val="Heading3"/>
      </w:pPr>
      <w:r>
        <w:t xml:space="preserve">Defining What We Make</w:t>
      </w:r>
    </w:p>
    <w:p>
      <w:pPr>
        <w:pStyle w:val="FirstParagraph"/>
      </w:pPr>
      <w:r>
        <w:t xml:space="preserve">Next, the item master. The engineer creates items — each one a part number that MPP either manufactures or receives from a vendor. They classify each item: Raw Material, Component, Sub-Assembly, Finished Good, Pass-Through. They set the Macola ERP cross-reference number for each part so the two systems can talk when that integration goes live. They set the default sub-lot quantity — how many pieces go into each sub-LOT when a parent LOT is split after machining. They set the max lot size for reasonability checks.</w:t>
      </w:r>
    </w:p>
    <w:p>
      <w:pPr>
        <w:pStyle w:val="BodyText"/>
      </w:pPr>
      <w:r>
        <w:t xml:space="preserve">For each finished good that ships to Honda, they create a container configuration. The 5G0 Front Cover, for example, ships in containers with 4 trays, 12 parts per tray, serialized, with dunnage code RD-5G0F. The RPY Cam Holder ships 6 trays, 24 per tray, not serialized. These configs drive the container lifecycle on the floor — the MES knows when a container is full.</w:t>
      </w:r>
    </w:p>
    <w:bookmarkEnd w:id="12"/>
    <w:bookmarkStart w:id="13" w:name="defining-how-we-make-it"/>
    <w:p>
      <w:pPr>
        <w:pStyle w:val="Heading3"/>
      </w:pPr>
      <w:r>
        <w:t xml:space="preserve">Defining How We Make It</w:t>
      </w:r>
    </w:p>
    <w:p>
      <w:pPr>
        <w:pStyle w:val="FirstParagraph"/>
      </w:pPr>
      <w:r>
        <w:t xml:space="preserve">Now routes. The engineer creates a route template for each item — the ordered sequence of operations it passes through. The 5G0 Front Cover route might be: Die Cast → Trim → Machine (CNC) → Assembly Front → Pack &amp; Ship. Each step in the route points to an operation template — a reusable definition of what data to collect at that type of operation. The Die Cast operation template says: collect die info, collect cavity info, collect weight, collect good count, collect bad count. The Assembly operation template says: requires serial number, requires material verification, collects good count. These flags drive the UI — the shop floor screen at an assembly station looks different from the one at a die cast press because the operation template tells it what fields to show.</w:t>
      </w:r>
    </w:p>
    <w:p>
      <w:pPr>
        <w:pStyle w:val="BodyText"/>
      </w:pPr>
      <w:r>
        <w:t xml:space="preserve">The engineer also creates the part-to-location eligibility map. Not every machine can run every part. The 5G0 can run on Die Cast machines 3, 7, and 12, but not on machine 15 (wrong tonnage). This map is what lets the MES validate that when an operator starts producing 5G0 parts on machine 7, that’s a legal combination.</w:t>
      </w:r>
    </w:p>
    <w:p>
      <w:pPr>
        <w:pStyle w:val="BodyText"/>
      </w:pPr>
      <w:r>
        <w:t xml:space="preserve">For assembled products with BOMs, the engineer creates versioned bills of material. The 5G0 Front Cover Assembly consumes one 5G0 casting and two PNA mounting pins. Version 1 of the BOM is effective from January 2026. If engineering changes the design in March, they create version 2 — but every production record from January still points to version 1.</w:t>
      </w:r>
    </w:p>
    <w:bookmarkEnd w:id="13"/>
    <w:bookmarkStart w:id="14" w:name="defining-quality-standards"/>
    <w:p>
      <w:pPr>
        <w:pStyle w:val="Heading3"/>
      </w:pPr>
      <w:r>
        <w:t xml:space="preserve">Defining Quality Standards</w:t>
      </w:r>
    </w:p>
    <w:p>
      <w:pPr>
        <w:pStyle w:val="FirstParagraph"/>
      </w:pPr>
      <w:r>
        <w:t xml:space="preserve">The engineer creates quality specs — also versioned. For the 5G0 Front Cover, the spec says: measure surface flatness (target 0.002”, lower limit 0.001”, upper limit 0.003”), check bore diameter (target 25.40mm ± 0.02mm), visual inspection for porosity (pass/fail). Each attribute has its data type, UOM, target, and limits. When an inspector on the floor takes a sample, the screen they see is generated from this spec — the system knows what to ask for because the engineer defined it here.</w:t>
      </w:r>
    </w:p>
    <w:p>
      <w:pPr>
        <w:pStyle w:val="BodyText"/>
      </w:pPr>
      <w:r>
        <w:t xml:space="preserve">They also load the defect codes — approximately 145 of them, organized by department. Die Cast gets codes for porosity (135), cold shut, flash, misrun. Machine Shop gets codes for out-of-tolerance (122</w:t>
      </w:r>
      <w:r>
        <w:t xml:space="preserve"> </w:t>
      </w:r>
      <w:r>
        <w:t xml:space="preserve">“Dimensional”</w:t>
      </w:r>
      <w:r>
        <w:t xml:space="preserve">), tool marks (154), surface finish (143). There are also codes for Trim Shop, Production Control, Quality Control, and a High Speed Supplier Parts (HSP) department for vendor-part defects (codes 247–253). Each code carries an</w:t>
      </w:r>
      <w:r>
        <w:t xml:space="preserve"> </w:t>
      </w:r>
      <w:r>
        <w:rPr>
          <w:rStyle w:val="VerbatimChar"/>
        </w:rPr>
        <w:t xml:space="preserve">IsExcused</w:t>
      </w:r>
      <w:r>
        <w:t xml:space="preserve"> </w:t>
      </w:r>
      <w:r>
        <w:t xml:space="preserve">flag for future OEE quality calculations.</w:t>
      </w:r>
    </w:p>
    <w:bookmarkEnd w:id="14"/>
    <w:bookmarkStart w:id="15" w:name="defining-downtime-vocabulary"/>
    <w:p>
      <w:pPr>
        <w:pStyle w:val="Heading3"/>
      </w:pPr>
      <w:r>
        <w:t xml:space="preserve">Defining Downtime Vocabulary</w:t>
      </w:r>
    </w:p>
    <w:p>
      <w:pPr>
        <w:pStyle w:val="FirstParagraph"/>
      </w:pPr>
      <w:r>
        <w:t xml:space="preserve">Finally, the ~660 downtime reason codes. Equipment failure on the 400-ton press. Mold change on die #7. Quality hold on line 3. Scheduled maintenance. Each code belongs to a department and a type (Equipment, Mold, Quality, Setup, Miscellaneous, Unscheduled), and carries an</w:t>
      </w:r>
      <w:r>
        <w:t xml:space="preserve"> </w:t>
      </w:r>
      <w:r>
        <w:rPr>
          <w:rStyle w:val="VerbatimChar"/>
        </w:rPr>
        <w:t xml:space="preserve">IsExcused</w:t>
      </w:r>
      <w:r>
        <w:t xml:space="preserve"> </w:t>
      </w:r>
      <w:r>
        <w:t xml:space="preserve">flag. Shift schedules get defined here too — first shift 6am–2pm Monday through Friday, second shift 2pm–10pm, weekend overtime pattern.</w:t>
      </w:r>
    </w:p>
    <w:p>
      <w:pPr>
        <w:pStyle w:val="BodyText"/>
      </w:pPr>
      <w:r>
        <w:t xml:space="preserve">Every one of these configuration changes is logged to</w:t>
      </w:r>
      <w:r>
        <w:t xml:space="preserve"> </w:t>
      </w:r>
      <w:r>
        <w:rPr>
          <w:rStyle w:val="VerbatimChar"/>
        </w:rPr>
        <w:t xml:space="preserve">ConfigLog</w:t>
      </w:r>
      <w:r>
        <w:t xml:space="preserve"> </w:t>
      </w:r>
      <w:r>
        <w:t xml:space="preserve">— who changed what, when, what the old value was.</w:t>
      </w:r>
    </w:p>
    <w:p>
      <w:r>
        <w:pict>
          <v:rect style="width:0;height:1.5pt" o:hralign="center" o:hrstd="t" o:hr="t"/>
        </w:pict>
      </w:r>
    </w:p>
    <w:bookmarkEnd w:id="15"/>
    <w:bookmarkEnd w:id="16"/>
    <w:bookmarkStart w:id="26" w:name="X9d3dbf4d142c75b298042d81841f871b0d06ec6"/>
    <w:p>
      <w:pPr>
        <w:pStyle w:val="Heading2"/>
      </w:pPr>
      <w:r>
        <w:t xml:space="preserve">Arc 2: The Plant Floor MES —</w:t>
      </w:r>
      <w:r>
        <w:t xml:space="preserve"> </w:t>
      </w:r>
      <w:r>
        <w:t xml:space="preserve">“A Day in the Life of a LOT”</w:t>
      </w:r>
    </w:p>
    <w:p>
      <w:pPr>
        <w:pStyle w:val="FirstParagraph"/>
      </w:pPr>
      <w:r>
        <w:t xml:space="preserve">It’s 6:15am on a Tuesday. First shift has started. The aluminum is already molten.</w:t>
      </w:r>
    </w:p>
    <w:bookmarkStart w:id="17" w:name="am-die-cast-a-lot-is-born"/>
    <w:p>
      <w:pPr>
        <w:pStyle w:val="Heading3"/>
      </w:pPr>
      <w:r>
        <w:t xml:space="preserve">6:20am — Die Cast: A LOT Is Born</w:t>
      </w:r>
    </w:p>
    <w:p>
      <w:pPr>
        <w:pStyle w:val="FirstParagraph"/>
      </w:pPr>
      <w:r>
        <w:t xml:space="preserve">Carlos is running die cast machine #7 today. He’s making 5G0 Front Covers — die #42, cavity B. The furnace is hot, the die is locked, and the first shot cycle completes. The casting drops into the trim press, gets trimmed, and falls into the basket beside his station.</w:t>
      </w:r>
    </w:p>
    <w:p>
      <w:pPr>
        <w:pStyle w:val="BodyText"/>
      </w:pPr>
      <w:r>
        <w:t xml:space="preserve">Carlos has a stack of pre-printed LOT Tracking Tickets — barcoded labels, each with a unique LOT ID (MPP pre-prints these in batches per FRS 2.2.1). He peels one off — LOT</w:t>
      </w:r>
      <w:r>
        <w:t xml:space="preserve"> </w:t>
      </w:r>
      <w:r>
        <w:rPr>
          <w:rStyle w:val="VerbatimChar"/>
        </w:rPr>
        <w:t xml:space="preserve">2026-04-06-0001</w:t>
      </w:r>
      <w:r>
        <w:t xml:space="preserve"> </w:t>
      </w:r>
      <w:r>
        <w:t xml:space="preserve">— and sticks it on the basket. He turns to the Ignition terminal next to his machine, scans the LTT barcode, and the MES opens the LOT creation screen. The terminal is dedicated to Machine #7, so it already has his operator presence set — he tapped his initials</w:t>
      </w:r>
      <w:r>
        <w:t xml:space="preserve"> </w:t>
      </w:r>
      <w:r>
        <w:rPr>
          <w:b/>
          <w:bCs/>
        </w:rPr>
        <w:t xml:space="preserve">CM</w:t>
      </w:r>
      <w:r>
        <w:t xml:space="preserve"> </w:t>
      </w:r>
      <w:r>
        <w:t xml:space="preserve">on the keypad when he started his shift, and the LOT creation screen pre-populates the Initials field with</w:t>
      </w:r>
      <w:r>
        <w:t xml:space="preserve"> </w:t>
      </w:r>
      <w:r>
        <w:rPr>
          <w:rStyle w:val="VerbatimChar"/>
        </w:rPr>
        <w:t xml:space="preserve">CM</w:t>
      </w:r>
      <w:r>
        <w:t xml:space="preserve"> </w:t>
      </w:r>
      <w:r>
        <w:t xml:space="preserve">(he can override it before submitting if a pair-working partner is entering data on his behalf). He manually enters the production data: Part Number 5G0, Die #42, Cavity B, and the piece count — 48 parts in this basket (per FRS 2.2.2:</w:t>
      </w:r>
      <w:r>
        <w:t xml:space="preserve"> </w:t>
      </w:r>
      <w:r>
        <w:t xml:space="preserve">“operators manually key that data into the MES”</w:t>
      </w:r>
      <w:r>
        <w:t xml:space="preserve">). The MES validates: is 48 ≤ max lot size for 5G0? Yes. Is 5G0 eligible to run on machine #7? Yes.</w:t>
      </w:r>
    </w:p>
    <w:p>
      <w:pPr>
        <w:pStyle w:val="BodyText"/>
      </w:pPr>
      <w:r>
        <w:t xml:space="preserve">He also enters shot counts — total shots, good shots, and warm-up shots. The paper production sheets (DCFM-1589/1785/2003) track warm-up shots separately from production shots because they affect yield calculations but aren’t part of the good count. The MES captures all three.</w:t>
      </w:r>
    </w:p>
    <w:p>
      <w:pPr>
        <w:pStyle w:val="BodyText"/>
      </w:pPr>
      <w:r>
        <w:t xml:space="preserve">The system creates the LOT. Origin type: MANUFACTURED. Status: GOOD. Location: Die Cast Machine #7. It writes a</w:t>
      </w:r>
      <w:r>
        <w:t xml:space="preserve"> </w:t>
      </w:r>
      <w:r>
        <w:rPr>
          <w:rStyle w:val="VerbatimChar"/>
        </w:rPr>
        <w:t xml:space="preserve">ProductionEvent</w:t>
      </w:r>
      <w:r>
        <w:t xml:space="preserve"> </w:t>
      </w:r>
      <w:r>
        <w:t xml:space="preserve">— 48 good, 0 no-good. It fires the Zebra printer and the LTT label comes out with the barcode, part number, quantity, date, die, cavity. The</w:t>
      </w:r>
      <w:r>
        <w:t xml:space="preserve"> </w:t>
      </w:r>
      <w:r>
        <w:rPr>
          <w:rStyle w:val="VerbatimChar"/>
        </w:rPr>
        <w:t xml:space="preserve">LotLabel</w:t>
      </w:r>
      <w:r>
        <w:t xml:space="preserve"> </w:t>
      </w:r>
      <w:r>
        <w:t xml:space="preserve">table records this print. The</w:t>
      </w:r>
      <w:r>
        <w:t xml:space="preserve"> </w:t>
      </w:r>
      <w:r>
        <w:rPr>
          <w:rStyle w:val="VerbatimChar"/>
        </w:rPr>
        <w:t xml:space="preserve">OperationLog</w:t>
      </w:r>
      <w:r>
        <w:t xml:space="preserve"> </w:t>
      </w:r>
      <w:r>
        <w:t xml:space="preserve">records everything Carlos just did.</w:t>
      </w:r>
    </w:p>
    <w:p>
      <w:pPr>
        <w:pStyle w:val="BodyText"/>
      </w:pPr>
      <w:r>
        <w:t xml:space="preserve">Carlos had 3 no-good parts from an earlier shot — porosity. He enters the reject count and selects defect code DC-POR-01 (Die Cast Porosity), quantity 3. A</w:t>
      </w:r>
      <w:r>
        <w:t xml:space="preserve"> </w:t>
      </w:r>
      <w:r>
        <w:rPr>
          <w:rStyle w:val="VerbatimChar"/>
        </w:rPr>
        <w:t xml:space="preserve">RejectEvent</w:t>
      </w:r>
      <w:r>
        <w:t xml:space="preserve"> </w:t>
      </w:r>
      <w:r>
        <w:t xml:space="preserve">is written. Per FRS Section 4, reject/scrap data is retained for analysis but is not considered part of the permanent production record in the same way good counts are — MPP may elect not to record rejects at every manufacturing step, and the MES allows but does not require reject entry at each operation. The LOT’s piece count doesn’t change — the rejects were never in the basket.</w:t>
      </w:r>
    </w:p>
    <w:p>
      <w:pPr>
        <w:pStyle w:val="BodyText"/>
      </w:pPr>
      <w:r>
        <w:t xml:space="preserve">He has a downtime event too — the die stuck at 6:45am, took 12 minutes to clear. He logs it: reason code EQ-DIE-STICK, start 6:45, end 6:57. If the PLC had detected it first, the</w:t>
      </w:r>
      <w:r>
        <w:t xml:space="preserve"> </w:t>
      </w:r>
      <w:r>
        <w:rPr>
          <w:rStyle w:val="VerbatimChar"/>
        </w:rPr>
        <w:t xml:space="preserve">DowntimeEvent</w:t>
      </w:r>
      <w:r>
        <w:t xml:space="preserve"> </w:t>
      </w:r>
      <w:r>
        <w:t xml:space="preserve">would have been created automatically with source=PLC, and Carlos would just need to assign the reason code. Note: the legacy paper forms track downtime as cumulative minutes subtracted from a 425-minute base runtime (with adjustments for lunch, breaks, and overtime). The new MES captures discrete start/end events, which is a more granular model — the cumulative shift total is derived from the events rather than entered directly.</w:t>
      </w:r>
    </w:p>
    <w:bookmarkEnd w:id="17"/>
    <w:bookmarkStart w:id="18" w:name="Xcdd0e2985736a1da659a0c9e6efc28a353afad3"/>
    <w:p>
      <w:pPr>
        <w:pStyle w:val="Heading3"/>
      </w:pPr>
      <w:r>
        <w:t xml:space="preserve">8:30am — Trim Shop: LOT Moves Through the Plant — and Changes Identity</w:t>
      </w:r>
    </w:p>
    <w:p>
      <w:pPr>
        <w:pStyle w:val="FirstParagraph"/>
      </w:pPr>
      <w:r>
        <w:t xml:space="preserve">The basket with LOT</w:t>
      </w:r>
      <w:r>
        <w:t xml:space="preserve"> </w:t>
      </w:r>
      <w:r>
        <w:rPr>
          <w:rStyle w:val="VerbatimChar"/>
        </w:rPr>
        <w:t xml:space="preserve">2026-04-06-0001</w:t>
      </w:r>
      <w:r>
        <w:t xml:space="preserve"> </w:t>
      </w:r>
      <w:r>
        <w:t xml:space="preserve">gets wheeled to the Trim Shop. An operator there scans the LTT barcode. The MES records a</w:t>
      </w:r>
      <w:r>
        <w:t xml:space="preserve"> </w:t>
      </w:r>
      <w:r>
        <w:rPr>
          <w:rStyle w:val="VerbatimChar"/>
        </w:rPr>
        <w:t xml:space="preserve">LotMovement</w:t>
      </w:r>
      <w:r>
        <w:t xml:space="preserve"> </w:t>
      </w:r>
      <w:r>
        <w:t xml:space="preserve">— from Die Cast Machine #7 to Trim Area.</w:t>
      </w:r>
    </w:p>
    <w:p>
      <w:pPr>
        <w:pStyle w:val="BodyText"/>
      </w:pPr>
      <w:r>
        <w:t xml:space="preserve">The Trim Shop has a different counting method than Die Cast. Parts come out of trim/deburr/wash in bulk, so the operator weighs the basket on a scale, reads the net weight, and the MES calculates a theoretical piece count based on the item’s</w:t>
      </w:r>
      <w:r>
        <w:t xml:space="preserve"> </w:t>
      </w:r>
      <w:r>
        <w:rPr>
          <w:rStyle w:val="VerbatimChar"/>
        </w:rPr>
        <w:t xml:space="preserve">UnitWeight</w:t>
      </w:r>
      <w:r>
        <w:t xml:space="preserve"> </w:t>
      </w:r>
      <w:r>
        <w:t xml:space="preserve">(per FRS 2.2.3). If the calculated count differs from the LOT’s current piece count, the operator can update it — the MES records the adjustment but takes no further action on a count discrepancy (FRS 2.2.3:</w:t>
      </w:r>
      <w:r>
        <w:t xml:space="preserve"> </w:t>
      </w:r>
      <w:r>
        <w:t xml:space="preserve">“MES takes no specific action if the LOT quantity has changed”</w:t>
      </w:r>
      <w:r>
        <w:t xml:space="preserve">). The</w:t>
      </w:r>
      <w:r>
        <w:t xml:space="preserve"> </w:t>
      </w:r>
      <w:r>
        <w:rPr>
          <w:rStyle w:val="VerbatimChar"/>
        </w:rPr>
        <w:t xml:space="preserve">LotAttributeChange</w:t>
      </w:r>
      <w:r>
        <w:t xml:space="preserve"> </w:t>
      </w:r>
      <w:r>
        <w:t xml:space="preserve">table logs the old and new values. Another</w:t>
      </w:r>
      <w:r>
        <w:t xml:space="preserve"> </w:t>
      </w:r>
      <w:r>
        <w:rPr>
          <w:rStyle w:val="VerbatimChar"/>
        </w:rPr>
        <w:t xml:space="preserve">ProductionEvent</w:t>
      </w:r>
      <w:r>
        <w:t xml:space="preserve"> </w:t>
      </w:r>
      <w:r>
        <w:t xml:space="preserve">records the Trim operation completion.</w:t>
      </w:r>
    </w:p>
    <w:p>
      <w:pPr>
        <w:pStyle w:val="BodyText"/>
      </w:pPr>
      <w:r>
        <w:rPr>
          <w:b/>
          <w:bCs/>
        </w:rPr>
        <w:t xml:space="preserve">Part-identity change (OI-11):</w:t>
      </w:r>
      <w:r>
        <w:t xml:space="preserve"> </w:t>
      </w:r>
      <w:r>
        <w:t xml:space="preserve">MPP parts change part number as they cross into the Trim Shop — the cast part is</w:t>
      </w:r>
      <w:r>
        <w:t xml:space="preserve"> </w:t>
      </w:r>
      <w:r>
        <w:rPr>
          <w:rStyle w:val="VerbatimChar"/>
        </w:rPr>
        <w:t xml:space="preserve">5G0-CAST-4102</w:t>
      </w:r>
      <w:r>
        <w:t xml:space="preserve">, the trim part is</w:t>
      </w:r>
      <w:r>
        <w:t xml:space="preserve"> </w:t>
      </w:r>
      <w:r>
        <w:rPr>
          <w:rStyle w:val="VerbatimChar"/>
        </w:rPr>
        <w:t xml:space="preserve">5G0-TRIM-4102</w:t>
      </w:r>
      <w:r>
        <w:t xml:space="preserve">. The MES prompts:</w:t>
      </w:r>
      <w:r>
        <w:t xml:space="preserve"> </w:t>
      </w:r>
      <w:r>
        <w:rPr>
          <w:i/>
          <w:iCs/>
        </w:rPr>
        <w:t xml:space="preserve">“This LOT is 5G0-CAST-4102. Receive as 5G0-TRIM-4102?”</w:t>
      </w:r>
      <w:r>
        <w:t xml:space="preserve">. The operator confirms. The MES creates a new destination LOT under the trim part number, the source cast LOT decrements, and a</w:t>
      </w:r>
      <w:r>
        <w:t xml:space="preserve"> </w:t>
      </w:r>
      <w:r>
        <w:rPr>
          <w:rStyle w:val="VerbatimChar"/>
        </w:rPr>
        <w:t xml:space="preserve">Parts.ItemTransform</w:t>
      </w:r>
      <w:r>
        <w:t xml:space="preserve"> </w:t>
      </w:r>
      <w:r>
        <w:t xml:space="preserve">row captures the bridge so Honda queries resolve across the rename (FDS-05-033 through FDS-05-035). Genealogy still flows through</w:t>
      </w:r>
      <w:r>
        <w:t xml:space="preserve"> </w:t>
      </w:r>
      <w:r>
        <w:rPr>
          <w:rStyle w:val="VerbatimChar"/>
        </w:rPr>
        <w:t xml:space="preserve">LotGenealogy</w:t>
      </w:r>
      <w:r>
        <w:t xml:space="preserve">;</w:t>
      </w:r>
      <w:r>
        <w:t xml:space="preserve"> </w:t>
      </w:r>
      <w:r>
        <w:rPr>
          <w:rStyle w:val="VerbatimChar"/>
        </w:rPr>
        <w:t xml:space="preserve">ItemTransform</w:t>
      </w:r>
      <w:r>
        <w:t xml:space="preserve"> </w:t>
      </w:r>
      <w:r>
        <w:t xml:space="preserve">layers the part-number change on top so a backward trace from a shipped trim LOT cleanly threads back to the cast LOT.</w:t>
      </w:r>
    </w:p>
    <w:bookmarkEnd w:id="18"/>
    <w:bookmarkStart w:id="19" w:name="am-machining-the-lot-splits"/>
    <w:p>
      <w:pPr>
        <w:pStyle w:val="Heading3"/>
      </w:pPr>
      <w:r>
        <w:t xml:space="preserve">10:00am — Machining: The LOT Splits</w:t>
      </w:r>
    </w:p>
    <w:p>
      <w:pPr>
        <w:pStyle w:val="FirstParagraph"/>
      </w:pPr>
      <w:r>
        <w:t xml:space="preserve">The basket arrives at the Machine Shop and enters the FIFO queue — LOTs are processed first-in-first-out, though the operator can override the order if production needs require it (per FRS 2.2.4).</w:t>
      </w:r>
    </w:p>
    <w:p>
      <w:pPr>
        <w:pStyle w:val="BodyText"/>
      </w:pPr>
      <w:r>
        <w:t xml:space="preserve">The machining operator uses the</w:t>
      </w:r>
      <w:r>
        <w:t xml:space="preserve"> </w:t>
      </w:r>
      <w:r>
        <w:rPr>
          <w:b/>
          <w:bCs/>
        </w:rPr>
        <w:t xml:space="preserve">Machining IN</w:t>
      </w:r>
      <w:r>
        <w:t xml:space="preserve"> </w:t>
      </w:r>
      <w:r>
        <w:t xml:space="preserve">screen to scan the parent LOT and receive it into the machine. But CNC machining runs in smaller batches — the default sub-lot quantity for 5G0 is 24. At the</w:t>
      </w:r>
      <w:r>
        <w:t xml:space="preserve"> </w:t>
      </w:r>
      <w:r>
        <w:rPr>
          <w:b/>
          <w:bCs/>
        </w:rPr>
        <w:t xml:space="preserve">Machining OUT</w:t>
      </w:r>
      <w:r>
        <w:t xml:space="preserve"> </w:t>
      </w:r>
      <w:r>
        <w:t xml:space="preserve">screen (per FRS 2.2.5), the operator initiates a split. The MES creates two child LOTs:</w:t>
      </w:r>
      <w:r>
        <w:t xml:space="preserve"> </w:t>
      </w:r>
      <w:r>
        <w:rPr>
          <w:rStyle w:val="VerbatimChar"/>
        </w:rPr>
        <w:t xml:space="preserve">2026-04-06-0001-A</w:t>
      </w:r>
      <w:r>
        <w:t xml:space="preserve"> </w:t>
      </w:r>
      <w:r>
        <w:t xml:space="preserve">(24 pieces) and</w:t>
      </w:r>
      <w:r>
        <w:t xml:space="preserve"> </w:t>
      </w:r>
      <w:r>
        <w:rPr>
          <w:rStyle w:val="VerbatimChar"/>
        </w:rPr>
        <w:t xml:space="preserve">2026-04-06-0001-B</w:t>
      </w:r>
      <w:r>
        <w:t xml:space="preserve"> </w:t>
      </w:r>
      <w:r>
        <w:t xml:space="preserve">(24 pieces). The parent LOT’s piece count drops to 0, status goes to CLOSED. Two new LTT labels print — one for each sub-LOT basket. The</w:t>
      </w:r>
      <w:r>
        <w:t xml:space="preserve"> </w:t>
      </w:r>
      <w:r>
        <w:rPr>
          <w:rStyle w:val="VerbatimChar"/>
        </w:rPr>
        <w:t xml:space="preserve">LotGenealogy</w:t>
      </w:r>
      <w:r>
        <w:t xml:space="preserve"> </w:t>
      </w:r>
      <w:r>
        <w:t xml:space="preserve">table records both SPLIT relationships, permanently linking children to parent.</w:t>
      </w:r>
    </w:p>
    <w:p>
      <w:pPr>
        <w:pStyle w:val="BodyText"/>
      </w:pPr>
      <w:r>
        <w:t xml:space="preserve">Each sub-LOT now has its own journey. Sub-LOT A goes to CNC machine 12. The operator loads the parts, the machine runs, 23 come out good, 1 is out-of-tolerance. Production event: 23 good, 1 no-good. Reject event: code MS-OOT-01, quantity 1. Sub-LOT A now has 23 pieces.</w:t>
      </w:r>
    </w:p>
    <w:bookmarkEnd w:id="19"/>
    <w:bookmarkStart w:id="20" w:name="Xe45f8832e7997e311c5f47e21b87e7afa8aeaa5"/>
    <w:p>
      <w:pPr>
        <w:pStyle w:val="Heading3"/>
      </w:pPr>
      <w:r>
        <w:t xml:space="preserve">11:30am — Assembly: Parts Are Consumed Into Finished Goods</w:t>
      </w:r>
    </w:p>
    <w:p>
      <w:pPr>
        <w:pStyle w:val="FirstParagraph"/>
      </w:pPr>
      <w:r>
        <w:t xml:space="preserve">Sub-LOT A (23 x 5G0 castings, machined) arrives at the 5G0 Assembly Front line. This is a serialized line — every finished assembly gets a laser-etched serial number. The line also needs PNA mounting pins — there’s a LOT of those staged at the lineside location.</w:t>
      </w:r>
    </w:p>
    <w:p>
      <w:pPr>
        <w:pStyle w:val="BodyText"/>
      </w:pPr>
      <w:r>
        <w:t xml:space="preserve">This is where the PLC integration kicks in. The Machine Integration Panel (MIP) is the handshake layer between the assembly automation and the MES. The assembly machine loads a casting from sub-LOT A, presses in two PNA pins, and the laser etches serial number</w:t>
      </w:r>
      <w:r>
        <w:t xml:space="preserve"> </w:t>
      </w:r>
      <w:r>
        <w:rPr>
          <w:rStyle w:val="VerbatimChar"/>
        </w:rPr>
        <w:t xml:space="preserve">5G0F-240406-00147</w:t>
      </w:r>
      <w:r>
        <w:t xml:space="preserve">. The PLC writes</w:t>
      </w:r>
      <w:r>
        <w:t xml:space="preserve"> </w:t>
      </w:r>
      <w:r>
        <w:rPr>
          <w:rStyle w:val="VerbatimChar"/>
        </w:rPr>
        <w:t xml:space="preserve">DataReady=1</w:t>
      </w:r>
      <w:r>
        <w:t xml:space="preserve">. The MES reads the serial number from</w:t>
      </w:r>
      <w:r>
        <w:t xml:space="preserve"> </w:t>
      </w:r>
      <w:r>
        <w:rPr>
          <w:rStyle w:val="VerbatimChar"/>
        </w:rPr>
        <w:t xml:space="preserve">PartSN</w:t>
      </w:r>
      <w:r>
        <w:t xml:space="preserve">, validates it (not a duplicate, correct format), writes</w:t>
      </w:r>
      <w:r>
        <w:t xml:space="preserve"> </w:t>
      </w:r>
      <w:r>
        <w:rPr>
          <w:rStyle w:val="VerbatimChar"/>
        </w:rPr>
        <w:t xml:space="preserve">PartValid=1</w:t>
      </w:r>
      <w:r>
        <w:t xml:space="preserve"> </w:t>
      </w:r>
      <w:r>
        <w:t xml:space="preserve">back to the PLC, and the machine releases the part.</w:t>
      </w:r>
    </w:p>
    <w:p>
      <w:pPr>
        <w:pStyle w:val="BodyText"/>
      </w:pPr>
      <w:r>
        <w:t xml:space="preserve">One important mode: the PLC also exposes a</w:t>
      </w:r>
      <w:r>
        <w:t xml:space="preserve"> </w:t>
      </w:r>
      <w:r>
        <w:rPr>
          <w:rStyle w:val="VerbatimChar"/>
        </w:rPr>
        <w:t xml:space="preserve">HardwareInterlockEnable</w:t>
      </w:r>
      <w:r>
        <w:t xml:space="preserve"> </w:t>
      </w:r>
      <w:r>
        <w:t xml:space="preserve">flag (per touchpoint agreement 1.1). When the automation sets this to false, the MES validation is bypassed — the MIP writes</w:t>
      </w:r>
      <w:r>
        <w:t xml:space="preserve"> </w:t>
      </w:r>
      <w:r>
        <w:rPr>
          <w:rStyle w:val="VerbatimChar"/>
        </w:rPr>
        <w:t xml:space="preserve">PartSN="NoRead"</w:t>
      </w:r>
      <w:r>
        <w:t xml:space="preserve"> </w:t>
      </w:r>
      <w:r>
        <w:t xml:space="preserve">and the machine proceeds without MES confirmation. This is an alternative operating mode, not an error state, and the MES must handle</w:t>
      </w:r>
      <w:r>
        <w:t xml:space="preserve"> </w:t>
      </w:r>
      <w:r>
        <w:rPr>
          <w:rStyle w:val="VerbatimChar"/>
        </w:rPr>
        <w:t xml:space="preserve">NoRead</w:t>
      </w:r>
      <w:r>
        <w:t xml:space="preserve"> </w:t>
      </w:r>
      <w:r>
        <w:t xml:space="preserve">serial numbers gracefully.</w:t>
      </w:r>
    </w:p>
    <w:p>
      <w:pPr>
        <w:pStyle w:val="BodyText"/>
      </w:pPr>
      <w:r>
        <w:t xml:space="preserve">Behind the scenes, the MES has just written a</w:t>
      </w:r>
      <w:r>
        <w:t xml:space="preserve"> </w:t>
      </w:r>
      <w:r>
        <w:rPr>
          <w:rStyle w:val="VerbatimChar"/>
        </w:rPr>
        <w:t xml:space="preserve">ConsumptionEvent</w:t>
      </w:r>
      <w:r>
        <w:t xml:space="preserve"> </w:t>
      </w:r>
      <w:r>
        <w:t xml:space="preserve">— 1 piece consumed from sub-LOT A (5G0 casting) and 2 pieces consumed from the PNA pin LOT, producing serial number</w:t>
      </w:r>
      <w:r>
        <w:t xml:space="preserve"> </w:t>
      </w:r>
      <w:r>
        <w:rPr>
          <w:rStyle w:val="VerbatimChar"/>
        </w:rPr>
        <w:t xml:space="preserve">5G0F-240406-00147</w:t>
      </w:r>
      <w:r>
        <w:t xml:space="preserve">. A</w:t>
      </w:r>
      <w:r>
        <w:t xml:space="preserve"> </w:t>
      </w:r>
      <w:r>
        <w:rPr>
          <w:rStyle w:val="VerbatimChar"/>
        </w:rPr>
        <w:t xml:space="preserve">SerializedPart</w:t>
      </w:r>
      <w:r>
        <w:t xml:space="preserve"> </w:t>
      </w:r>
      <w:r>
        <w:t xml:space="preserve">record is created, permanently linking that serial to sub-LOT A and the PNA LOT. Genealogy: this serial traces back through sub-LOT A → parent LOT</w:t>
      </w:r>
      <w:r>
        <w:t xml:space="preserve"> </w:t>
      </w:r>
      <w:r>
        <w:rPr>
          <w:rStyle w:val="VerbatimChar"/>
        </w:rPr>
        <w:t xml:space="preserve">2026-04-06-0001</w:t>
      </w:r>
      <w:r>
        <w:t xml:space="preserve"> </w:t>
      </w:r>
      <w:r>
        <w:t xml:space="preserve">→ Die Cast Machine #7, Die #42, Cavity B, Carlos, 6:20am Tuesday. Honda can ask about any serial number and get the full tree.</w:t>
      </w:r>
    </w:p>
    <w:p>
      <w:pPr>
        <w:pStyle w:val="BodyText"/>
      </w:pPr>
      <w:r>
        <w:t xml:space="preserve">The finished part drops into a container tray. The MES tracks which tray position it went into via</w:t>
      </w:r>
      <w:r>
        <w:t xml:space="preserve"> </w:t>
      </w:r>
      <w:r>
        <w:rPr>
          <w:rStyle w:val="VerbatimChar"/>
        </w:rPr>
        <w:t xml:space="preserve">ContainerSerial</w:t>
      </w:r>
      <w:r>
        <w:t xml:space="preserve">. When the container hits 48 parts (4 trays x 12 parts), the MES closes the container and calls AIM — Honda’s EDI system — to get a shipping ID.</w:t>
      </w:r>
      <w:r>
        <w:t xml:space="preserve"> </w:t>
      </w:r>
      <w:r>
        <w:rPr>
          <w:rStyle w:val="VerbatimChar"/>
        </w:rPr>
        <w:t xml:space="preserve">GetNextNumber</w:t>
      </w:r>
      <w:r>
        <w:t xml:space="preserve"> </w:t>
      </w:r>
      <w:r>
        <w:t xml:space="preserve">returns shipper ID</w:t>
      </w:r>
      <w:r>
        <w:t xml:space="preserve"> </w:t>
      </w:r>
      <w:r>
        <w:rPr>
          <w:rStyle w:val="VerbatimChar"/>
        </w:rPr>
        <w:t xml:space="preserve">SH-240406-0089</w:t>
      </w:r>
      <w:r>
        <w:t xml:space="preserve">. The Zebra prints a ZPL shipping label. The</w:t>
      </w:r>
      <w:r>
        <w:t xml:space="preserve"> </w:t>
      </w:r>
      <w:r>
        <w:rPr>
          <w:rStyle w:val="VerbatimChar"/>
        </w:rPr>
        <w:t xml:space="preserve">ShippingLabel</w:t>
      </w:r>
      <w:r>
        <w:t xml:space="preserve"> </w:t>
      </w:r>
      <w:r>
        <w:t xml:space="preserve">table records the print. The container status goes from OPEN to COMPLETE.</w:t>
      </w:r>
    </w:p>
    <w:p>
      <w:pPr>
        <w:pStyle w:val="BlockText"/>
      </w:pPr>
      <w:r>
        <w:rPr>
          <w:b/>
          <w:bCs/>
        </w:rPr>
        <w:t xml:space="preserve">Note on non-serialized lines:</w:t>
      </w:r>
      <w:r>
        <w:t xml:space="preserve"> </w:t>
      </w:r>
      <w:r>
        <w:t xml:space="preserve">The flow above describes the 5G0 serialized assembly line with full PLC/MIP integration. Non-serialized lines (e.g., 6B2 Cam Holder, RPY Assembly Sets) use a simpler validation model — OPC tags show</w:t>
      </w:r>
      <w:r>
        <w:t xml:space="preserve"> </w:t>
      </w:r>
      <w:r>
        <w:rPr>
          <w:rStyle w:val="VerbatimChar"/>
        </w:rPr>
        <w:t xml:space="preserve">PartDisposition</w:t>
      </w:r>
      <w:r>
        <w:t xml:space="preserve"> </w:t>
      </w:r>
      <w:r>
        <w:t xml:space="preserve">flags and</w:t>
      </w:r>
      <w:r>
        <w:t xml:space="preserve"> </w:t>
      </w:r>
      <w:r>
        <w:rPr>
          <w:rStyle w:val="VerbatimChar"/>
        </w:rPr>
        <w:t xml:space="preserve">ContainerName</w:t>
      </w:r>
      <w:r>
        <w:t xml:space="preserve"> </w:t>
      </w:r>
      <w:r>
        <w:t xml:space="preserve">rather than individual serial numbers (per Appendix C OPC tags for MicroLogix1400 PLCs). On these lines, the operator identifies the source LOT(s), enters a good count, and the MES fills containers by count rather than part-by-part. Some inspection lines also use weight-based container closure (</w:t>
      </w:r>
      <w:r>
        <w:rPr>
          <w:rStyle w:val="VerbatimChar"/>
        </w:rPr>
        <w:t xml:space="preserve">TargetWeightValue</w:t>
      </w:r>
      <w:r>
        <w:t xml:space="preserve">,</w:t>
      </w:r>
      <w:r>
        <w:t xml:space="preserve"> </w:t>
      </w:r>
      <w:r>
        <w:rPr>
          <w:rStyle w:val="VerbatimChar"/>
        </w:rPr>
        <w:t xml:space="preserve">TargetWeightMetFlag</w:t>
      </w:r>
      <w:r>
        <w:t xml:space="preserve"> </w:t>
      </w:r>
      <w:r>
        <w:t xml:space="preserve">via OmniServer) rather than piece count.</w:t>
      </w:r>
    </w:p>
    <w:bookmarkEnd w:id="20"/>
    <w:bookmarkStart w:id="21" w:name="pm-a-quality-hold"/>
    <w:p>
      <w:pPr>
        <w:pStyle w:val="Heading3"/>
      </w:pPr>
      <w:r>
        <w:t xml:space="preserve">1:15pm — A Quality Hold</w:t>
      </w:r>
    </w:p>
    <w:p>
      <w:pPr>
        <w:pStyle w:val="FirstParagraph"/>
      </w:pPr>
      <w:r>
        <w:t xml:space="preserve">The quality supervisor, Diane, gets a call from Honda. They’ve found a dimensional issue on 5G0 parts from yesterday’s shipment. Diane doesn’t know yet which LOTs are affected, but she needs to stop everything precautionary.</w:t>
      </w:r>
    </w:p>
    <w:p>
      <w:pPr>
        <w:pStyle w:val="BodyText"/>
      </w:pPr>
      <w:r>
        <w:t xml:space="preserve">She goes to her terminal, opens the Hold Management screen, and searches for all open 5G0 LOTs and containers. She selects them and places a hold — type: CUSTOMER_COMPLAINT, reason:</w:t>
      </w:r>
      <w:r>
        <w:t xml:space="preserve"> </w:t>
      </w:r>
      <w:r>
        <w:t xml:space="preserve">“Honda dimensional concern, pending investigation.”</w:t>
      </w:r>
      <w:r>
        <w:t xml:space="preserve"> </w:t>
      </w:r>
      <w:r>
        <w:t xml:space="preserve">The MES writes a</w:t>
      </w:r>
      <w:r>
        <w:t xml:space="preserve"> </w:t>
      </w:r>
      <w:r>
        <w:rPr>
          <w:rStyle w:val="VerbatimChar"/>
        </w:rPr>
        <w:t xml:space="preserve">HoldEvent</w:t>
      </w:r>
      <w:r>
        <w:t xml:space="preserve"> </w:t>
      </w:r>
      <w:r>
        <w:t xml:space="preserve">for each LOT. Each LOT’s status transitions from GOOD to HOLD. The</w:t>
      </w:r>
      <w:r>
        <w:t xml:space="preserve"> </w:t>
      </w:r>
      <w:r>
        <w:rPr>
          <w:rStyle w:val="VerbatimChar"/>
        </w:rPr>
        <w:t xml:space="preserve">LotStatusHistory</w:t>
      </w:r>
      <w:r>
        <w:t xml:space="preserve"> </w:t>
      </w:r>
      <w:r>
        <w:t xml:space="preserve">records each transition. The</w:t>
      </w:r>
      <w:r>
        <w:t xml:space="preserve"> </w:t>
      </w:r>
      <w:r>
        <w:rPr>
          <w:rStyle w:val="VerbatimChar"/>
        </w:rPr>
        <w:t xml:space="preserve">BlocksProduction</w:t>
      </w:r>
      <w:r>
        <w:t xml:space="preserve"> </w:t>
      </w:r>
      <w:r>
        <w:t xml:space="preserve">flag on the HOLD status code is true — from this moment, the MES prevents any further manufacturing operation completion activities against these LOTs (per FRS 3.16.10). The exact interlock point — whether the MES blocks at LOT selection time or at operation completion — is a design decision, but the effect is the same: held LOTs cannot progress through production.</w:t>
      </w:r>
    </w:p>
    <w:p>
      <w:pPr>
        <w:pStyle w:val="BodyText"/>
      </w:pPr>
      <w:r>
        <w:t xml:space="preserve">There’s a container already packed and staged at the Shipping Dock — container</w:t>
      </w:r>
      <w:r>
        <w:t xml:space="preserve"> </w:t>
      </w:r>
      <w:r>
        <w:rPr>
          <w:rStyle w:val="VerbatimChar"/>
        </w:rPr>
        <w:t xml:space="preserve">CTR-5G0-0412</w:t>
      </w:r>
      <w:r>
        <w:t xml:space="preserve">, shipper ID</w:t>
      </w:r>
      <w:r>
        <w:t xml:space="preserve"> </w:t>
      </w:r>
      <w:r>
        <w:rPr>
          <w:rStyle w:val="VerbatimChar"/>
        </w:rPr>
        <w:t xml:space="preserve">SH-240406-0089</w:t>
      </w:r>
      <w:r>
        <w:t xml:space="preserve">. Diane places that on hold too. The MES calls AIM:</w:t>
      </w:r>
      <w:r>
        <w:t xml:space="preserve"> </w:t>
      </w:r>
      <w:r>
        <w:rPr>
          <w:rStyle w:val="VerbatimChar"/>
        </w:rPr>
        <w:t xml:space="preserve">PlaceOnHold</w:t>
      </w:r>
      <w:r>
        <w:t xml:space="preserve"> </w:t>
      </w:r>
      <w:r>
        <w:t xml:space="preserve">with the shipper ID. AIM acknowledges. The container status goes to HOLD. It’s not going on the truck.</w:t>
      </w:r>
    </w:p>
    <w:bookmarkEnd w:id="21"/>
    <w:bookmarkStart w:id="22" w:name="pm-the-sort-cage"/>
    <w:p>
      <w:pPr>
        <w:pStyle w:val="Heading3"/>
      </w:pPr>
      <w:r>
        <w:t xml:space="preserve">2:00pm — The Sort Cage</w:t>
      </w:r>
    </w:p>
    <w:p>
      <w:pPr>
        <w:pStyle w:val="FirstParagraph"/>
      </w:pPr>
      <w:r>
        <w:t xml:space="preserve">After investigation, Diane determines the issue is isolated to cavity A of die #42, from yesterday’s second shift only. From her desk she clicks the</w:t>
      </w:r>
      <w:r>
        <w:t xml:space="preserve"> </w:t>
      </w:r>
      <w:r>
        <w:rPr>
          <w:b/>
          <w:bCs/>
        </w:rPr>
        <w:t xml:space="preserve">Track</w:t>
      </w:r>
      <w:r>
        <w:t xml:space="preserve"> </w:t>
      </w:r>
      <w:r>
        <w:t xml:space="preserve">tile on the MES home page (FDS-12-012), types in one of the Honda-reported serial numbers, and immediately sees the full genealogy tree — cavity, die, Carlos, timestamp, and forward through to the containers and shipper IDs where that serial landed. From that tree she pivots into a search on</w:t>
      </w:r>
      <w:r>
        <w:t xml:space="preserve"> </w:t>
      </w:r>
      <w:r>
        <w:rPr>
          <w:rStyle w:val="VerbatimChar"/>
        </w:rPr>
        <w:t xml:space="preserve">die=42 AND cavity=A AND createdAt BETWEEN yesterday 14:00 AND 22:00</w:t>
      </w:r>
      <w:r>
        <w:t xml:space="preserve">. Three LOTs come back. Two are already in containers at the dock. One is still in WIP storage at the Machine Shop.</w:t>
      </w:r>
    </w:p>
    <w:p>
      <w:pPr>
        <w:pStyle w:val="BodyText"/>
      </w:pPr>
      <w:r>
        <w:t xml:space="preserve">The WIP LOT is easy — she splits it. The MES creates a new child LOT with the 12 suspect pieces, leaves the remaining 36 in the original. She scraps the suspect child from the</w:t>
      </w:r>
      <w:r>
        <w:t xml:space="preserve"> </w:t>
      </w:r>
      <w:r>
        <w:rPr>
          <w:b/>
          <w:bCs/>
        </w:rPr>
        <w:t xml:space="preserve">Selected Location</w:t>
      </w:r>
      <w:r>
        <w:t xml:space="preserve"> </w:t>
      </w:r>
      <w:r>
        <w:t xml:space="preserve">(the Machine Shop Cell where the in-process pieces are) — not from Inventory — because the parts haven’t yet returned to unallocated LOT stock. The</w:t>
      </w:r>
      <w:r>
        <w:t xml:space="preserve"> </w:t>
      </w:r>
      <w:r>
        <w:rPr>
          <w:rStyle w:val="VerbatimChar"/>
        </w:rPr>
        <w:t xml:space="preserve">Workorder.ProductionEvent.ScrapSourceId</w:t>
      </w:r>
      <w:r>
        <w:t xml:space="preserve"> </w:t>
      </w:r>
      <w:r>
        <w:t xml:space="preserve">on the resulting scrap event records</w:t>
      </w:r>
      <w:r>
        <w:t xml:space="preserve"> </w:t>
      </w:r>
      <w:r>
        <w:rPr>
          <w:rStyle w:val="VerbatimChar"/>
        </w:rPr>
        <w:t xml:space="preserve">Location</w:t>
      </w:r>
      <w:r>
        <w:t xml:space="preserve"> </w:t>
      </w:r>
      <w:r>
        <w:t xml:space="preserve">per FDS-06-023a so the scrap-rate analytics tie cleanly to the Machine Shop Cell. The suspect child LOT’s status goes to SCRAP. The original stays on HOLD until she releases it.</w:t>
      </w:r>
    </w:p>
    <w:p>
      <w:pPr>
        <w:pStyle w:val="BlockText"/>
      </w:pPr>
      <w:r>
        <w:rPr>
          <w:b/>
          <w:bCs/>
        </w:rPr>
        <w:t xml:space="preserve">Scope note:</w:t>
      </w:r>
      <w:r>
        <w:t xml:space="preserve"> </w:t>
      </w:r>
      <w:r>
        <w:t xml:space="preserve">This split-and-scrap workflow uses the LOT split and hold mechanisms, both of which are MVP. Formal NCM disposition codes (USE_AS_IS, REWORK, SCRAP, RETURN_TO_VENDOR) and structured failure analysis are FUTURE capabilities. In MVP, Diane uses holds and LOT splits as the operational tools for quality disposition; the</w:t>
      </w:r>
      <w:r>
        <w:t xml:space="preserve"> </w:t>
      </w:r>
      <w:r>
        <w:rPr>
          <w:rStyle w:val="VerbatimChar"/>
        </w:rPr>
        <w:t xml:space="preserve">NonConformance</w:t>
      </w:r>
      <w:r>
        <w:t xml:space="preserve"> </w:t>
      </w:r>
      <w:r>
        <w:t xml:space="preserve">table is not populated. MPP currently uses Intelex for formal NCM/failure analysis tracking, separate from the MES.</w:t>
      </w:r>
    </w:p>
    <w:p>
      <w:pPr>
        <w:pStyle w:val="FirstParagraph"/>
      </w:pPr>
      <w:r>
        <w:t xml:space="preserve">The two containers go to the Sort Cage — a physical location in the plant where containers are unpacked, parts re-inspected, and re-packed. The containers move (location: Sort Cage). Operators unpack them, inspect each part. Good parts get re-packed into new containers — the MES must support</w:t>
      </w:r>
      <w:r>
        <w:t xml:space="preserve"> </w:t>
      </w:r>
      <w:r>
        <w:t xml:space="preserve">“part replacement”</w:t>
      </w:r>
      <w:r>
        <w:t xml:space="preserve"> </w:t>
      </w:r>
      <w:r>
        <w:t xml:space="preserve">within containers (per FRS 2.1.10 and 2.2.7). For serialized parts, the MES handles serial number migration — the</w:t>
      </w:r>
      <w:r>
        <w:t xml:space="preserve"> </w:t>
      </w:r>
      <w:r>
        <w:rPr>
          <w:rStyle w:val="VerbatimChar"/>
        </w:rPr>
        <w:t xml:space="preserve">ContainerSerial</w:t>
      </w:r>
      <w:r>
        <w:t xml:space="preserve"> </w:t>
      </w:r>
      <w:r>
        <w:t xml:space="preserve">records are updated to point to the new containers and tray positions. When containers are re-packed, AIM must also be updated via</w:t>
      </w:r>
      <w:r>
        <w:t xml:space="preserve"> </w:t>
      </w:r>
      <w:r>
        <w:rPr>
          <w:rStyle w:val="VerbatimChar"/>
        </w:rPr>
        <w:t xml:space="preserve">UpdateAim</w:t>
      </w:r>
      <w:r>
        <w:t xml:space="preserve"> </w:t>
      </w:r>
      <w:r>
        <w:t xml:space="preserve">(which accepts</w:t>
      </w:r>
      <w:r>
        <w:t xml:space="preserve"> </w:t>
      </w:r>
      <w:r>
        <w:rPr>
          <w:rStyle w:val="VerbatimChar"/>
        </w:rPr>
        <w:t xml:space="preserve">serial</w:t>
      </w:r>
      <w:r>
        <w:t xml:space="preserve"> </w:t>
      </w:r>
      <w:r>
        <w:t xml:space="preserve">and</w:t>
      </w:r>
      <w:r>
        <w:t xml:space="preserve"> </w:t>
      </w:r>
      <w:r>
        <w:rPr>
          <w:rStyle w:val="VerbatimChar"/>
        </w:rPr>
        <w:t xml:space="preserve">previousSerial</w:t>
      </w:r>
      <w:r>
        <w:t xml:space="preserve"> </w:t>
      </w:r>
      <w:r>
        <w:t xml:space="preserve">parameters, per Appendix L). New LTT labels print for any new LOTs created during re-sort. New shipping labels print for the re-packed containers. Old shipping labels are voided (</w:t>
      </w:r>
      <w:r>
        <w:rPr>
          <w:rStyle w:val="VerbatimChar"/>
        </w:rPr>
        <w:t xml:space="preserve">is_void=1</w:t>
      </w:r>
      <w:r>
        <w:t xml:space="preserve">,</w:t>
      </w:r>
      <w:r>
        <w:t xml:space="preserve"> </w:t>
      </w:r>
      <w:r>
        <w:rPr>
          <w:rStyle w:val="VerbatimChar"/>
        </w:rPr>
        <w:t xml:space="preserve">VoidedAt</w:t>
      </w:r>
      <w:r>
        <w:t xml:space="preserve"> </w:t>
      </w:r>
      <w:r>
        <w:t xml:space="preserve">recorded). AIM gets updated:</w:t>
      </w:r>
      <w:r>
        <w:t xml:space="preserve"> </w:t>
      </w:r>
      <w:r>
        <w:rPr>
          <w:rStyle w:val="VerbatimChar"/>
        </w:rPr>
        <w:t xml:space="preserve">ReleaseFromHold</w:t>
      </w:r>
      <w:r>
        <w:t xml:space="preserve"> </w:t>
      </w:r>
      <w:r>
        <w:t xml:space="preserve">for the new good containers, the old shipper IDs are cancelled.</w:t>
      </w:r>
    </w:p>
    <w:p>
      <w:pPr>
        <w:pStyle w:val="BodyText"/>
      </w:pPr>
      <w:r>
        <w:t xml:space="preserve">Diane releases the hold on the good LOTs. The</w:t>
      </w:r>
      <w:r>
        <w:t xml:space="preserve"> </w:t>
      </w:r>
      <w:r>
        <w:rPr>
          <w:rStyle w:val="VerbatimChar"/>
        </w:rPr>
        <w:t xml:space="preserve">HoldEvent</w:t>
      </w:r>
      <w:r>
        <w:t xml:space="preserve"> </w:t>
      </w:r>
      <w:r>
        <w:t xml:space="preserve">gets</w:t>
      </w:r>
      <w:r>
        <w:t xml:space="preserve"> </w:t>
      </w:r>
      <w:r>
        <w:rPr>
          <w:rStyle w:val="VerbatimChar"/>
        </w:rPr>
        <w:t xml:space="preserve">ReleasedByUserId</w:t>
      </w:r>
      <w:r>
        <w:t xml:space="preserve"> </w:t>
      </w:r>
      <w:r>
        <w:t xml:space="preserve">and</w:t>
      </w:r>
      <w:r>
        <w:t xml:space="preserve"> </w:t>
      </w:r>
      <w:r>
        <w:rPr>
          <w:rStyle w:val="VerbatimChar"/>
        </w:rPr>
        <w:t xml:space="preserve">ReleasedAt</w:t>
      </w:r>
      <w:r>
        <w:t xml:space="preserve"> </w:t>
      </w:r>
      <w:r>
        <w:t xml:space="preserve">populated. LOT status goes back to GOOD. Production can resume.</w:t>
      </w:r>
    </w:p>
    <w:bookmarkEnd w:id="22"/>
    <w:bookmarkStart w:id="23" w:name="Xef0509370e552f9e4610b8262e70be2381c36f2"/>
    <w:p>
      <w:pPr>
        <w:pStyle w:val="Heading3"/>
      </w:pPr>
      <w:r>
        <w:t xml:space="preserve">3:30pm — Receiving Dock: A Pass-Through Part Arrives</w:t>
      </w:r>
    </w:p>
    <w:p>
      <w:pPr>
        <w:pStyle w:val="FirstParagraph"/>
      </w:pPr>
      <w:r>
        <w:t xml:space="preserve">A truck pulls up with a delivery of 6MA Cam Holder housings from an outside supplier. These are pass-through parts — MPP doesn’t manufacture them, just assembles them. The receiving operator scans the packing slip, creates a LOT in the MES: origin type Received, vendor lot number</w:t>
      </w:r>
      <w:r>
        <w:t xml:space="preserve"> </w:t>
      </w:r>
      <w:r>
        <w:rPr>
          <w:rStyle w:val="VerbatimChar"/>
        </w:rPr>
        <w:t xml:space="preserve">VND-88721</w:t>
      </w:r>
      <w:r>
        <w:t xml:space="preserve">, piece count 500, part number 6MA-HSG. The LOT enters the system at the Receiving Dock location.</w:t>
      </w:r>
    </w:p>
    <w:p>
      <w:pPr>
        <w:pStyle w:val="BlockText"/>
      </w:pPr>
      <w:r>
        <w:rPr>
          <w:b/>
          <w:bCs/>
        </w:rPr>
        <w:t xml:space="preserve">Scope note:</w:t>
      </w:r>
      <w:r>
        <w:t xml:space="preserve"> </w:t>
      </w:r>
      <w:r>
        <w:t xml:space="preserve">Receiving pass-through parts into the MES is MVP (Scope Matrix row 3). Once created, a received LOT is identical to a manufactured LOT — same movement tracking, hold management, consumption, and genealogy. The data model makes no distinction beyond</w:t>
      </w:r>
      <w:r>
        <w:t xml:space="preserve"> </w:t>
      </w:r>
      <w:r>
        <w:rPr>
          <w:rStyle w:val="VerbatimChar"/>
        </w:rPr>
        <w:t xml:space="preserve">LotOriginType</w:t>
      </w:r>
      <w:r>
        <w:t xml:space="preserve">. The</w:t>
      </w:r>
      <w:r>
        <w:t xml:space="preserve"> </w:t>
      </w:r>
      <w:r>
        <w:t xml:space="preserve">“Future”</w:t>
      </w:r>
      <w:r>
        <w:t xml:space="preserve"> </w:t>
      </w:r>
      <w:r>
        <w:t xml:space="preserve">note on Scope Matrix row 20 refers to the dedicated operational workflows — Perspective screens for receiving inspection, vendor lot verification, and staging procedures specific to pass-through parts — not to the underlying tracking capability.</w:t>
      </w:r>
    </w:p>
    <w:bookmarkEnd w:id="23"/>
    <w:bookmarkStart w:id="24" w:name="pm-shipping-the-truck-leaves"/>
    <w:p>
      <w:pPr>
        <w:pStyle w:val="Heading3"/>
      </w:pPr>
      <w:r>
        <w:t xml:space="preserve">4:45pm — Shipping: The Truck Leaves</w:t>
      </w:r>
    </w:p>
    <w:p>
      <w:pPr>
        <w:pStyle w:val="FirstParagraph"/>
      </w:pPr>
      <w:r>
        <w:t xml:space="preserve">The released containers — the good ones from this morning’s production, plus the re-sorted containers from the Sort Cage — are loaded onto the Honda truck. The shipping operator scans each container’s shipping label. The MES confirms: status Complete (not HOLD, not VOID), AIM shipper ID valid. Each container’s location moves to Shipping Dock → Shipped. The truck rolls out. Honda can trace every part on it back to the melt.</w:t>
      </w:r>
    </w:p>
    <w:bookmarkEnd w:id="24"/>
    <w:bookmarkStart w:id="25" w:name="end-of-shift"/>
    <w:p>
      <w:pPr>
        <w:pStyle w:val="Heading3"/>
      </w:pPr>
      <w:r>
        <w:t xml:space="preserve">End of Shift</w:t>
      </w:r>
    </w:p>
    <w:p>
      <w:pPr>
        <w:pStyle w:val="FirstParagraph"/>
      </w:pPr>
      <w:r>
        <w:t xml:space="preserve">Second shift badges in. The shift boundary isn’t perfectly clean — the paper production sheets show operators adjusting base runtime for running through lunch (+30 min), breaks (+10 min), or overtime (+110 min for a 10-hour day). The MES captures this through the shift schedule and actual shift instances (</w:t>
      </w:r>
      <w:r>
        <w:rPr>
          <w:rStyle w:val="VerbatimChar"/>
        </w:rPr>
        <w:t xml:space="preserve">Shift.ActualStart</w:t>
      </w:r>
      <w:r>
        <w:t xml:space="preserve">,</w:t>
      </w:r>
      <w:r>
        <w:t xml:space="preserve"> </w:t>
      </w:r>
      <w:r>
        <w:rPr>
          <w:rStyle w:val="VerbatimChar"/>
        </w:rPr>
        <w:t xml:space="preserve">Shift.ActualEnd</w:t>
      </w:r>
      <w:r>
        <w:t xml:space="preserve">), but the micro-adjustments that affect downtime/runtime calculations need to be captured somewhere. The downtime events themselves sum to total downtime; available runtime is derived from the shift boundary minus downtime.</w:t>
      </w:r>
    </w:p>
    <w:p>
      <w:pPr>
        <w:pStyle w:val="BodyText"/>
      </w:pPr>
      <w:r>
        <w:t xml:space="preserve">Everything that happened today — every LOT creation, movement, split, production event, consumption event, reject, downtime event, hold, release, label print, AIM call — is in the</w:t>
      </w:r>
      <w:r>
        <w:t xml:space="preserve"> </w:t>
      </w:r>
      <w:r>
        <w:rPr>
          <w:rStyle w:val="VerbatimChar"/>
        </w:rPr>
        <w:t xml:space="preserve">OperationLog</w:t>
      </w:r>
      <w:r>
        <w:t xml:space="preserve"> </w:t>
      </w:r>
      <w:r>
        <w:t xml:space="preserve">and</w:t>
      </w:r>
      <w:r>
        <w:t xml:space="preserve"> </w:t>
      </w:r>
      <w:r>
        <w:rPr>
          <w:rStyle w:val="VerbatimChar"/>
        </w:rPr>
        <w:t xml:space="preserve">InterfaceLog</w:t>
      </w:r>
      <w:r>
        <w:t xml:space="preserve"> </w:t>
      </w:r>
      <w:r>
        <w:t xml:space="preserve">tables. Immutable. 20 years from now, if Honda asks</w:t>
      </w:r>
      <w:r>
        <w:t xml:space="preserve"> </w:t>
      </w:r>
      <w:r>
        <w:t xml:space="preserve">“who made serial number</w:t>
      </w:r>
      <w:r>
        <w:t xml:space="preserve"> </w:t>
      </w:r>
      <w:r>
        <w:rPr>
          <w:rStyle w:val="VerbatimChar"/>
        </w:rPr>
        <w:t xml:space="preserve">5G0F-240406-00147</w:t>
      </w:r>
      <w:r>
        <w:t xml:space="preserve"> </w:t>
      </w:r>
      <w:r>
        <w:t xml:space="preserve">and what aluminum went into it,”</w:t>
      </w:r>
      <w:r>
        <w:t xml:space="preserve"> </w:t>
      </w:r>
      <w:r>
        <w:t xml:space="preserve">the answer is there.</w:t>
      </w:r>
    </w:p>
    <w:p>
      <w:pPr>
        <w:pStyle w:val="BlockText"/>
      </w:pPr>
      <w:r>
        <w:rPr>
          <w:b/>
          <w:bCs/>
        </w:rPr>
        <w:t xml:space="preserve">Note on Productivity DB replacement:</w:t>
      </w:r>
      <w:r>
        <w:t xml:space="preserve"> </w:t>
      </w:r>
      <w:r>
        <w:t xml:space="preserve">Today, MPP staff enter production data into a separate Productivity Database (PD) application approximately 2 hours after shift end — a data entry clerk manually keys in the numbers from the paper sheets. The new MES is intended to eliminate this double-entry by capturing data at the point of action in real time (per FRS 5.6.6). This is a fundamental process change, not just a UI replacement, and will require change management on the shop floor. The reports that currently come from the PD (Die Shot Report, Rejects Report, Downtime Report, Production Report) should be generated directly from MES data.</w:t>
      </w:r>
    </w:p>
    <w:p>
      <w:r>
        <w:pict>
          <v:rect style="width:0;height:1.5pt" o:hralign="center" o:hrstd="t" o:hr="t"/>
        </w:pict>
      </w:r>
    </w:p>
    <w:bookmarkEnd w:id="25"/>
    <w:bookmarkEnd w:id="26"/>
    <w:bookmarkStart w:id="46" w:name="assumptions-open-decisions"/>
    <w:p>
      <w:pPr>
        <w:pStyle w:val="Heading2"/>
      </w:pPr>
      <w:r>
        <w:t xml:space="preserve">Assumptions &amp; Open Decisions</w:t>
      </w:r>
    </w:p>
    <w:p>
      <w:pPr>
        <w:pStyle w:val="FirstParagraph"/>
      </w:pPr>
      <w:r>
        <w:t xml:space="preserve">These are the places where the narrative filled in gaps that the FRS and data model don’t fully prescribe. Each one needs an answer before the corresponding Perspective screens can be designed.</w:t>
      </w:r>
    </w:p>
    <w:p>
      <w:pPr>
        <w:pStyle w:val="BodyText"/>
      </w:pPr>
      <w:r>
        <w:rPr>
          <w:b/>
          <w:bCs/>
        </w:rPr>
        <w:t xml:space="preserve">Status legend:</w:t>
      </w:r>
      <w:r>
        <w:t xml:space="preserve"> </w:t>
      </w:r>
      <w:r>
        <w:t xml:space="preserve">✅ Resolved | 🔶 Pending Customer Validation / Pending Internal Review | ⬜ Open</w:t>
      </w:r>
    </w:p>
    <w:bookmarkStart w:id="27" w:name="X5b90eb551c604f4716bb765ca587f0c2360571b"/>
    <w:p>
      <w:pPr>
        <w:pStyle w:val="Heading3"/>
      </w:pPr>
      <w:r>
        <w:t xml:space="preserve">1. Operator Identity &amp; Elevation Model — ✅ Resolved</w:t>
      </w:r>
    </w:p>
    <w:p>
      <w:pPr>
        <w:pStyle w:val="FirstParagraph"/>
      </w:pPr>
      <w:r>
        <w:rPr>
          <w:b/>
          <w:bCs/>
        </w:rPr>
        <w:t xml:space="preserve">Assumption made (pre-2026-04-20):</w:t>
      </w:r>
      <w:r>
        <w:t xml:space="preserve"> </w:t>
      </w:r>
      <w:r>
        <w:t xml:space="preserve">Operators badge in once at shift start with clock number + PIN, and stay authenticated for the shift at that terminal. Every action is attributed to them without re-authentication.</w:t>
      </w:r>
    </w:p>
    <w:p>
      <w:pPr>
        <w:pStyle w:val="BodyText"/>
      </w:pPr>
      <w:r>
        <w:rPr>
          <w:b/>
          <w:bCs/>
        </w:rPr>
        <w:t xml:space="preserve">Decision (2026-04-20, OI-06 closed):</w:t>
      </w:r>
      <w:r>
        <w:t xml:space="preserve"> </w:t>
      </w:r>
      <w:r>
        <w:t xml:space="preserve">Operators don’t authenticate at all. They are identified on a terminal by their</w:t>
      </w:r>
      <w:r>
        <w:t xml:space="preserve"> </w:t>
      </w:r>
      <w:r>
        <w:rPr>
          <w:b/>
          <w:bCs/>
        </w:rPr>
        <w:t xml:space="preserve">initials</w:t>
      </w:r>
      <w:r>
        <w:t xml:space="preserve"> </w:t>
      </w:r>
      <w:r>
        <w:t xml:space="preserve">(no clock number, no PIN), which establish an operator presence context and pre-populate an editable Initials field on every mutation screen. Dedicated terminals (approx. 80% of the plant, one-to-one with a Cell) retain the presence through the shift, subject only to a 30-minute idle re-confirmation popup (</w:t>
      </w:r>
      <w:r>
        <w:t xml:space="preserve">“Operate as CM? Yes / No — change”</w:t>
      </w:r>
      <w:r>
        <w:t xml:space="preserve">). Shared terminals prompt for initials on first action after any idle period. Elevated actions (holds, overrides, scrap, maintenance WOs, admin edits) require a fresh Active Directory login at the moment of action — no session-sticky elevation, no 5-minute-timeout. Operator</w:t>
      </w:r>
      <w:r>
        <w:t xml:space="preserve"> </w:t>
      </w:r>
      <w:r>
        <w:rPr>
          <w:rStyle w:val="VerbatimChar"/>
        </w:rPr>
        <w:t xml:space="preserve">AppUser</w:t>
      </w:r>
      <w:r>
        <w:t xml:space="preserve"> </w:t>
      </w:r>
      <w:r>
        <w:t xml:space="preserve">rows are managed by the Configuration Tool (Admin screen); operators have no AD account.</w:t>
      </w:r>
      <w:r>
        <w:t xml:space="preserve"> </w:t>
      </w:r>
      <w:r>
        <w:rPr>
          <w:i/>
          <w:iCs/>
        </w:rPr>
        <w:t xml:space="preserve">See FDS §4.</w:t>
      </w:r>
    </w:p>
    <w:bookmarkEnd w:id="27"/>
    <w:bookmarkStart w:id="28" w:name="X8a97f2b45aacffcfde53291572bcd0cf661d011"/>
    <w:p>
      <w:pPr>
        <w:pStyle w:val="Heading3"/>
      </w:pPr>
      <w:r>
        <w:t xml:space="preserve">2. LOT Creation Flow at Die Cast — 🔶 Pending Customer Validation</w:t>
      </w:r>
    </w:p>
    <w:p>
      <w:pPr>
        <w:pStyle w:val="FirstParagraph"/>
      </w:pPr>
      <w:r>
        <w:rPr>
          <w:b/>
          <w:bCs/>
        </w:rPr>
        <w:t xml:space="preserve">Assumption made:</w:t>
      </w:r>
      <w:r>
        <w:t xml:space="preserve"> </w:t>
      </w:r>
      <w:r>
        <w:t xml:space="preserve">LTT tags are pre-printed in blocks (physical stickers with barcodes), and the operator grabs one, sticks it on a basket, then scans it to create the LOT in MES.</w:t>
      </w:r>
    </w:p>
    <w:p>
      <w:pPr>
        <w:pStyle w:val="BodyText"/>
      </w:pPr>
      <w:r>
        <w:rPr>
          <w:b/>
          <w:bCs/>
        </w:rPr>
        <w:t xml:space="preserve">Decision (2026-04-09):</w:t>
      </w:r>
      <w:r>
        <w:t xml:space="preserve"> </w:t>
      </w:r>
      <w:r>
        <w:t xml:space="preserve">LTT tags are pre-printed, but the first scan of a barcode creates the LOT record in the MES. No pre-registration of barcodes. No LOT tag inventory feature. Confirms FDS-05-002.</w:t>
      </w:r>
    </w:p>
    <w:bookmarkEnd w:id="28"/>
    <w:bookmarkStart w:id="29" w:name="X02d9ed5b59999fee2ed9f775d0d739f5d3a01b0"/>
    <w:p>
      <w:pPr>
        <w:pStyle w:val="Heading3"/>
      </w:pPr>
      <w:r>
        <w:t xml:space="preserve">3. When and How Sub-LOT Splits Happen — 🔶 Pending Internal Review</w:t>
      </w:r>
    </w:p>
    <w:p>
      <w:pPr>
        <w:pStyle w:val="FirstParagraph"/>
      </w:pPr>
      <w:r>
        <w:rPr>
          <w:b/>
          <w:bCs/>
        </w:rPr>
        <w:t xml:space="preserve">Assumption made:</w:t>
      </w:r>
      <w:r>
        <w:t xml:space="preserve"> </w:t>
      </w:r>
      <w:r>
        <w:t xml:space="preserve">The machining operator manually initiates the split — they scan the parent LOT and tell the MES</w:t>
      </w:r>
      <w:r>
        <w:t xml:space="preserve"> </w:t>
      </w:r>
      <w:r>
        <w:t xml:space="preserve">“split this into batches of 24.”</w:t>
      </w:r>
    </w:p>
    <w:p>
      <w:pPr>
        <w:pStyle w:val="BodyText"/>
      </w:pPr>
      <w:r>
        <w:rPr>
          <w:b/>
          <w:bCs/>
        </w:rPr>
        <w:t xml:space="preserve">Decision (2026-04-09):</w:t>
      </w:r>
      <w:r>
        <w:t xml:space="preserve"> </w:t>
      </w:r>
      <w:r>
        <w:t xml:space="preserve">On arrival at machining, the system auto-splits the LOT evenly into 2 sublots with a confirmation dialog. Sublots are treated identically to lot splits in the data model (</w:t>
      </w:r>
      <w:r>
        <w:rPr>
          <w:rStyle w:val="VerbatimChar"/>
        </w:rPr>
        <w:t xml:space="preserve">LotGenealogy</w:t>
      </w:r>
      <w:r>
        <w:t xml:space="preserve"> </w:t>
      </w:r>
      <w:r>
        <w:t xml:space="preserve">with relationship_type = Split). Operator can adjust quantities or cancel the auto-split. Needs review with Ben.</w:t>
      </w:r>
    </w:p>
    <w:bookmarkEnd w:id="29"/>
    <w:bookmarkStart w:id="30" w:name="X8d9059566608ee12c9183bcb0fe5f5e27b15363"/>
    <w:p>
      <w:pPr>
        <w:pStyle w:val="Heading3"/>
      </w:pPr>
      <w:r>
        <w:t xml:space="preserve">4. Container Lifecycle on Non-Serialized Lines — ⬜ Open</w:t>
      </w:r>
    </w:p>
    <w:p>
      <w:pPr>
        <w:pStyle w:val="FirstParagraph"/>
      </w:pPr>
      <w:r>
        <w:rPr>
          <w:b/>
          <w:bCs/>
        </w:rPr>
        <w:t xml:space="preserve">Assumption made:</w:t>
      </w:r>
      <w:r>
        <w:t xml:space="preserve"> </w:t>
      </w:r>
      <w:r>
        <w:t xml:space="preserve">The narrative focused heavily on the serialized assembly line (5G0) where the PLC handshake fills containers part-by-part. For non-serialized lines, the story is much less clear.</w:t>
      </w:r>
    </w:p>
    <w:p>
      <w:pPr>
        <w:pStyle w:val="BodyText"/>
      </w:pPr>
      <w:r>
        <w:rPr>
          <w:b/>
          <w:bCs/>
        </w:rPr>
        <w:t xml:space="preserve">Decision (2026-04-09):</w:t>
      </w:r>
      <w:r>
        <w:t xml:space="preserve"> </w:t>
      </w:r>
      <w:r>
        <w:t xml:space="preserve">Assumption is containers are auto-created on LOT arrival. AIM shipper ID requested at the last route step for the part, prior to LOT closure. Needs discussion with Ben.</w:t>
      </w:r>
      <w:r>
        <w:t xml:space="preserve"> </w:t>
      </w:r>
      <w:r>
        <w:rPr>
          <w:i/>
          <w:iCs/>
        </w:rPr>
        <w:t xml:space="preserve">Maps to OI-02.</w:t>
      </w:r>
    </w:p>
    <w:bookmarkEnd w:id="30"/>
    <w:bookmarkStart w:id="31" w:name="sort-cage-serial-number-migration-open"/>
    <w:p>
      <w:pPr>
        <w:pStyle w:val="Heading3"/>
      </w:pPr>
      <w:r>
        <w:t xml:space="preserve">5. Sort Cage Serial Number Migration — ⬜ Open</w:t>
      </w:r>
    </w:p>
    <w:p>
      <w:pPr>
        <w:pStyle w:val="FirstParagraph"/>
      </w:pPr>
      <w:r>
        <w:rPr>
          <w:b/>
          <w:bCs/>
        </w:rPr>
        <w:t xml:space="preserve">Assumption made:</w:t>
      </w:r>
      <w:r>
        <w:t xml:space="preserve"> </w:t>
      </w:r>
      <w:r>
        <w:t xml:space="preserve">When a serialized container is sent to Sort Cage and parts are re-inspected and re-packed, the MES updates</w:t>
      </w:r>
      <w:r>
        <w:t xml:space="preserve"> </w:t>
      </w:r>
      <w:r>
        <w:rPr>
          <w:rStyle w:val="VerbatimChar"/>
        </w:rPr>
        <w:t xml:space="preserve">ContainerSerial</w:t>
      </w:r>
      <w:r>
        <w:t xml:space="preserve"> </w:t>
      </w:r>
      <w:r>
        <w:t xml:space="preserve">records to point to new containers.</w:t>
      </w:r>
    </w:p>
    <w:p>
      <w:pPr>
        <w:pStyle w:val="BodyText"/>
      </w:pPr>
      <w:r>
        <w:rPr>
          <w:b/>
          <w:bCs/>
        </w:rPr>
        <w:t xml:space="preserve">Decision (2026-04-09):</w:t>
      </w:r>
      <w:r>
        <w:t xml:space="preserve"> </w:t>
      </w:r>
      <w:r>
        <w:t xml:space="preserve">Greatest risk for losing traceability. Flagged for discussion with customer. The void-and-recreate vs. update-in-place decision affects whether a</w:t>
      </w:r>
      <w:r>
        <w:t xml:space="preserve"> </w:t>
      </w:r>
      <w:r>
        <w:rPr>
          <w:rStyle w:val="VerbatimChar"/>
        </w:rPr>
        <w:t xml:space="preserve">ContainerSerialHistory</w:t>
      </w:r>
      <w:r>
        <w:t xml:space="preserve"> </w:t>
      </w:r>
      <w:r>
        <w:t xml:space="preserve">table is needed.</w:t>
      </w:r>
    </w:p>
    <w:bookmarkEnd w:id="31"/>
    <w:bookmarkStart w:id="32" w:name="off-site-receiving-resolved"/>
    <w:p>
      <w:pPr>
        <w:pStyle w:val="Heading3"/>
      </w:pPr>
      <w:r>
        <w:t xml:space="preserve">6. Off-Site Receiving — ✅ Resolved</w:t>
      </w:r>
    </w:p>
    <w:p>
      <w:pPr>
        <w:pStyle w:val="FirstParagraph"/>
      </w:pPr>
      <w:r>
        <w:rPr>
          <w:b/>
          <w:bCs/>
        </w:rPr>
        <w:t xml:space="preserve">Assumption made:</w:t>
      </w:r>
      <w:r>
        <w:t xml:space="preserve"> </w:t>
      </w:r>
      <w:r>
        <w:t xml:space="preserve">The off-site receiving uses the same Ignition Perspective app, just accessed remotely (VPN or published gateway).</w:t>
      </w:r>
    </w:p>
    <w:p>
      <w:pPr>
        <w:pStyle w:val="BodyText"/>
      </w:pPr>
      <w:r>
        <w:rPr>
          <w:b/>
          <w:bCs/>
        </w:rPr>
        <w:t xml:space="preserve">Decision (2026-04-09):</w:t>
      </w:r>
      <w:r>
        <w:t xml:space="preserve"> </w:t>
      </w:r>
      <w:r>
        <w:t xml:space="preserve">Online capability confirmed. No concerns about network reliability or offline requirements. Standard Ignition Perspective via VPN/published gateway.</w:t>
      </w:r>
    </w:p>
    <w:bookmarkEnd w:id="32"/>
    <w:bookmarkStart w:id="33" w:name="work-order-visibility-and-lifecycle-open"/>
    <w:p>
      <w:pPr>
        <w:pStyle w:val="Heading3"/>
      </w:pPr>
      <w:r>
        <w:t xml:space="preserve">7. Work Order Visibility and Lifecycle — ⬜ Open</w:t>
      </w:r>
    </w:p>
    <w:p>
      <w:pPr>
        <w:pStyle w:val="FirstParagraph"/>
      </w:pPr>
      <w:r>
        <w:rPr>
          <w:b/>
          <w:bCs/>
        </w:rPr>
        <w:t xml:space="preserve">Assumption made:</w:t>
      </w:r>
      <w:r>
        <w:t xml:space="preserve"> </w:t>
      </w:r>
      <w:r>
        <w:t xml:space="preserve">Operators</w:t>
      </w:r>
      <w:r>
        <w:t xml:space="preserve"> </w:t>
      </w:r>
      <w:r>
        <w:t xml:space="preserve">“never see”</w:t>
      </w:r>
      <w:r>
        <w:t xml:space="preserve"> </w:t>
      </w:r>
      <w:r>
        <w:t xml:space="preserve">work orders, but the data model has them and the scope matrix lists them as CONDITIONAL.</w:t>
      </w:r>
    </w:p>
    <w:p>
      <w:pPr>
        <w:pStyle w:val="BodyText"/>
      </w:pPr>
      <w:r>
        <w:rPr>
          <w:b/>
          <w:bCs/>
        </w:rPr>
        <w:t xml:space="preserve">Decision (2026-04-09):</w:t>
      </w:r>
      <w:r>
        <w:t xml:space="preserve"> </w:t>
      </w:r>
      <w:r>
        <w:t xml:space="preserve">Work orders included but hidden (MVP-lite) — auto-generated, invisible to operators, no WO screens. Work orders can also be derived from an external ERP system, but the ERP integration spec is undefined. Lifecycle triggers need customer discussion.</w:t>
      </w:r>
      <w:r>
        <w:t xml:space="preserve"> </w:t>
      </w:r>
      <w:r>
        <w:rPr>
          <w:i/>
          <w:iCs/>
        </w:rPr>
        <w:t xml:space="preserve">Maps to OI-07.</w:t>
      </w:r>
    </w:p>
    <w:bookmarkEnd w:id="33"/>
    <w:bookmarkStart w:id="34" w:name="lot-merge-business-rules-open"/>
    <w:p>
      <w:pPr>
        <w:pStyle w:val="Heading3"/>
      </w:pPr>
      <w:r>
        <w:t xml:space="preserve">8. LOT Merge Business Rules — ⬜ Open</w:t>
      </w:r>
    </w:p>
    <w:p>
      <w:pPr>
        <w:pStyle w:val="FirstParagraph"/>
      </w:pPr>
      <w:r>
        <w:rPr>
          <w:b/>
          <w:bCs/>
        </w:rPr>
        <w:t xml:space="preserve">Assumption made:</w:t>
      </w:r>
      <w:r>
        <w:t xml:space="preserve"> </w:t>
      </w:r>
      <w:r>
        <w:t xml:space="preserve">Merges exist in the data model (</w:t>
      </w:r>
      <w:r>
        <w:rPr>
          <w:rStyle w:val="VerbatimChar"/>
        </w:rPr>
        <w:t xml:space="preserve">GenealogyRelationshipType</w:t>
      </w:r>
      <w:r>
        <w:t xml:space="preserve"> </w:t>
      </w:r>
      <w:r>
        <w:t xml:space="preserve">has MERGE) but the narrative skipped over them because the FRS explicitly says</w:t>
      </w:r>
      <w:r>
        <w:t xml:space="preserve"> </w:t>
      </w:r>
      <w:r>
        <w:t xml:space="preserve">“business rules TBD.”</w:t>
      </w:r>
    </w:p>
    <w:p>
      <w:pPr>
        <w:pStyle w:val="BodyText"/>
      </w:pPr>
      <w:r>
        <w:rPr>
          <w:b/>
          <w:bCs/>
        </w:rPr>
        <w:t xml:space="preserve">Decision (2026-04-09):</w:t>
      </w:r>
      <w:r>
        <w:t xml:space="preserve"> </w:t>
      </w:r>
      <w:r>
        <w:t xml:space="preserve">Configurable business rules recommended. Examples for MPP: same part number, same die, same cavity. Where these rules are defined (configuration screen vs. code) needs discussion with Ben.</w:t>
      </w:r>
      <w:r>
        <w:t xml:space="preserve"> </w:t>
      </w:r>
      <w:r>
        <w:rPr>
          <w:i/>
          <w:iCs/>
        </w:rPr>
        <w:t xml:space="preserve">Maps to OI-05.</w:t>
      </w:r>
    </w:p>
    <w:bookmarkEnd w:id="34"/>
    <w:bookmarkStart w:id="35" w:name="Xaf546f60fbb4131369bf8f225358aae274b9155"/>
    <w:p>
      <w:pPr>
        <w:pStyle w:val="Heading3"/>
      </w:pPr>
      <w:r>
        <w:t xml:space="preserve">9. What</w:t>
      </w:r>
      <w:r>
        <w:t xml:space="preserve"> </w:t>
      </w:r>
      <w:r>
        <w:t xml:space="preserve">“Material Verification”</w:t>
      </w:r>
      <w:r>
        <w:t xml:space="preserve"> </w:t>
      </w:r>
      <w:r>
        <w:t xml:space="preserve">Means at Assembly — 🔶 Pending Customer Validation</w:t>
      </w:r>
    </w:p>
    <w:p>
      <w:pPr>
        <w:pStyle w:val="FirstParagraph"/>
      </w:pPr>
      <w:r>
        <w:rPr>
          <w:b/>
          <w:bCs/>
        </w:rPr>
        <w:t xml:space="preserve">Assumption made:</w:t>
      </w:r>
      <w:r>
        <w:t xml:space="preserve"> </w:t>
      </w:r>
      <w:r>
        <w:t xml:space="preserve">The operation template flag</w:t>
      </w:r>
      <w:r>
        <w:t xml:space="preserve"> </w:t>
      </w:r>
      <w:r>
        <w:rPr>
          <w:rStyle w:val="VerbatimChar"/>
        </w:rPr>
        <w:t xml:space="preserve">RequiresMaterialVerification</w:t>
      </w:r>
      <w:r>
        <w:t xml:space="preserve"> </w:t>
      </w:r>
      <w:r>
        <w:t xml:space="preserve">means the operator must scan the source LOT barcode before consuming it, proving the right material is being used.</w:t>
      </w:r>
    </w:p>
    <w:p>
      <w:pPr>
        <w:pStyle w:val="BodyText"/>
      </w:pPr>
      <w:r>
        <w:rPr>
          <w:b/>
          <w:bCs/>
        </w:rPr>
        <w:t xml:space="preserve">Decision (2026-04-09):</w:t>
      </w:r>
      <w:r>
        <w:t xml:space="preserve"> </w:t>
      </w:r>
      <w:r>
        <w:t xml:space="preserve">BOM-based check. The scanned source LOT’s part number must match a component in the active BOM version. Substitute parts are rejected. Needs MPP confirmation.</w:t>
      </w:r>
    </w:p>
    <w:bookmarkEnd w:id="35"/>
    <w:bookmarkStart w:id="36" w:name="shift-boundary-handling-open"/>
    <w:p>
      <w:pPr>
        <w:pStyle w:val="Heading3"/>
      </w:pPr>
      <w:r>
        <w:t xml:space="preserve">10. Shift Boundary Handling — ⬜ Open</w:t>
      </w:r>
    </w:p>
    <w:p>
      <w:pPr>
        <w:pStyle w:val="FirstParagraph"/>
      </w:pPr>
      <w:r>
        <w:rPr>
          <w:b/>
          <w:bCs/>
        </w:rPr>
        <w:t xml:space="preserve">Assumption made:</w:t>
      </w:r>
      <w:r>
        <w:t xml:space="preserve"> </w:t>
      </w:r>
      <w:r>
        <w:t xml:space="preserve">The narrative cleanly ended a shift and started another. Reality is messier.</w:t>
      </w:r>
    </w:p>
    <w:p>
      <w:pPr>
        <w:pStyle w:val="BodyText"/>
      </w:pPr>
      <w:r>
        <w:rPr>
          <w:b/>
          <w:bCs/>
        </w:rPr>
        <w:t xml:space="preserve">Decision (2026-04-09):</w:t>
      </w:r>
      <w:r>
        <w:t xml:space="preserve"> </w:t>
      </w:r>
      <w:r>
        <w:t xml:space="preserve">Flagged for discussion with customer. Open downtime events, partial containers, and in-progress LOTs at shift boundary all need MPP input.</w:t>
      </w:r>
      <w:r>
        <w:t xml:space="preserve"> </w:t>
      </w:r>
      <w:r>
        <w:rPr>
          <w:i/>
          <w:iCs/>
        </w:rPr>
        <w:t xml:space="preserve">Maps to OI-03.</w:t>
      </w:r>
    </w:p>
    <w:bookmarkEnd w:id="36"/>
    <w:bookmarkStart w:id="37" w:name="paper-to-screen-transition-open"/>
    <w:p>
      <w:pPr>
        <w:pStyle w:val="Heading3"/>
      </w:pPr>
      <w:r>
        <w:t xml:space="preserve">11. Paper to Screen Transition — ⬜ Open</w:t>
      </w:r>
    </w:p>
    <w:p>
      <w:pPr>
        <w:pStyle w:val="FirstParagraph"/>
      </w:pPr>
      <w:r>
        <w:rPr>
          <w:b/>
          <w:bCs/>
        </w:rPr>
        <w:t xml:space="preserve">Assumption made:</w:t>
      </w:r>
      <w:r>
        <w:t xml:space="preserve"> </w:t>
      </w:r>
      <w:r>
        <w:t xml:space="preserve">The narrative assumed clean digital workflows where operators enter data in real time at the machine.</w:t>
      </w:r>
    </w:p>
    <w:p>
      <w:pPr>
        <w:pStyle w:val="BodyText"/>
      </w:pPr>
      <w:r>
        <w:rPr>
          <w:b/>
          <w:bCs/>
        </w:rPr>
        <w:t xml:space="preserve">Decision (2026-04-09):</w:t>
      </w:r>
      <w:r>
        <w:t xml:space="preserve"> </w:t>
      </w:r>
      <w:r>
        <w:t xml:space="preserve">Flagged for discussion with Ben. Whether Perspective screens replace paper at point-of-action or some stations retain paper-first workflow is a process change that requires MPP commitment.</w:t>
      </w:r>
    </w:p>
    <w:bookmarkEnd w:id="37"/>
    <w:bookmarkStart w:id="38" w:name="Xe804a3ad95a44227a72a1c70b67b2009dab422f"/>
    <w:p>
      <w:pPr>
        <w:pStyle w:val="Heading3"/>
      </w:pPr>
      <w:r>
        <w:t xml:space="preserve">12. Terminal-to-Machine Mapping — 🔶 Pending Customer Validation</w:t>
      </w:r>
    </w:p>
    <w:p>
      <w:pPr>
        <w:pStyle w:val="FirstParagraph"/>
      </w:pPr>
      <w:r>
        <w:rPr>
          <w:b/>
          <w:bCs/>
        </w:rPr>
        <w:t xml:space="preserve">Assumption made:</w:t>
      </w:r>
      <w:r>
        <w:t xml:space="preserve"> </w:t>
      </w:r>
      <w:r>
        <w:t xml:space="preserve">Each terminal is at a fixed location (one terminal per machine, or per small group of machines).</w:t>
      </w:r>
    </w:p>
    <w:p>
      <w:pPr>
        <w:pStyle w:val="BodyText"/>
      </w:pPr>
      <w:r>
        <w:rPr>
          <w:b/>
          <w:bCs/>
        </w:rPr>
        <w:t xml:space="preserve">Decision (2026-04-09):</w:t>
      </w:r>
      <w:r>
        <w:t xml:space="preserve"> </w:t>
      </w:r>
      <w:r>
        <w:t xml:space="preserve">Terminals are shared (fewer terminals than machines). Operator scans a machine barcode/QR code as the first step of any interaction. Terminals are now a location type in the plant hierarchy (</w:t>
      </w:r>
      <w:r>
        <w:rPr>
          <w:rStyle w:val="VerbatimChar"/>
        </w:rPr>
        <w:t xml:space="preserve">LocationType</w:t>
      </w:r>
      <w:r>
        <w:t xml:space="preserve"> </w:t>
      </w:r>
      <w:r>
        <w:t xml:space="preserve">= Terminal) with configuration stored as</w:t>
      </w:r>
      <w:r>
        <w:t xml:space="preserve"> </w:t>
      </w:r>
      <w:r>
        <w:rPr>
          <w:rStyle w:val="VerbatimChar"/>
        </w:rPr>
        <w:t xml:space="preserve">LocationAttribute</w:t>
      </w:r>
      <w:r>
        <w:t xml:space="preserve"> </w:t>
      </w:r>
      <w:r>
        <w:t xml:space="preserve">entries.</w:t>
      </w:r>
      <w:r>
        <w:t xml:space="preserve"> </w:t>
      </w:r>
      <w:r>
        <w:rPr>
          <w:i/>
          <w:iCs/>
        </w:rPr>
        <w:t xml:space="preserve">Maps to OI-08.</w:t>
      </w:r>
    </w:p>
    <w:bookmarkEnd w:id="38"/>
    <w:bookmarkStart w:id="39" w:name="X8e24df2bda92e5ad3fb585d738c7c6e20f422e8"/>
    <w:p>
      <w:pPr>
        <w:pStyle w:val="Heading3"/>
      </w:pPr>
      <w:r>
        <w:t xml:space="preserve">13. Weight vs. Count-Based Container Closure — ⬜ Open</w:t>
      </w:r>
    </w:p>
    <w:p>
      <w:pPr>
        <w:pStyle w:val="FirstParagraph"/>
      </w:pPr>
      <w:r>
        <w:rPr>
          <w:b/>
          <w:bCs/>
        </w:rPr>
        <w:t xml:space="preserve">Assumption made:</w:t>
      </w:r>
      <w:r>
        <w:t xml:space="preserve"> </w:t>
      </w:r>
      <w:r>
        <w:t xml:space="preserve">The narrative describes container closure by part count (48 parts = 4 trays x 12 parts). But OPC tags show weight-based closure on some lines —</w:t>
      </w:r>
      <w:r>
        <w:t xml:space="preserve"> </w:t>
      </w:r>
      <w:r>
        <w:rPr>
          <w:rStyle w:val="VerbatimChar"/>
        </w:rPr>
        <w:t xml:space="preserve">TargetWeightValue</w:t>
      </w:r>
      <w:r>
        <w:t xml:space="preserve">,</w:t>
      </w:r>
      <w:r>
        <w:t xml:space="preserve"> </w:t>
      </w:r>
      <w:r>
        <w:rPr>
          <w:rStyle w:val="VerbatimChar"/>
        </w:rPr>
        <w:t xml:space="preserve">TargetWeightMetFlag</w:t>
      </w:r>
      <w:r>
        <w:t xml:space="preserve"> </w:t>
      </w:r>
      <w:r>
        <w:t xml:space="preserve">via OmniServer scales (per Appendix C).</w:t>
      </w:r>
    </w:p>
    <w:p>
      <w:pPr>
        <w:pStyle w:val="BodyText"/>
      </w:pPr>
      <w:r>
        <w:rPr>
          <w:b/>
          <w:bCs/>
        </w:rPr>
        <w:t xml:space="preserve">Decision (2026-04-09):</w:t>
      </w:r>
      <w:r>
        <w:t xml:space="preserve"> </w:t>
      </w:r>
      <w:r>
        <w:t xml:space="preserve">Flagged for discussion with Ben. Non-serialized lines should receive scale feedback (per OI-02), but the full dual-closure logic (count vs. weight, per-product config) needs design review.</w:t>
      </w:r>
      <w:r>
        <w:t xml:space="preserve"> </w:t>
      </w:r>
      <w:r>
        <w:rPr>
          <w:i/>
          <w:iCs/>
        </w:rPr>
        <w:t xml:space="preserve">Maps to OI-02.</w:t>
      </w:r>
    </w:p>
    <w:bookmarkEnd w:id="39"/>
    <w:bookmarkStart w:id="40" w:name="X75c3ffd8ebfd8ddc104a3e286b8172282a721ca"/>
    <w:p>
      <w:pPr>
        <w:pStyle w:val="Heading3"/>
      </w:pPr>
      <w:r>
        <w:t xml:space="preserve">14. Warm-Up Shots and Setup Tracking — 🔶 Pending Internal Review</w:t>
      </w:r>
    </w:p>
    <w:p>
      <w:pPr>
        <w:pStyle w:val="FirstParagraph"/>
      </w:pPr>
      <w:r>
        <w:rPr>
          <w:b/>
          <w:bCs/>
        </w:rPr>
        <w:t xml:space="preserve">Assumption made:</w:t>
      </w:r>
      <w:r>
        <w:t xml:space="preserve"> </w:t>
      </w:r>
      <w:r>
        <w:t xml:space="preserve">The narrative now mentions warm-up shots at Die Cast but doesn’t fully resolve how they flow through the data model.</w:t>
      </w:r>
    </w:p>
    <w:p>
      <w:pPr>
        <w:pStyle w:val="BodyText"/>
      </w:pPr>
      <w:r>
        <w:rPr>
          <w:b/>
          <w:bCs/>
        </w:rPr>
        <w:t xml:space="preserve">Decision (2026-04-09):</w:t>
      </w:r>
      <w:r>
        <w:t xml:space="preserve"> </w:t>
      </w:r>
      <w:r>
        <w:t xml:space="preserve">Warm-up shots tracked as a downtime sub-category (</w:t>
      </w:r>
      <w:r>
        <w:rPr>
          <w:rStyle w:val="VerbatimChar"/>
        </w:rPr>
        <w:t xml:space="preserve">ReasonType</w:t>
      </w:r>
      <w:r>
        <w:t xml:space="preserve"> </w:t>
      </w:r>
      <w:r>
        <w:t xml:space="preserve">= Setup). The warm-up shot count is stored as a</w:t>
      </w:r>
      <w:r>
        <w:t xml:space="preserve"> </w:t>
      </w:r>
      <w:r>
        <w:rPr>
          <w:rStyle w:val="VerbatimChar"/>
        </w:rPr>
        <w:t xml:space="preserve">ShotCount</w:t>
      </w:r>
      <w:r>
        <w:t xml:space="preserve"> </w:t>
      </w:r>
      <w:r>
        <w:t xml:space="preserve">attribute on the</w:t>
      </w:r>
      <w:r>
        <w:t xml:space="preserve"> </w:t>
      </w:r>
      <w:r>
        <w:rPr>
          <w:rStyle w:val="VerbatimChar"/>
        </w:rPr>
        <w:t xml:space="preserve">DowntimeEvent</w:t>
      </w:r>
      <w:r>
        <w:t xml:space="preserve"> </w:t>
      </w:r>
      <w:r>
        <w:t xml:space="preserve">record. Good/bad production shot counts remain on</w:t>
      </w:r>
      <w:r>
        <w:t xml:space="preserve"> </w:t>
      </w:r>
      <w:r>
        <w:rPr>
          <w:rStyle w:val="VerbatimChar"/>
        </w:rPr>
        <w:t xml:space="preserve">ProductionEvent</w:t>
      </w:r>
      <w:r>
        <w:t xml:space="preserve">. Needs review with Ben.</w:t>
      </w:r>
    </w:p>
    <w:bookmarkEnd w:id="40"/>
    <w:bookmarkStart w:id="41" w:name="multi-part-number-lines-resolved"/>
    <w:p>
      <w:pPr>
        <w:pStyle w:val="Heading3"/>
      </w:pPr>
      <w:r>
        <w:t xml:space="preserve">15. Multi-Part-Number Lines — ✅ Resolved</w:t>
      </w:r>
    </w:p>
    <w:p>
      <w:pPr>
        <w:pStyle w:val="FirstParagraph"/>
      </w:pPr>
      <w:r>
        <w:rPr>
          <w:b/>
          <w:bCs/>
        </w:rPr>
        <w:t xml:space="preserve">Assumption made:</w:t>
      </w:r>
      <w:r>
        <w:t xml:space="preserve"> </w:t>
      </w:r>
      <w:r>
        <w:t xml:space="preserve">The narrative assumes 1:1 mapping of part number to production run. But MS1FM production sheets show multiple part numbers on single lines — e.g., MS1FM-1028 runs 59B, 5PA, and 6NA Fuel Pump variants on one inspection line.</w:t>
      </w:r>
    </w:p>
    <w:p>
      <w:pPr>
        <w:pStyle w:val="BodyText"/>
      </w:pPr>
      <w:r>
        <w:rPr>
          <w:b/>
          <w:bCs/>
        </w:rPr>
        <w:t xml:space="preserve">Decision (2026-04-09):</w:t>
      </w:r>
      <w:r>
        <w:t xml:space="preserve"> </w:t>
      </w:r>
      <w:r>
        <w:t xml:space="preserve">Lines run one part number at a time, not concurrently. The operator selects the active LOT for consumption, which determines the part number. Changeover between part numbers is an operator action. No mixed-part containers.</w:t>
      </w:r>
      <w:r>
        <w:t xml:space="preserve"> </w:t>
      </w:r>
      <w:r>
        <w:rPr>
          <w:i/>
          <w:iCs/>
        </w:rPr>
        <w:t xml:space="preserve">Maps to OI-09.</w:t>
      </w:r>
    </w:p>
    <w:bookmarkEnd w:id="41"/>
    <w:bookmarkStart w:id="42" w:name="X85424eed8302993ab5871a0056003e0a784b765"/>
    <w:p>
      <w:pPr>
        <w:pStyle w:val="Heading3"/>
      </w:pPr>
      <w:r>
        <w:t xml:space="preserve">16. Hardware Interlock Bypass Mode — 🔶 Pending Internal Review</w:t>
      </w:r>
    </w:p>
    <w:p>
      <w:pPr>
        <w:pStyle w:val="FirstParagraph"/>
      </w:pPr>
      <w:r>
        <w:rPr>
          <w:b/>
          <w:bCs/>
        </w:rPr>
        <w:t xml:space="preserve">Assumption made:</w:t>
      </w:r>
      <w:r>
        <w:t xml:space="preserve"> </w:t>
      </w:r>
      <w:r>
        <w:t xml:space="preserve">The narrative now mentions</w:t>
      </w:r>
      <w:r>
        <w:t xml:space="preserve"> </w:t>
      </w:r>
      <w:r>
        <w:rPr>
          <w:rStyle w:val="VerbatimChar"/>
        </w:rPr>
        <w:t xml:space="preserve">HardwareInterlockEnable=false</w:t>
      </w:r>
      <w:r>
        <w:t xml:space="preserve"> </w:t>
      </w:r>
      <w:r>
        <w:t xml:space="preserve">and</w:t>
      </w:r>
      <w:r>
        <w:t xml:space="preserve"> </w:t>
      </w:r>
      <w:r>
        <w:rPr>
          <w:rStyle w:val="VerbatimChar"/>
        </w:rPr>
        <w:t xml:space="preserve">PartSN="NoRead"</w:t>
      </w:r>
      <w:r>
        <w:t xml:space="preserve">. But the full implications aren’t resolved.</w:t>
      </w:r>
    </w:p>
    <w:p>
      <w:pPr>
        <w:pStyle w:val="BodyText"/>
      </w:pPr>
      <w:r>
        <w:rPr>
          <w:b/>
          <w:bCs/>
        </w:rPr>
        <w:t xml:space="preserve">Decision (2026-04-09):</w:t>
      </w:r>
      <w:r>
        <w:t xml:space="preserve"> </w:t>
      </w:r>
      <w:r>
        <w:t xml:space="preserve">A</w:t>
      </w:r>
      <w:r>
        <w:t xml:space="preserve"> </w:t>
      </w:r>
      <w:r>
        <w:rPr>
          <w:rStyle w:val="VerbatimChar"/>
        </w:rPr>
        <w:t xml:space="preserve">HardwareInterlockBypassed</w:t>
      </w:r>
      <w:r>
        <w:t xml:space="preserve"> </w:t>
      </w:r>
      <w:r>
        <w:t xml:space="preserve">flag should be added to the data model to record when interlock was disabled and serial validation was skipped. Two options under consideration: (a) on</w:t>
      </w:r>
      <w:r>
        <w:t xml:space="preserve"> </w:t>
      </w:r>
      <w:r>
        <w:rPr>
          <w:rStyle w:val="VerbatimChar"/>
        </w:rPr>
        <w:t xml:space="preserve">ContainerSerial</w:t>
      </w:r>
      <w:r>
        <w:t xml:space="preserve">, (b) on</w:t>
      </w:r>
      <w:r>
        <w:t xml:space="preserve"> </w:t>
      </w:r>
      <w:r>
        <w:rPr>
          <w:rStyle w:val="VerbatimChar"/>
        </w:rPr>
        <w:t xml:space="preserve">ProductionEvent</w:t>
      </w:r>
      <w:r>
        <w:t xml:space="preserve">. The circumstances under which MPP bypasses the interlock are not yet understood. Both options flagged for discussion with Ben.</w:t>
      </w:r>
    </w:p>
    <w:bookmarkEnd w:id="42"/>
    <w:bookmarkStart w:id="43" w:name="X7711411ed0c744b11ef8373c23e3eb986c2f7d7"/>
    <w:p>
      <w:pPr>
        <w:pStyle w:val="Heading3"/>
      </w:pPr>
      <w:r>
        <w:t xml:space="preserve">17. Vision System vs. Barcode Confirmation — 🔶 Pending Internal Review</w:t>
      </w:r>
    </w:p>
    <w:p>
      <w:pPr>
        <w:pStyle w:val="FirstParagraph"/>
      </w:pPr>
      <w:r>
        <w:rPr>
          <w:b/>
          <w:bCs/>
        </w:rPr>
        <w:t xml:space="preserve">Assumption made:</w:t>
      </w:r>
      <w:r>
        <w:t xml:space="preserve"> </w:t>
      </w:r>
      <w:r>
        <w:t xml:space="preserve">The narrative assumes operators confirm part numbers by barcode scan. But OPC tags show</w:t>
      </w:r>
      <w:r>
        <w:t xml:space="preserve"> </w:t>
      </w:r>
      <w:r>
        <w:rPr>
          <w:rStyle w:val="VerbatimChar"/>
        </w:rPr>
        <w:t xml:space="preserve">VisionPartNumber</w:t>
      </w:r>
      <w:r>
        <w:t xml:space="preserve"> </w:t>
      </w:r>
      <w:r>
        <w:t xml:space="preserve">on some MicroLogix PLCs (6B2, 6C2/6MA Oil Pan lines per Appendix C).</w:t>
      </w:r>
    </w:p>
    <w:p>
      <w:pPr>
        <w:pStyle w:val="BodyText"/>
      </w:pPr>
      <w:r>
        <w:rPr>
          <w:b/>
          <w:bCs/>
        </w:rPr>
        <w:t xml:space="preserve">Decision (2026-04-09):</w:t>
      </w:r>
      <w:r>
        <w:t xml:space="preserve"> </w:t>
      </w:r>
      <w:r>
        <w:t xml:space="preserve">Vision conflict resolution: auto-hold LOT + supervisor override popup (per OI-04). Flagged for discussion with Ben.</w:t>
      </w:r>
      <w:r>
        <w:t xml:space="preserve"> </w:t>
      </w:r>
      <w:r>
        <w:rPr>
          <w:i/>
          <w:iCs/>
        </w:rPr>
        <w:t xml:space="preserve">Maps to OI-04.</w:t>
      </w:r>
    </w:p>
    <w:bookmarkEnd w:id="43"/>
    <w:bookmarkStart w:id="44" w:name="Xab206fe5b2e47cb27c7a3d7b41cdcb57343f541"/>
    <w:p>
      <w:pPr>
        <w:pStyle w:val="Heading3"/>
      </w:pPr>
      <w:r>
        <w:t xml:space="preserve">18. Event Processing: Synchronous vs. Asynchronous — ⬜ Open</w:t>
      </w:r>
    </w:p>
    <w:p>
      <w:pPr>
        <w:pStyle w:val="FirstParagraph"/>
      </w:pPr>
      <w:r>
        <w:rPr>
          <w:b/>
          <w:bCs/>
        </w:rPr>
        <w:t xml:space="preserve">Assumption made:</w:t>
      </w:r>
      <w:r>
        <w:t xml:space="preserve"> </w:t>
      </w:r>
      <w:r>
        <w:t xml:space="preserve">The narrative describes immediate, synchronous calls — operator scans LTT, LOT is created, label prints instantly, AIM is called as soon as a container closes.</w:t>
      </w:r>
    </w:p>
    <w:p>
      <w:pPr>
        <w:pStyle w:val="BodyText"/>
      </w:pPr>
      <w:r>
        <w:rPr>
          <w:b/>
          <w:bCs/>
        </w:rPr>
        <w:t xml:space="preserve">Decision (2026-04-09):</w:t>
      </w:r>
      <w:r>
        <w:t xml:space="preserve"> </w:t>
      </w:r>
      <w:r>
        <w:t xml:space="preserve">The FRS doesn’t actually require an outbox pattern — just logging of all sent and received content (FRS 3.17.4). External calls are made directly from the Ignition application layer with results logged to</w:t>
      </w:r>
      <w:r>
        <w:t xml:space="preserve"> </w:t>
      </w:r>
      <w:r>
        <w:rPr>
          <w:rStyle w:val="VerbatimChar"/>
        </w:rPr>
        <w:t xml:space="preserve">Audit.InterfaceLog</w:t>
      </w:r>
      <w:r>
        <w:t xml:space="preserve">. However, latency implications at label-printing touchpoints need validation with Ben.</w:t>
      </w:r>
      <w:r>
        <w:t xml:space="preserve"> </w:t>
      </w:r>
      <w:r>
        <w:rPr>
          <w:i/>
          <w:iCs/>
        </w:rPr>
        <w:t xml:space="preserve">Maps to OI-01.</w:t>
      </w:r>
    </w:p>
    <w:bookmarkEnd w:id="44"/>
    <w:bookmarkStart w:id="45" w:name="Xc0ae84e509ec30bacfcc0a2e20bcc2db236d541"/>
    <w:p>
      <w:pPr>
        <w:pStyle w:val="Heading3"/>
      </w:pPr>
      <w:r>
        <w:t xml:space="preserve">19. Productivity DB Replacement and Change Management — ⬜ Open</w:t>
      </w:r>
    </w:p>
    <w:p>
      <w:pPr>
        <w:pStyle w:val="FirstParagraph"/>
      </w:pPr>
      <w:r>
        <w:rPr>
          <w:b/>
          <w:bCs/>
        </w:rPr>
        <w:t xml:space="preserve">Assumption made:</w:t>
      </w:r>
      <w:r>
        <w:t xml:space="preserve"> </w:t>
      </w:r>
      <w:r>
        <w:t xml:space="preserve">The narrative assumes real-time data entry at the machine replaces the legacy paper-then-clerk workflow.</w:t>
      </w:r>
    </w:p>
    <w:p>
      <w:pPr>
        <w:pStyle w:val="BodyText"/>
      </w:pPr>
      <w:r>
        <w:rPr>
          <w:b/>
          <w:bCs/>
        </w:rPr>
        <w:t xml:space="preserve">Decision (2026-04-09):</w:t>
      </w:r>
      <w:r>
        <w:t xml:space="preserve"> </w:t>
      </w:r>
      <w:r>
        <w:t xml:space="preserve">Flagged for discussion with customer. The transition from paper-then-clerk to real-time operator entry is a process change, not just technology. MPP must confirm commitment at all stations. Four PD reports (Die Shot, Rejects, Downtime, Production) must be replicated in MES reporting.</w:t>
      </w:r>
    </w:p>
    <w:p>
      <w:r>
        <w:pict>
          <v:rect style="width:0;height:1.5pt" o:hralign="center" o:hrstd="t" o:hr="t"/>
        </w:pict>
      </w:r>
    </w:p>
    <w:bookmarkEnd w:id="45"/>
    <w:bookmarkEnd w:id="46"/>
    <w:bookmarkStart w:id="47" w:name="impact-matrix"/>
    <w:p>
      <w:pPr>
        <w:pStyle w:val="Heading2"/>
      </w:pPr>
      <w:r>
        <w:t xml:space="preserve">Impact Matrix</w:t>
      </w:r>
    </w:p>
    <w:p>
      <w:pPr>
        <w:pStyle w:val="FirstParagraph"/>
      </w:pPr>
      <w:r>
        <w:t xml:space="preserve">The assumptions above don’t just affect documentation — they gate screen design. Here’s how they cluster: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Decision Cluster</w:t>
            </w:r>
          </w:p>
        </w:tc>
        <w:tc>
          <w:tcPr>
            <w:shd w:val="clear" w:color="auto" w:fill="1F4E79"/>
          </w:tcPr>
          <w:tcPr/>
          <w:p>
            <w:pPr>
              <w:pStyle w:val="Compact"/>
            </w:pPr>
            <w:r>
              <w:rPr>
                <w:b/>
                <w:color w:val="FFFFFF"/>
              </w:rPr>
              <w:t xml:space="preserve">Blocks</w:t>
            </w:r>
          </w:p>
        </w:tc>
        <w:tc>
          <w:tcPr>
            <w:shd w:val="clear" w:color="auto" w:fill="1F4E79"/>
          </w:tcPr>
          <w:tcPr/>
          <w:p>
            <w:pPr>
              <w:pStyle w:val="Compact"/>
            </w:pPr>
            <w:r>
              <w:rPr>
                <w:b/>
                <w:color w:val="FFFFFF"/>
              </w:rPr>
              <w:t xml:space="preserve">Affected Screens</w:t>
            </w:r>
          </w:p>
        </w:tc>
      </w:tr>
      <w:tr>
        <w:tc>
          <w:tcPr/>
          <w:p>
            <w:pPr>
              <w:pStyle w:val="Compact"/>
            </w:pPr>
            <w:r>
              <w:rPr>
                <w:b/>
                <w:bCs/>
              </w:rPr>
              <w:t xml:space="preserve">Auth &amp; session model</w:t>
            </w:r>
            <w:r>
              <w:t xml:space="preserve"> </w:t>
            </w:r>
            <w:r>
              <w:t xml:space="preserve">(#1)</w:t>
            </w:r>
          </w:p>
        </w:tc>
        <w:tc>
          <w:tcPr/>
          <w:p>
            <w:pPr>
              <w:pStyle w:val="Compact"/>
            </w:pPr>
            <w:r>
              <w:t xml:space="preserve">Every screen</w:t>
            </w:r>
          </w:p>
        </w:tc>
        <w:tc>
          <w:tcPr/>
          <w:p>
            <w:pPr>
              <w:pStyle w:val="Compact"/>
            </w:pPr>
            <w:r>
              <w:t xml:space="preserve">Login, all operator interactions</w:t>
            </w:r>
          </w:p>
        </w:tc>
      </w:tr>
      <w:tr>
        <w:tc>
          <w:tcPr>
            <w:shd w:val="clear" w:color="auto" w:fill="F2F2F2"/>
          </w:tcPr>
          <w:tcPr/>
          <w:p>
            <w:pPr>
              <w:pStyle w:val="Compact"/>
            </w:pPr>
            <w:r>
              <w:rPr>
                <w:b/>
                <w:bCs/>
              </w:rPr>
              <w:t xml:space="preserve">LOT creation flow</w:t>
            </w:r>
            <w:r>
              <w:t xml:space="preserve"> </w:t>
            </w:r>
            <w:r>
              <w:t xml:space="preserve">(#2, #3, #14)</w:t>
            </w:r>
          </w:p>
        </w:tc>
        <w:tc>
          <w:tcPr>
            <w:shd w:val="clear" w:color="auto" w:fill="F2F2F2"/>
          </w:tcPr>
          <w:tcPr/>
          <w:p>
            <w:pPr>
              <w:pStyle w:val="Compact"/>
            </w:pPr>
            <w:r>
              <w:t xml:space="preserve">Die Cast and Machining screens</w:t>
            </w:r>
          </w:p>
        </w:tc>
        <w:tc>
          <w:tcPr>
            <w:shd w:val="clear" w:color="auto" w:fill="F2F2F2"/>
          </w:tcPr>
          <w:tcPr/>
          <w:p>
            <w:pPr>
              <w:pStyle w:val="Compact"/>
            </w:pPr>
            <w:r>
              <w:t xml:space="preserve">LOT creation, sub-LOT split, warm-up shot entry</w:t>
            </w:r>
          </w:p>
        </w:tc>
      </w:tr>
      <w:tr>
        <w:tc>
          <w:tcPr/>
          <w:p>
            <w:pPr>
              <w:pStyle w:val="Compact"/>
            </w:pPr>
            <w:r>
              <w:rPr>
                <w:b/>
                <w:bCs/>
              </w:rPr>
              <w:t xml:space="preserve">Container lifecycle</w:t>
            </w:r>
            <w:r>
              <w:t xml:space="preserve"> </w:t>
            </w:r>
            <w:r>
              <w:t xml:space="preserve">(#4, #5, #13, #15)</w:t>
            </w:r>
          </w:p>
        </w:tc>
        <w:tc>
          <w:tcPr/>
          <w:p>
            <w:pPr>
              <w:pStyle w:val="Compact"/>
            </w:pPr>
            <w:r>
              <w:t xml:space="preserve">Assembly and Shipping screens</w:t>
            </w:r>
          </w:p>
        </w:tc>
        <w:tc>
          <w:tcPr/>
          <w:p>
            <w:pPr>
              <w:pStyle w:val="Compact"/>
            </w:pPr>
            <w:r>
              <w:t xml:space="preserve">Container management, Sort Cage, weight vs. count closure, multi-part lines</w:t>
            </w:r>
          </w:p>
        </w:tc>
      </w:tr>
      <w:tr>
        <w:tc>
          <w:tcPr>
            <w:shd w:val="clear" w:color="auto" w:fill="F2F2F2"/>
          </w:tcPr>
          <w:tcPr/>
          <w:p>
            <w:pPr>
              <w:pStyle w:val="Compact"/>
            </w:pPr>
            <w:r>
              <w:rPr>
                <w:b/>
                <w:bCs/>
              </w:rPr>
              <w:t xml:space="preserve">Work order model</w:t>
            </w:r>
            <w:r>
              <w:t xml:space="preserve"> </w:t>
            </w:r>
            <w:r>
              <w:t xml:space="preserve">(#7)</w:t>
            </w:r>
          </w:p>
        </w:tc>
        <w:tc>
          <w:tcPr>
            <w:shd w:val="clear" w:color="auto" w:fill="F2F2F2"/>
          </w:tcPr>
          <w:tcPr/>
          <w:p>
            <w:pPr>
              <w:pStyle w:val="Compact"/>
            </w:pPr>
            <w:r>
              <w:t xml:space="preserve">Production tracking architecture</w:t>
            </w:r>
          </w:p>
        </w:tc>
        <w:tc>
          <w:tcPr>
            <w:shd w:val="clear" w:color="auto" w:fill="F2F2F2"/>
          </w:tcPr>
          <w:tcPr/>
          <w:p>
            <w:pPr>
              <w:pStyle w:val="Compact"/>
            </w:pPr>
            <w:r>
              <w:t xml:space="preserve">Whether WO screens exist at all</w:t>
            </w:r>
          </w:p>
        </w:tc>
      </w:tr>
      <w:tr>
        <w:tc>
          <w:tcPr/>
          <w:p>
            <w:pPr>
              <w:pStyle w:val="Compact"/>
            </w:pPr>
            <w:r>
              <w:rPr>
                <w:b/>
                <w:bCs/>
              </w:rPr>
              <w:t xml:space="preserve">Merge rules</w:t>
            </w:r>
            <w:r>
              <w:t xml:space="preserve"> </w:t>
            </w:r>
            <w:r>
              <w:t xml:space="preserve">(#8)</w:t>
            </w:r>
          </w:p>
        </w:tc>
        <w:tc>
          <w:tcPr/>
          <w:p>
            <w:pPr>
              <w:pStyle w:val="Compact"/>
            </w:pPr>
            <w:r>
              <w:t xml:space="preserve">LOT management screens</w:t>
            </w:r>
          </w:p>
        </w:tc>
        <w:tc>
          <w:tcPr/>
          <w:p>
            <w:pPr>
              <w:pStyle w:val="Compact"/>
            </w:pPr>
            <w:r>
              <w:t xml:space="preserve">Merge workflow (if it exists in MVP)</w:t>
            </w:r>
          </w:p>
        </w:tc>
      </w:tr>
      <w:tr>
        <w:tc>
          <w:tcPr>
            <w:shd w:val="clear" w:color="auto" w:fill="F2F2F2"/>
          </w:tcPr>
          <w:tcPr/>
          <w:p>
            <w:pPr>
              <w:pStyle w:val="Compact"/>
            </w:pPr>
            <w:r>
              <w:rPr>
                <w:b/>
                <w:bCs/>
              </w:rPr>
              <w:t xml:space="preserve">Material verification &amp; interlocks</w:t>
            </w:r>
            <w:r>
              <w:t xml:space="preserve"> </w:t>
            </w:r>
            <w:r>
              <w:t xml:space="preserve">(#9, #16, #17)</w:t>
            </w:r>
          </w:p>
        </w:tc>
        <w:tc>
          <w:tcPr>
            <w:shd w:val="clear" w:color="auto" w:fill="F2F2F2"/>
          </w:tcPr>
          <w:tcPr/>
          <w:p>
            <w:pPr>
              <w:pStyle w:val="Compact"/>
            </w:pPr>
            <w:r>
              <w:t xml:space="preserve">Assembly screens</w:t>
            </w:r>
          </w:p>
        </w:tc>
        <w:tc>
          <w:tcPr>
            <w:shd w:val="clear" w:color="auto" w:fill="F2F2F2"/>
          </w:tcPr>
          <w:tcPr/>
          <w:p>
            <w:pPr>
              <w:pStyle w:val="Compact"/>
            </w:pPr>
            <w:r>
              <w:t xml:space="preserve">Consumption recording, interlock behavior, hardware bypass, vision confirmation</w:t>
            </w:r>
          </w:p>
        </w:tc>
      </w:tr>
      <w:tr>
        <w:tc>
          <w:tcPr/>
          <w:p>
            <w:pPr>
              <w:pStyle w:val="Compact"/>
            </w:pPr>
            <w:r>
              <w:rPr>
                <w:b/>
                <w:bCs/>
              </w:rPr>
              <w:t xml:space="preserve">Shift boundaries</w:t>
            </w:r>
            <w:r>
              <w:t xml:space="preserve"> </w:t>
            </w:r>
            <w:r>
              <w:t xml:space="preserve">(#10)</w:t>
            </w:r>
          </w:p>
        </w:tc>
        <w:tc>
          <w:tcPr/>
          <w:p>
            <w:pPr>
              <w:pStyle w:val="Compact"/>
            </w:pPr>
            <w:r>
              <w:t xml:space="preserve">All production screens</w:t>
            </w:r>
          </w:p>
        </w:tc>
        <w:tc>
          <w:tcPr/>
          <w:p>
            <w:pPr>
              <w:pStyle w:val="Compact"/>
            </w:pPr>
            <w:r>
              <w:t xml:space="preserve">Handoff workflows, downtime continuity</w:t>
            </w:r>
          </w:p>
        </w:tc>
      </w:tr>
      <w:tr>
        <w:tc>
          <w:tcPr>
            <w:shd w:val="clear" w:color="auto" w:fill="F2F2F2"/>
          </w:tcPr>
          <w:tcPr/>
          <w:p>
            <w:pPr>
              <w:pStyle w:val="Compact"/>
            </w:pPr>
            <w:r>
              <w:rPr>
                <w:b/>
                <w:bCs/>
              </w:rPr>
              <w:t xml:space="preserve">Paper vs. real-time</w:t>
            </w:r>
            <w:r>
              <w:t xml:space="preserve"> </w:t>
            </w:r>
            <w:r>
              <w:t xml:space="preserve">(#11, #12, #19)</w:t>
            </w:r>
          </w:p>
        </w:tc>
        <w:tc>
          <w:tcPr>
            <w:shd w:val="clear" w:color="auto" w:fill="F2F2F2"/>
          </w:tcPr>
          <w:tcPr/>
          <w:p>
            <w:pPr>
              <w:pStyle w:val="Compact"/>
            </w:pPr>
            <w:r>
              <w:t xml:space="preserve">All operator screens</w:t>
            </w:r>
          </w:p>
        </w:tc>
        <w:tc>
          <w:tcPr>
            <w:shd w:val="clear" w:color="auto" w:fill="F2F2F2"/>
          </w:tcPr>
          <w:tcPr/>
          <w:p>
            <w:pPr>
              <w:pStyle w:val="Compact"/>
            </w:pPr>
            <w:r>
              <w:t xml:space="preserve">UX patterns, screen complexity, terminal count, PD replacement</w:t>
            </w:r>
          </w:p>
        </w:tc>
      </w:tr>
      <w:tr>
        <w:tc>
          <w:tcPr/>
          <w:p>
            <w:pPr>
              <w:pStyle w:val="Compact"/>
            </w:pPr>
            <w:r>
              <w:rPr>
                <w:b/>
                <w:bCs/>
              </w:rPr>
              <w:t xml:space="preserve">System architecture</w:t>
            </w:r>
            <w:r>
              <w:t xml:space="preserve"> </w:t>
            </w:r>
            <w:r>
              <w:t xml:space="preserve">(#18)</w:t>
            </w:r>
          </w:p>
        </w:tc>
        <w:tc>
          <w:tcPr/>
          <w:p>
            <w:pPr>
              <w:pStyle w:val="Compact"/>
            </w:pPr>
            <w:r>
              <w:t xml:space="preserve">All label/AIM touchpoints</w:t>
            </w:r>
          </w:p>
        </w:tc>
        <w:tc>
          <w:tcPr/>
          <w:p>
            <w:pPr>
              <w:pStyle w:val="Compact"/>
            </w:pPr>
            <w:r>
              <w:t xml:space="preserve">Sync vs. async event processing, UX latency expectations</w:t>
            </w:r>
          </w:p>
        </w:tc>
      </w:tr>
    </w:tbl>
    <w:p>
      <w:r>
        <w:pict>
          <v:rect style="width:0;height:1.5pt" o:hralign="center" o:hrstd="t" o:hr="t"/>
        </w:pict>
      </w:r>
    </w:p>
    <w:bookmarkEnd w:id="47"/>
    <w:bookmarkStart w:id="48" w:name="related-documents"/>
    <w:p>
      <w:pPr>
        <w:pStyle w:val="Heading2"/>
      </w:pPr>
      <w: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Relevance</w:t>
            </w:r>
          </w:p>
        </w:tc>
      </w:tr>
      <w:tr>
        <w:tc>
          <w:tcPr/>
          <w:p>
            <w:pPr>
              <w:pStyle w:val="Compact"/>
            </w:pPr>
            <w:r>
              <w:rPr>
                <w:rStyle w:val="VerbatimChar"/>
              </w:rPr>
              <w:t xml:space="preserve">MPP_MES_SUMMARY.md</w:t>
            </w:r>
          </w:p>
        </w:tc>
        <w:tc>
          <w:tcPr/>
          <w:p>
            <w:pPr>
              <w:pStyle w:val="Compact"/>
            </w:pPr>
            <w:r>
              <w:t xml:space="preserve">Primary source for requirements, scope flags, and data model overview</w:t>
            </w:r>
          </w:p>
        </w:tc>
      </w:tr>
      <w:tr>
        <w:tc>
          <w:tcPr>
            <w:shd w:val="clear" w:color="auto" w:fill="F2F2F2"/>
          </w:tcPr>
          <w:tcPr/>
          <w:p>
            <w:pPr>
              <w:pStyle w:val="Compact"/>
            </w:pPr>
            <w:r>
              <w:rPr>
                <w:rStyle w:val="VerbatimChar"/>
              </w:rPr>
              <w:t xml:space="preserve">MPP_MES_DATA_MODEL.md</w:t>
            </w:r>
          </w:p>
        </w:tc>
        <w:tc>
          <w:tcPr>
            <w:shd w:val="clear" w:color="auto" w:fill="F2F2F2"/>
          </w:tcPr>
          <w:tcPr/>
          <w:p>
            <w:pPr>
              <w:pStyle w:val="Compact"/>
            </w:pPr>
            <w:r>
              <w:t xml:space="preserve">Column-level schema backing every table referenced in the narratives</w:t>
            </w:r>
          </w:p>
        </w:tc>
      </w:tr>
      <w:tr>
        <w:tc>
          <w:tcPr/>
          <w:p>
            <w:pPr>
              <w:pStyle w:val="Compact"/>
            </w:pPr>
            <w:r>
              <w:rPr>
                <w:rStyle w:val="VerbatimChar"/>
              </w:rPr>
              <w:t xml:space="preserve">MPP_MES_ERD.html</w:t>
            </w:r>
          </w:p>
        </w:tc>
        <w:tc>
          <w:tcPr/>
          <w:p>
            <w:pPr>
              <w:pStyle w:val="Compact"/>
            </w:pPr>
            <w:r>
              <w:t xml:space="preserve">Visual ERD with scope badges showing MVP/Future table status</w:t>
            </w:r>
          </w:p>
        </w:tc>
      </w:tr>
      <w:tr>
        <w:tc>
          <w:tcPr>
            <w:shd w:val="clear" w:color="auto" w:fill="F2F2F2"/>
          </w:tcPr>
          <w:tcPr/>
          <w:p>
            <w:pPr>
              <w:pStyle w:val="Compact"/>
            </w:pPr>
            <w:r>
              <w:rPr>
                <w:rStyle w:val="VerbatimChar"/>
              </w:rPr>
              <w:t xml:space="preserve">reference/5GO_AP4_Automation_Touchpoint_Agreement.md</w:t>
            </w:r>
          </w:p>
        </w:tc>
        <w:tc>
          <w:tcPr>
            <w:shd w:val="clear" w:color="auto" w:fill="F2F2F2"/>
          </w:tcPr>
          <w:tcPr/>
          <w:p>
            <w:pPr>
              <w:pStyle w:val="Compact"/>
            </w:pPr>
            <w:r>
              <w:t xml:space="preserve">Plc handshake protocol for the serialized assembly line described in Arc 2</w:t>
            </w:r>
          </w:p>
        </w:tc>
      </w:tr>
      <w:tr>
        <w:tc>
          <w:tcPr/>
          <w:p>
            <w:pPr>
              <w:pStyle w:val="Compact"/>
            </w:pPr>
            <w:r>
              <w:rPr>
                <w:rStyle w:val="VerbatimChar"/>
              </w:rPr>
              <w:t xml:space="preserve">reference/Excel Prod Sheets.xlsx</w:t>
            </w:r>
          </w:p>
        </w:tc>
        <w:tc>
          <w:tcPr/>
          <w:p>
            <w:pPr>
              <w:pStyle w:val="Compact"/>
            </w:pPr>
            <w:r>
              <w:t xml:space="preserve">Paper forms that Arc 2’s screens replace</w:t>
            </w:r>
          </w:p>
        </w:tc>
      </w:tr>
      <w:tr>
        <w:tc>
          <w:tcPr>
            <w:shd w:val="clear" w:color="auto" w:fill="F2F2F2"/>
          </w:tcPr>
          <w:tcPr/>
          <w:p>
            <w:pPr>
              <w:pStyle w:val="Compact"/>
            </w:pPr>
            <w:r>
              <w:rPr>
                <w:rStyle w:val="VerbatimChar"/>
              </w:rPr>
              <w:t xml:space="preserve">reference/MS1FM-*.xlsx</w:t>
            </w:r>
          </w:p>
        </w:tc>
        <w:tc>
          <w:tcPr>
            <w:shd w:val="clear" w:color="auto" w:fill="F2F2F2"/>
          </w:tcPr>
          <w:tcPr/>
          <w:p>
            <w:pPr>
              <w:pStyle w:val="Compact"/>
            </w:pPr>
            <w:r>
              <w:t xml:space="preserve">Line-specific production sheets showing per-line data entry fields</w:t>
            </w:r>
          </w:p>
        </w:tc>
      </w:tr>
    </w:tbl>
    <w:p>
      <w:r>
        <w:pict>
          <v:rect style="width:0;height:1.5pt" o:hralign="center" o:hrstd="t" o:hr="t"/>
        </w:pict>
      </w:r>
    </w:p>
    <w:bookmarkEnd w:id="48"/>
    <w:bookmarkStart w:id="49" w:name="validation-log-2026-04-06"/>
    <w:p>
      <w:pPr>
        <w:pStyle w:val="Heading2"/>
      </w:pPr>
      <w:r>
        <w:t xml:space="preserve">Validation Log — 2026-04-06</w:t>
      </w:r>
    </w:p>
    <w:p>
      <w:pPr>
        <w:pStyle w:val="FirstParagraph"/>
      </w:pPr>
      <w:r>
        <w:t xml:space="preserve">Narratives validated against all source documents. Changes made: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Source</w:t>
            </w:r>
          </w:p>
        </w:tc>
        <w:tc>
          <w:tcPr>
            <w:shd w:val="clear" w:color="auto" w:fill="1F4E79"/>
          </w:tcPr>
          <w:tcPr/>
          <w:p>
            <w:pPr>
              <w:pStyle w:val="Compact"/>
            </w:pPr>
            <w:r>
              <w:rPr>
                <w:b/>
                <w:color w:val="FFFFFF"/>
              </w:rPr>
              <w:t xml:space="preserve">Finding</w:t>
            </w:r>
          </w:p>
        </w:tc>
        <w:tc>
          <w:tcPr>
            <w:shd w:val="clear" w:color="auto" w:fill="1F4E79"/>
          </w:tcPr>
          <w:tcPr/>
          <w:p>
            <w:pPr>
              <w:pStyle w:val="Compact"/>
            </w:pPr>
            <w:r>
              <w:rPr>
                <w:b/>
                <w:color w:val="FFFFFF"/>
              </w:rPr>
              <w:t xml:space="preserve">Action Taken</w:t>
            </w:r>
          </w:p>
        </w:tc>
      </w:tr>
      <w:tr>
        <w:tc>
          <w:tcPr/>
          <w:p>
            <w:pPr>
              <w:pStyle w:val="Compact"/>
            </w:pPr>
            <w:r>
              <w:t xml:space="preserve">FRS 2.2.2</w:t>
            </w:r>
          </w:p>
        </w:tc>
        <w:tc>
          <w:tcPr/>
          <w:p>
            <w:pPr>
              <w:pStyle w:val="Compact"/>
            </w:pPr>
            <w:r>
              <w:t xml:space="preserve">LOT creation requires manual data entry (part, die, cavity), not pre-populated from terminal config</w:t>
            </w:r>
          </w:p>
        </w:tc>
        <w:tc>
          <w:tcPr/>
          <w:p>
            <w:pPr>
              <w:pStyle w:val="Compact"/>
            </w:pPr>
            <w:r>
              <w:rPr>
                <w:b/>
                <w:bCs/>
              </w:rPr>
              <w:t xml:space="preserve">Corrected</w:t>
            </w:r>
            <w:r>
              <w:t xml:space="preserve"> </w:t>
            </w:r>
            <w:r>
              <w:t xml:space="preserve">— Die Cast narrative updated</w:t>
            </w:r>
          </w:p>
        </w:tc>
      </w:tr>
      <w:tr>
        <w:tc>
          <w:tcPr>
            <w:shd w:val="clear" w:color="auto" w:fill="F2F2F2"/>
          </w:tcPr>
          <w:tcPr/>
          <w:p>
            <w:pPr>
              <w:pStyle w:val="Compact"/>
            </w:pPr>
            <w:r>
              <w:t xml:space="preserve">FRS 2.2.3</w:t>
            </w:r>
          </w:p>
        </w:tc>
        <w:tc>
          <w:tcPr>
            <w:shd w:val="clear" w:color="auto" w:fill="F2F2F2"/>
          </w:tcPr>
          <w:tcPr/>
          <w:p>
            <w:pPr>
              <w:pStyle w:val="Compact"/>
            </w:pPr>
            <w:r>
              <w:t xml:space="preserve">Trim Shop uses weight-based piece count estimation, not physical count confirmation</w:t>
            </w:r>
          </w:p>
        </w:tc>
        <w:tc>
          <w:tcPr>
            <w:shd w:val="clear" w:color="auto" w:fill="F2F2F2"/>
          </w:tcPr>
          <w:tcPr/>
          <w:p>
            <w:pPr>
              <w:pStyle w:val="Compact"/>
            </w:pPr>
            <w:r>
              <w:rPr>
                <w:b/>
                <w:bCs/>
              </w:rPr>
              <w:t xml:space="preserve">Corrected</w:t>
            </w:r>
            <w:r>
              <w:t xml:space="preserve"> </w:t>
            </w:r>
            <w:r>
              <w:t xml:space="preserve">— Trim narrative expanded</w:t>
            </w:r>
          </w:p>
        </w:tc>
      </w:tr>
      <w:tr>
        <w:tc>
          <w:tcPr/>
          <w:p>
            <w:pPr>
              <w:pStyle w:val="Compact"/>
            </w:pPr>
            <w:r>
              <w:t xml:space="preserve">FRS 2.2.4–2.2.5</w:t>
            </w:r>
          </w:p>
        </w:tc>
        <w:tc>
          <w:tcPr/>
          <w:p>
            <w:pPr>
              <w:pStyle w:val="Compact"/>
            </w:pPr>
            <w:r>
              <w:t xml:space="preserve">Machining uses IN/OUT screens and FIFO queue with operator override</w:t>
            </w:r>
          </w:p>
        </w:tc>
        <w:tc>
          <w:tcPr/>
          <w:p>
            <w:pPr>
              <w:pStyle w:val="Compact"/>
            </w:pPr>
            <w:r>
              <w:rPr>
                <w:b/>
                <w:bCs/>
              </w:rPr>
              <w:t xml:space="preserve">Corrected</w:t>
            </w:r>
            <w:r>
              <w:t xml:space="preserve"> </w:t>
            </w:r>
            <w:r>
              <w:t xml:space="preserve">— Machining narrative expanded</w:t>
            </w:r>
          </w:p>
        </w:tc>
      </w:tr>
      <w:tr>
        <w:tc>
          <w:tcPr>
            <w:shd w:val="clear" w:color="auto" w:fill="F2F2F2"/>
          </w:tcPr>
          <w:tcPr/>
          <w:p>
            <w:pPr>
              <w:pStyle w:val="Compact"/>
            </w:pPr>
            <w:r>
              <w:t xml:space="preserve">FRS Section 4</w:t>
            </w:r>
          </w:p>
        </w:tc>
        <w:tc>
          <w:tcPr>
            <w:shd w:val="clear" w:color="auto" w:fill="F2F2F2"/>
          </w:tcPr>
          <w:tcPr/>
          <w:p>
            <w:pPr>
              <w:pStyle w:val="Compact"/>
            </w:pPr>
            <w:r>
              <w:t xml:space="preserve">Reject/scrap data is</w:t>
            </w:r>
            <w:r>
              <w:t xml:space="preserve"> </w:t>
            </w:r>
            <w:r>
              <w:t xml:space="preserve">“not considered part of the permanent production records”</w:t>
            </w:r>
            <w:r>
              <w:t xml:space="preserve">; recording is optional per step</w:t>
            </w:r>
          </w:p>
        </w:tc>
        <w:tc>
          <w:tcPr>
            <w:shd w:val="clear" w:color="auto" w:fill="F2F2F2"/>
          </w:tcPr>
          <w:tcPr/>
          <w:p>
            <w:pPr>
              <w:pStyle w:val="Compact"/>
            </w:pPr>
            <w:r>
              <w:rPr>
                <w:b/>
                <w:bCs/>
              </w:rPr>
              <w:t xml:space="preserve">Corrected</w:t>
            </w:r>
            <w:r>
              <w:t xml:space="preserve"> </w:t>
            </w:r>
            <w:r>
              <w:t xml:space="preserve">— reject entry caveat added</w:t>
            </w:r>
          </w:p>
        </w:tc>
      </w:tr>
      <w:tr>
        <w:tc>
          <w:tcPr/>
          <w:p>
            <w:pPr>
              <w:pStyle w:val="Compact"/>
            </w:pPr>
            <w:r>
              <w:t xml:space="preserve">FRS 3.16.10</w:t>
            </w:r>
          </w:p>
        </w:tc>
        <w:tc>
          <w:tcPr/>
          <w:p>
            <w:pPr>
              <w:pStyle w:val="Compact"/>
            </w:pPr>
            <w:r>
              <w:t xml:space="preserve">Hold blocks</w:t>
            </w:r>
            <w:r>
              <w:t xml:space="preserve"> </w:t>
            </w:r>
            <w:r>
              <w:t xml:space="preserve">“operation completion activities”</w:t>
            </w:r>
            <w:r>
              <w:t xml:space="preserve">, not necessarily LOT selection</w:t>
            </w:r>
          </w:p>
        </w:tc>
        <w:tc>
          <w:tcPr/>
          <w:p>
            <w:pPr>
              <w:pStyle w:val="Compact"/>
            </w:pPr>
            <w:r>
              <w:rPr>
                <w:b/>
                <w:bCs/>
              </w:rPr>
              <w:t xml:space="preserve">Corrected</w:t>
            </w:r>
            <w:r>
              <w:t xml:space="preserve"> </w:t>
            </w:r>
            <w:r>
              <w:t xml:space="preserve">— hold interlock wording softened</w:t>
            </w:r>
          </w:p>
        </w:tc>
      </w:tr>
      <w:tr>
        <w:tc>
          <w:tcPr>
            <w:shd w:val="clear" w:color="auto" w:fill="F2F2F2"/>
          </w:tcPr>
          <w:tcPr/>
          <w:p>
            <w:pPr>
              <w:pStyle w:val="Compact"/>
            </w:pPr>
            <w:r>
              <w:t xml:space="preserve">FRS 2.1.10, 2.2.7</w:t>
            </w:r>
          </w:p>
        </w:tc>
        <w:tc>
          <w:tcPr>
            <w:shd w:val="clear" w:color="auto" w:fill="F2F2F2"/>
          </w:tcPr>
          <w:tcPr/>
          <w:p>
            <w:pPr>
              <w:pStyle w:val="Compact"/>
            </w:pPr>
            <w:r>
              <w:t xml:space="preserve">Sort Cage requires</w:t>
            </w:r>
            <w:r>
              <w:t xml:space="preserve"> </w:t>
            </w:r>
            <w:r>
              <w:t xml:space="preserve">“part replacement”</w:t>
            </w:r>
            <w:r>
              <w:t xml:space="preserve"> </w:t>
            </w:r>
            <w:r>
              <w:t xml:space="preserve">capability; AIM</w:t>
            </w:r>
            <w:r>
              <w:t xml:space="preserve"> </w:t>
            </w:r>
            <w:r>
              <w:rPr>
                <w:rStyle w:val="VerbatimChar"/>
              </w:rPr>
              <w:t xml:space="preserve">UpdateAim</w:t>
            </w:r>
            <w:r>
              <w:t xml:space="preserve"> </w:t>
            </w:r>
            <w:r>
              <w:t xml:space="preserve">supports</w:t>
            </w:r>
            <w:r>
              <w:t xml:space="preserve"> </w:t>
            </w:r>
            <w:r>
              <w:rPr>
                <w:rStyle w:val="VerbatimChar"/>
              </w:rPr>
              <w:t xml:space="preserve">previousSerial</w:t>
            </w:r>
          </w:p>
        </w:tc>
        <w:tc>
          <w:tcPr>
            <w:shd w:val="clear" w:color="auto" w:fill="F2F2F2"/>
          </w:tcPr>
          <w:tcPr/>
          <w:p>
            <w:pPr>
              <w:pStyle w:val="Compact"/>
            </w:pPr>
            <w:r>
              <w:rPr>
                <w:b/>
                <w:bCs/>
              </w:rPr>
              <w:t xml:space="preserve">Added</w:t>
            </w:r>
            <w:r>
              <w:t xml:space="preserve"> </w:t>
            </w:r>
            <w:r>
              <w:t xml:space="preserve">— Sort Cage narrative expanded</w:t>
            </w:r>
          </w:p>
        </w:tc>
      </w:tr>
      <w:tr>
        <w:tc>
          <w:tcPr/>
          <w:p>
            <w:pPr>
              <w:pStyle w:val="Compact"/>
            </w:pPr>
            <w:r>
              <w:t xml:space="preserve">Appendix E</w:t>
            </w:r>
          </w:p>
        </w:tc>
        <w:tc>
          <w:tcPr/>
          <w:p>
            <w:pPr>
              <w:pStyle w:val="Compact"/>
            </w:pPr>
            <w:r>
              <w:t xml:space="preserve">Defect code count is ~145, not ~170; includes HSP department</w:t>
            </w:r>
          </w:p>
        </w:tc>
        <w:tc>
          <w:tcPr/>
          <w:p>
            <w:pPr>
              <w:pStyle w:val="Compact"/>
            </w:pPr>
            <w:r>
              <w:rPr>
                <w:b/>
                <w:bCs/>
              </w:rPr>
              <w:t xml:space="preserve">Corrected</w:t>
            </w:r>
          </w:p>
        </w:tc>
      </w:tr>
      <w:tr>
        <w:tc>
          <w:tcPr>
            <w:shd w:val="clear" w:color="auto" w:fill="F2F2F2"/>
          </w:tcPr>
          <w:tcPr/>
          <w:p>
            <w:pPr>
              <w:pStyle w:val="Compact"/>
            </w:pPr>
            <w:r>
              <w:t xml:space="preserve">Appendix C OPC tags</w:t>
            </w:r>
          </w:p>
        </w:tc>
        <w:tc>
          <w:tcPr>
            <w:shd w:val="clear" w:color="auto" w:fill="F2F2F2"/>
          </w:tcPr>
          <w:tcPr/>
          <w:p>
            <w:pPr>
              <w:pStyle w:val="Compact"/>
            </w:pPr>
            <w:r>
              <w:t xml:space="preserve">Non-serialized lines have defined PLC integration (PartDisposition, ContainerName), not undefined</w:t>
            </w:r>
          </w:p>
        </w:tc>
        <w:tc>
          <w:tcPr>
            <w:shd w:val="clear" w:color="auto" w:fill="F2F2F2"/>
          </w:tcPr>
          <w:tcPr/>
          <w:p>
            <w:pPr>
              <w:pStyle w:val="Compact"/>
            </w:pPr>
            <w:r>
              <w:rPr>
                <w:b/>
                <w:bCs/>
              </w:rPr>
              <w:t xml:space="preserve">Added</w:t>
            </w:r>
            <w:r>
              <w:t xml:space="preserve"> </w:t>
            </w:r>
            <w:r>
              <w:t xml:space="preserve">— non-serialized line note in Assembly</w:t>
            </w:r>
          </w:p>
        </w:tc>
      </w:tr>
      <w:tr>
        <w:tc>
          <w:tcPr/>
          <w:p>
            <w:pPr>
              <w:pStyle w:val="Compact"/>
            </w:pPr>
            <w:r>
              <w:t xml:space="preserve">Appendix C OPC tags</w:t>
            </w:r>
          </w:p>
        </w:tc>
        <w:tc>
          <w:tcPr/>
          <w:p>
            <w:pPr>
              <w:pStyle w:val="Compact"/>
            </w:pPr>
            <w:r>
              <w:t xml:space="preserve">Weight-based container closure exists on some lines (OmniServer scales)</w:t>
            </w:r>
          </w:p>
        </w:tc>
        <w:tc>
          <w:tcPr/>
          <w:p>
            <w:pPr>
              <w:pStyle w:val="Compact"/>
            </w:pPr>
            <w:r>
              <w:rPr>
                <w:b/>
                <w:bCs/>
              </w:rPr>
              <w:t xml:space="preserve">Added</w:t>
            </w:r>
            <w:r>
              <w:t xml:space="preserve"> </w:t>
            </w:r>
            <w:r>
              <w:t xml:space="preserve">— assumption #13</w:t>
            </w:r>
          </w:p>
        </w:tc>
      </w:tr>
      <w:tr>
        <w:tc>
          <w:tcPr>
            <w:shd w:val="clear" w:color="auto" w:fill="F2F2F2"/>
          </w:tcPr>
          <w:tcPr/>
          <w:p>
            <w:pPr>
              <w:pStyle w:val="Compact"/>
            </w:pPr>
            <w:r>
              <w:t xml:space="preserve">Touchpoint Agreement 1.1</w:t>
            </w:r>
          </w:p>
        </w:tc>
        <w:tc>
          <w:tcPr>
            <w:shd w:val="clear" w:color="auto" w:fill="F2F2F2"/>
          </w:tcPr>
          <w:tcPr/>
          <w:p>
            <w:pPr>
              <w:pStyle w:val="Compact"/>
            </w:pPr>
            <w:r>
              <w:rPr>
                <w:rStyle w:val="VerbatimChar"/>
              </w:rPr>
              <w:t xml:space="preserve">HardwareInterlockEnable=false</w:t>
            </w:r>
            <w:r>
              <w:t xml:space="preserve"> </w:t>
            </w:r>
            <w:r>
              <w:t xml:space="preserve">is a valid bypass mode, not an error</w:t>
            </w:r>
          </w:p>
        </w:tc>
        <w:tc>
          <w:tcPr>
            <w:shd w:val="clear" w:color="auto" w:fill="F2F2F2"/>
          </w:tcPr>
          <w:tcPr/>
          <w:p>
            <w:pPr>
              <w:pStyle w:val="Compact"/>
            </w:pPr>
            <w:r>
              <w:rPr>
                <w:b/>
                <w:bCs/>
              </w:rPr>
              <w:t xml:space="preserve">Added</w:t>
            </w:r>
            <w:r>
              <w:t xml:space="preserve"> </w:t>
            </w:r>
            <w:r>
              <w:t xml:space="preserve">— assumption #16</w:t>
            </w:r>
          </w:p>
        </w:tc>
      </w:tr>
      <w:tr>
        <w:tc>
          <w:tcPr/>
          <w:p>
            <w:pPr>
              <w:pStyle w:val="Compact"/>
            </w:pPr>
            <w:r>
              <w:t xml:space="preserve">DCFM paper sheets</w:t>
            </w:r>
          </w:p>
        </w:tc>
        <w:tc>
          <w:tcPr/>
          <w:p>
            <w:pPr>
              <w:pStyle w:val="Compact"/>
            </w:pPr>
            <w:r>
              <w:t xml:space="preserve">Warm-up shots tracked separately from production shots</w:t>
            </w:r>
          </w:p>
        </w:tc>
        <w:tc>
          <w:tcPr/>
          <w:p>
            <w:pPr>
              <w:pStyle w:val="Compact"/>
            </w:pPr>
            <w:r>
              <w:rPr>
                <w:b/>
                <w:bCs/>
              </w:rPr>
              <w:t xml:space="preserve">Added</w:t>
            </w:r>
            <w:r>
              <w:t xml:space="preserve"> </w:t>
            </w:r>
            <w:r>
              <w:t xml:space="preserve">— warm-up shots in Die Cast narrative + assumption #14</w:t>
            </w:r>
          </w:p>
        </w:tc>
      </w:tr>
      <w:tr>
        <w:tc>
          <w:tcPr>
            <w:shd w:val="clear" w:color="auto" w:fill="F2F2F2"/>
          </w:tcPr>
          <w:tcPr/>
          <w:p>
            <w:pPr>
              <w:pStyle w:val="Compact"/>
            </w:pPr>
            <w:r>
              <w:t xml:space="preserve">DCFM paper sheets</w:t>
            </w:r>
          </w:p>
        </w:tc>
        <w:tc>
          <w:tcPr>
            <w:shd w:val="clear" w:color="auto" w:fill="F2F2F2"/>
          </w:tcPr>
          <w:tcPr/>
          <w:p>
            <w:pPr>
              <w:pStyle w:val="Compact"/>
            </w:pPr>
            <w:r>
              <w:t xml:space="preserve">Shift runtime adjustments (lunch, breaks, overtime) are manual additions</w:t>
            </w:r>
          </w:p>
        </w:tc>
        <w:tc>
          <w:tcPr>
            <w:shd w:val="clear" w:color="auto" w:fill="F2F2F2"/>
          </w:tcPr>
          <w:tcPr/>
          <w:p>
            <w:pPr>
              <w:pStyle w:val="Compact"/>
            </w:pPr>
            <w:r>
              <w:rPr>
                <w:b/>
                <w:bCs/>
              </w:rPr>
              <w:t xml:space="preserve">Added</w:t>
            </w:r>
            <w:r>
              <w:t xml:space="preserve"> </w:t>
            </w:r>
            <w:r>
              <w:t xml:space="preserve">— End of Shift narrative expanded</w:t>
            </w:r>
          </w:p>
        </w:tc>
      </w:tr>
      <w:tr>
        <w:tc>
          <w:tcPr/>
          <w:p>
            <w:pPr>
              <w:pStyle w:val="Compact"/>
            </w:pPr>
            <w:r>
              <w:t xml:space="preserve">FRS 5.6.6 / Appendix F</w:t>
            </w:r>
          </w:p>
        </w:tc>
        <w:tc>
          <w:tcPr/>
          <w:p>
            <w:pPr>
              <w:pStyle w:val="Compact"/>
            </w:pPr>
            <w:r>
              <w:t xml:space="preserve">PD application replacement is a process change; clerk enters data 2hr post-shift</w:t>
            </w:r>
          </w:p>
        </w:tc>
        <w:tc>
          <w:tcPr/>
          <w:p>
            <w:pPr>
              <w:pStyle w:val="Compact"/>
            </w:pPr>
            <w:r>
              <w:rPr>
                <w:b/>
                <w:bCs/>
              </w:rPr>
              <w:t xml:space="preserve">Added</w:t>
            </w:r>
            <w:r>
              <w:t xml:space="preserve"> </w:t>
            </w:r>
            <w:r>
              <w:t xml:space="preserve">— PD replacement note + assumption #19</w:t>
            </w:r>
          </w:p>
        </w:tc>
      </w:tr>
      <w:tr>
        <w:tc>
          <w:tcPr>
            <w:shd w:val="clear" w:color="auto" w:fill="F2F2F2"/>
          </w:tcPr>
          <w:tcPr/>
          <w:p>
            <w:pPr>
              <w:pStyle w:val="Compact"/>
            </w:pPr>
            <w:r>
              <w:t xml:space="preserve">Spark Dependency Register B.12</w:t>
            </w:r>
          </w:p>
        </w:tc>
        <w:tc>
          <w:tcPr>
            <w:shd w:val="clear" w:color="auto" w:fill="F2F2F2"/>
          </w:tcPr>
          <w:tcPr/>
          <w:p>
            <w:pPr>
              <w:pStyle w:val="Compact"/>
            </w:pPr>
            <w:r>
              <w:t xml:space="preserve">Event outbox + background worker pattern makes AIM/label calls async</w:t>
            </w:r>
          </w:p>
        </w:tc>
        <w:tc>
          <w:tcPr>
            <w:shd w:val="clear" w:color="auto" w:fill="F2F2F2"/>
          </w:tcPr>
          <w:tcPr/>
          <w:p>
            <w:pPr>
              <w:pStyle w:val="Compact"/>
            </w:pPr>
            <w:r>
              <w:rPr>
                <w:b/>
                <w:bCs/>
              </w:rPr>
              <w:t xml:space="preserve">Added</w:t>
            </w:r>
            <w:r>
              <w:t xml:space="preserve"> </w:t>
            </w:r>
            <w:r>
              <w:t xml:space="preserve">— assumption #18</w:t>
            </w:r>
          </w:p>
        </w:tc>
      </w:tr>
      <w:tr>
        <w:tc>
          <w:tcPr/>
          <w:p>
            <w:pPr>
              <w:pStyle w:val="Compact"/>
            </w:pPr>
            <w:r>
              <w:t xml:space="preserve">Scope Matrix row 14</w:t>
            </w:r>
          </w:p>
        </w:tc>
        <w:tc>
          <w:tcPr/>
          <w:p>
            <w:pPr>
              <w:pStyle w:val="Compact"/>
            </w:pPr>
            <w:r>
              <w:t xml:space="preserve">NCM/Failure Analysis is FUTURE; Sort Cage uses holds-only in MVP</w:t>
            </w:r>
          </w:p>
        </w:tc>
        <w:tc>
          <w:tcPr/>
          <w:p>
            <w:pPr>
              <w:pStyle w:val="Compact"/>
            </w:pPr>
            <w:r>
              <w:rPr>
                <w:b/>
                <w:bCs/>
              </w:rPr>
              <w:t xml:space="preserve">Added</w:t>
            </w:r>
            <w:r>
              <w:t xml:space="preserve"> </w:t>
            </w:r>
            <w:r>
              <w:t xml:space="preserve">— scope note in Sort Cage narrative</w:t>
            </w:r>
          </w:p>
        </w:tc>
      </w:tr>
      <w:tr>
        <w:tc>
          <w:tcPr>
            <w:shd w:val="clear" w:color="auto" w:fill="F2F2F2"/>
          </w:tcPr>
          <w:tcPr/>
          <w:p>
            <w:pPr>
              <w:pStyle w:val="Compact"/>
            </w:pPr>
            <w:r>
              <w:t xml:space="preserve">Scope Matrix row 20</w:t>
            </w:r>
          </w:p>
        </w:tc>
        <w:tc>
          <w:tcPr>
            <w:shd w:val="clear" w:color="auto" w:fill="F2F2F2"/>
          </w:tcPr>
          <w:tcPr/>
          <w:p>
            <w:pPr>
              <w:pStyle w:val="Compact"/>
            </w:pPr>
            <w:r>
              <w:t xml:space="preserve">Pass-through full workflow is FUTURE; receiving is MVP</w:t>
            </w:r>
          </w:p>
        </w:tc>
        <w:tc>
          <w:tcPr>
            <w:shd w:val="clear" w:color="auto" w:fill="F2F2F2"/>
          </w:tcPr>
          <w:tcPr/>
          <w:p>
            <w:pPr>
              <w:pStyle w:val="Compact"/>
            </w:pPr>
            <w:r>
              <w:rPr>
                <w:b/>
                <w:bCs/>
              </w:rPr>
              <w:t xml:space="preserve">Added</w:t>
            </w:r>
            <w:r>
              <w:t xml:space="preserve"> </w:t>
            </w:r>
            <w:r>
              <w:t xml:space="preserve">— scope note in Receiving narrative</w:t>
            </w:r>
          </w:p>
        </w:tc>
      </w:tr>
      <w:tr>
        <w:tc>
          <w:tcPr/>
          <w:p>
            <w:pPr>
              <w:pStyle w:val="Compact"/>
            </w:pPr>
            <w:r>
              <w:t xml:space="preserve">MS1FM production sheets</w:t>
            </w:r>
          </w:p>
        </w:tc>
        <w:tc>
          <w:tcPr/>
          <w:p>
            <w:pPr>
              <w:pStyle w:val="Compact"/>
            </w:pPr>
            <w:r>
              <w:t xml:space="preserve">Multi-part inspection lines (59B/5PA/6NA on one line)</w:t>
            </w:r>
          </w:p>
        </w:tc>
        <w:tc>
          <w:tcPr/>
          <w:p>
            <w:pPr>
              <w:pStyle w:val="Compact"/>
            </w:pPr>
            <w:r>
              <w:rPr>
                <w:b/>
                <w:bCs/>
              </w:rPr>
              <w:t xml:space="preserve">Added</w:t>
            </w:r>
            <w:r>
              <w:t xml:space="preserve"> </w:t>
            </w:r>
            <w:r>
              <w:t xml:space="preserve">— assumption #15</w:t>
            </w:r>
          </w:p>
        </w:tc>
      </w:tr>
      <w:tr>
        <w:tc>
          <w:tcPr>
            <w:shd w:val="clear" w:color="auto" w:fill="F2F2F2"/>
          </w:tcPr>
          <w:tcPr/>
          <w:p>
            <w:pPr>
              <w:pStyle w:val="Compact"/>
            </w:pPr>
            <w:r>
              <w:t xml:space="preserve">Appendix C OPC tags</w:t>
            </w:r>
          </w:p>
        </w:tc>
        <w:tc>
          <w:tcPr>
            <w:shd w:val="clear" w:color="auto" w:fill="F2F2F2"/>
          </w:tcPr>
          <w:tcPr/>
          <w:p>
            <w:pPr>
              <w:pStyle w:val="Compact"/>
            </w:pPr>
            <w:r>
              <w:t xml:space="preserve">Vision-based part confirmation on some lines (VisionPartNumber)</w:t>
            </w:r>
          </w:p>
        </w:tc>
        <w:tc>
          <w:tcPr>
            <w:shd w:val="clear" w:color="auto" w:fill="F2F2F2"/>
          </w:tcPr>
          <w:tcPr/>
          <w:p>
            <w:pPr>
              <w:pStyle w:val="Compact"/>
            </w:pPr>
            <w:r>
              <w:rPr>
                <w:b/>
                <w:bCs/>
              </w:rPr>
              <w:t xml:space="preserve">Added</w:t>
            </w:r>
            <w:r>
              <w:t xml:space="preserve"> </w:t>
            </w:r>
            <w:r>
              <w:t xml:space="preserve">— assumption #17</w:t>
            </w:r>
          </w:p>
        </w:tc>
      </w:tr>
      <w:tr>
        <w:tc>
          <w:tcPr/>
          <w:p>
            <w:pPr>
              <w:pStyle w:val="Compact"/>
            </w:pPr>
            <w:r>
              <w:t xml:space="preserve">Appendix B</w:t>
            </w:r>
          </w:p>
        </w:tc>
        <w:tc>
          <w:tcPr/>
          <w:p>
            <w:pPr>
              <w:pStyle w:val="Compact"/>
            </w:pPr>
            <w:r>
              <w:t xml:space="preserve">Machine count of ~230 confirmed (230 entries in FRS)</w:t>
            </w:r>
          </w:p>
        </w:tc>
        <w:tc>
          <w:tcPr/>
          <w:p>
            <w:pPr>
              <w:pStyle w:val="Compact"/>
            </w:pPr>
            <w:r>
              <w:t xml:space="preserve">Verified — no change needed</w:t>
            </w:r>
          </w:p>
        </w:tc>
      </w:tr>
      <w:tr>
        <w:tc>
          <w:tcPr>
            <w:shd w:val="clear" w:color="auto" w:fill="F2F2F2"/>
          </w:tcPr>
          <w:tcPr/>
          <w:p>
            <w:pPr>
              <w:pStyle w:val="Compact"/>
            </w:pPr>
            <w:r>
              <w:t xml:space="preserve">Appendix D</w:t>
            </w:r>
          </w:p>
        </w:tc>
        <w:tc>
          <w:tcPr>
            <w:shd w:val="clear" w:color="auto" w:fill="F2F2F2"/>
          </w:tcPr>
          <w:tcPr/>
          <w:p>
            <w:pPr>
              <w:pStyle w:val="Compact"/>
            </w:pPr>
            <w:r>
              <w:t xml:space="preserve">Downtime code count of ~660 confirmed (662 entries in FRS)</w:t>
            </w:r>
          </w:p>
        </w:tc>
        <w:tc>
          <w:tcPr>
            <w:shd w:val="clear" w:color="auto" w:fill="F2F2F2"/>
          </w:tcPr>
          <w:tcPr/>
          <w:p>
            <w:pPr>
              <w:pStyle w:val="Compact"/>
            </w:pPr>
            <w:r>
              <w:t xml:space="preserve">Verified — no change needed</w:t>
            </w:r>
          </w:p>
        </w:tc>
      </w:tr>
      <w:tr>
        <w:tc>
          <w:tcPr/>
          <w:p>
            <w:pPr>
              <w:pStyle w:val="Compact"/>
            </w:pPr>
            <w:r>
              <w:t xml:space="preserve">Appendix L</w:t>
            </w:r>
          </w:p>
        </w:tc>
        <w:tc>
          <w:tcPr/>
          <w:p>
            <w:pPr>
              <w:pStyle w:val="Compact"/>
            </w:pPr>
            <w:r>
              <w:t xml:space="preserve">AIM interface methods (GetNextNumber, UpdateAim, PlaceOnHold, ReleaseFromHold) confirmed</w:t>
            </w:r>
          </w:p>
        </w:tc>
        <w:tc>
          <w:tcPr/>
          <w:p>
            <w:pPr>
              <w:pStyle w:val="Compact"/>
            </w:pPr>
            <w:r>
              <w:t xml:space="preserve">Verified — no change needed</w:t>
            </w:r>
          </w:p>
        </w:tc>
      </w:tr>
      <w:tr>
        <w:tc>
          <w:tcPr>
            <w:shd w:val="clear" w:color="auto" w:fill="F2F2F2"/>
          </w:tcPr>
          <w:tcPr/>
          <w:p>
            <w:pPr>
              <w:pStyle w:val="Compact"/>
            </w:pPr>
            <w:r>
              <w:t xml:space="preserve">Appendix H, I</w:t>
            </w:r>
          </w:p>
        </w:tc>
        <w:tc>
          <w:tcPr>
            <w:shd w:val="clear" w:color="auto" w:fill="F2F2F2"/>
          </w:tcPr>
          <w:tcPr/>
          <w:p>
            <w:pPr>
              <w:pStyle w:val="Compact"/>
            </w:pPr>
            <w:r>
              <w:t xml:space="preserve">Legacy UI screens and work instructions are placeholder-only in FRS — cannot validate operator workflows</w:t>
            </w:r>
          </w:p>
        </w:tc>
        <w:tc>
          <w:tcPr>
            <w:shd w:val="clear" w:color="auto" w:fill="F2F2F2"/>
          </w:tcPr>
          <w:tcPr/>
          <w:p>
            <w:pPr>
              <w:pStyle w:val="Compact"/>
            </w:pPr>
            <w:r>
              <w:t xml:space="preserve">Noted — no action possible</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2026-04-22T16:34:15Z</dcterms:created>
  <dcterms:modified xsi:type="dcterms:W3CDTF">2026-04-22T16:34:15Z</dcterms:modified>
</cp:coreProperties>
</file>

<file path=docProps/custom.xml><?xml version="1.0" encoding="utf-8"?>
<Properties xmlns="http://schemas.openxmlformats.org/officeDocument/2006/custom-properties" xmlns:vt="http://schemas.openxmlformats.org/officeDocument/2006/docPropsVTypes"/>
</file>