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0"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0.11j — Working Draft</w:t>
      </w:r>
      <w:r>
        <w:t xml:space="preserve"> </w:t>
      </w:r>
      <w:r>
        <w:rPr>
          <w:b/>
          <w:bCs/>
        </w:rPr>
        <w:t xml:space="preserve">Date:</w:t>
      </w:r>
      <w:r>
        <w:t xml:space="preserve"> </w:t>
      </w:r>
      <w:r>
        <w:t xml:space="preserve">2026-04-27</w:t>
      </w:r>
    </w:p>
    <w:p>
      <w:r>
        <w:pict>
          <v:rect style="width:0;height:1.5pt" o:hralign="center" o:hrstd="t" o:hr="t"/>
        </w:pict>
      </w:r>
    </w:p>
    <w:bookmarkStart w:id="9" w:name="revision-history"/>
    <w:p>
      <w:pPr>
        <w:pStyle w:val="Heading2"/>
      </w:pPr>
      <w:r>
        <w:t xml:space="preserve">Revision History</w:t>
      </w:r>
    </w:p>
    <w:p>
      <w:pPr>
        <w:pStyle w:val="BlockText"/>
      </w:pPr>
      <w:r>
        <w:t xml:space="preserve">Newest at top. Each entry:</w:t>
      </w:r>
      <w:r>
        <w:t xml:space="preserve"> </w:t>
      </w:r>
      <w:r>
        <w:rPr>
          <w:b/>
          <w:bCs/>
        </w:rPr>
        <w:t xml:space="preserve">§ section(s) — driver/topic.</w:t>
      </w:r>
      <w:r>
        <w:t xml:space="preserve"> </w:t>
      </w:r>
      <w:r>
        <w:t xml:space="preserve">Specific FDS-XX-NNN req IDs created or rewritten. Companion data model / OIR / ERD versions where applicable.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0.11j</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§1.6, §4.3, §6.5, §7.2, §7.3, §9.4, §10.3 — UJ batch closures (UJ-09, -10, -17, -18 with downstream design impact).</w:t>
            </w:r>
            <w:r>
              <w:t xml:space="preserve"> </w:t>
            </w:r>
            <w:r>
              <w:t xml:space="preserve">FDS-01-014 NEW (Gateway-script-async cross-cutting integration pattern, UJ-18); FDS-04-007 elevated-action list extended (UJ-09 BOM substitute override); FDS-06-011 extended (UJ-09 supervisor-override flow at scan-in); FDS-07-005 amended (print extracted from atomic block, UJ-18); FDS-07-006a NEW (print dispatch + 3×2s retry, UJ-18); FDS-07-006b NEW (banner + safety-sweep + stranded-prints alarm at 5, UJ-18); FDS-09-015 NEW (shift-end summary screen, UJ-10 Option D); FDS-10-013 NEW (</w:t>
            </w:r>
            <w:r>
              <w:rPr>
                <w:rStyle w:val="VerbatimChar"/>
              </w:rPr>
              <w:t xml:space="preserve">ConfirmationMethod</w:t>
            </w:r>
            <w:r>
              <w:t xml:space="preserve"> </w:t>
            </w:r>
            <w:r>
              <w:t xml:space="preserve">LocationAttribute, UJ-17 Option A). Data Model v1.9i (</w:t>
            </w:r>
            <w:r>
              <w:rPr>
                <w:rStyle w:val="VerbatimChar"/>
              </w:rPr>
              <w:t xml:space="preserve">Lots.ShippingLabel</w:t>
            </w:r>
            <w:r>
              <w:t xml:space="preserve"> </w:t>
            </w:r>
            <w:r>
              <w:t xml:space="preserve">+5 print-state columns). OIR v2.14.</w:t>
            </w:r>
          </w:p>
        </w:tc>
      </w:tr>
      <w:tr>
        <w:tc>
          <w:tcPr>
            <w:shd w:val="clear" w:color="auto" w:fill="F2F2F2"/>
          </w:tcPr>
          <w:tcPr/>
          <w:p>
            <w:pPr>
              <w:pStyle w:val="Compact"/>
            </w:pPr>
            <w:r>
              <w:t xml:space="preserve">0.11i</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§7.2, §7.4 — UJ-04 AIM Shipper ID local pool.</w:t>
            </w:r>
            <w:r>
              <w:t xml:space="preserve"> </w:t>
            </w:r>
            <w:r>
              <w:t xml:space="preserve">FDS-07-005 rewritten, FDS-07-008 amended, FDS-07-010 rewritten; FDS-07-010a/b/c NEW. Data Model v1.9h.</w:t>
            </w:r>
          </w:p>
        </w:tc>
      </w:tr>
      <w:tr>
        <w:tc>
          <w:tcPr/>
          <w:p>
            <w:pPr>
              <w:pStyle w:val="Compact"/>
            </w:pPr>
            <w:r>
              <w:t xml:space="preserve">0.11h</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§5.3 — OI-21 Pausable LOT at Workstation.</w:t>
            </w:r>
            <w:r>
              <w:t xml:space="preserve"> </w:t>
            </w:r>
            <w:r>
              <w:t xml:space="preserve">FDS-05-038 NEW. Data Model v1.9g.</w:t>
            </w:r>
          </w:p>
        </w:tc>
      </w:tr>
      <w:tr>
        <w:tc>
          <w:tcPr>
            <w:shd w:val="clear" w:color="auto" w:fill="F2F2F2"/>
          </w:tcPr>
          <w:tcPr/>
          <w:p>
            <w:pPr>
              <w:pStyle w:val="Compact"/>
            </w:pPr>
            <w:r>
              <w:t xml:space="preserve">0.11g</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 OI-16 PLC confirm + RequiresCompletionConfirm LocationAttribute.</w:t>
            </w:r>
            <w:r>
              <w:t xml:space="preserve"> </w:t>
            </w:r>
            <w:r>
              <w:t xml:space="preserve">FDS-06-028 extended. Data Model v1.9f.</w:t>
            </w:r>
          </w:p>
        </w:tc>
      </w:tr>
      <w:tr>
        <w:tc>
          <w:tcPr/>
          <w:p>
            <w:pPr>
              <w:pStyle w:val="Compact"/>
            </w:pPr>
            <w:r>
              <w:t xml:space="preserve">0.11f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§5.1 — OI-23 Lot derived quantities as a view.</w:t>
            </w:r>
            <w:r>
              <w:t xml:space="preserve"> </w:t>
            </w:r>
            <w:r>
              <w:t xml:space="preserve">FDS-05-031 rewritten. Data Model v1.9e.</w:t>
            </w:r>
          </w:p>
        </w:tc>
      </w:tr>
      <w:tr>
        <w:tc>
          <w:tcPr>
            <w:shd w:val="clear" w:color="auto" w:fill="F2F2F2"/>
          </w:tcPr>
          <w:tcPr/>
          <w:p>
            <w:pPr>
              <w:pStyle w:val="Compact"/>
            </w:pPr>
            <w:r>
              <w:t xml:space="preserve">0.11e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§2.5, §4 — OI-08 Terminal mode by parent Location tier.</w:t>
            </w:r>
            <w:r>
              <w:t xml:space="preserve"> </w:t>
            </w:r>
            <w:r>
              <w:t xml:space="preserve">FDS-02-010, FDS-04-003 rewritten. (No data model change.)</w:t>
            </w:r>
          </w:p>
        </w:tc>
      </w:tr>
      <w:tr>
        <w:tc>
          <w:tcPr/>
          <w:p>
            <w:pPr>
              <w:pStyle w:val="Compact"/>
            </w:pPr>
            <w:r>
              <w:t xml:space="preserve">0.11d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§3.5 — OI-18 ItemLocation hierarchy cascade.</w:t>
            </w:r>
            <w:r>
              <w:t xml:space="preserve"> </w:t>
            </w:r>
            <w:r>
              <w:t xml:space="preserve">FDS-03-014 rewritten; FDS-03-015, FDS-03-018 extended. Data Model v1.9d.</w:t>
            </w:r>
          </w:p>
        </w:tc>
      </w:tr>
      <w:tr>
        <w:tc>
          <w:tcPr>
            <w:shd w:val="clear" w:color="auto" w:fill="F2F2F2"/>
          </w:tcPr>
          <w:tcPr/>
          <w:p>
            <w:pPr>
              <w:pStyle w:val="Compact"/>
            </w:pPr>
            <w:r>
              <w:t xml:space="preserve">0.11c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§3.6 — OI-12 MaxParts moved to Parts.Item.</w:t>
            </w:r>
            <w:r>
              <w:t xml:space="preserve"> </w:t>
            </w:r>
            <w:r>
              <w:t xml:space="preserve">FDS-03-019 rewritten. Data Model v1.9c.</w:t>
            </w:r>
          </w:p>
        </w:tc>
      </w:tr>
      <w:tr>
        <w:tc>
          <w:tcPr/>
          <w:p>
            <w:pPr>
              <w:pStyle w:val="Compact"/>
            </w:pPr>
            <w:r>
              <w:t xml:space="preserve">0.11b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§6.10 — OI-07 WorkOrderType corrected to single Production seed.</w:t>
            </w:r>
            <w:r>
              <w:t xml:space="preserve"> </w:t>
            </w:r>
            <w:r>
              <w:t xml:space="preserve">FDS-06-022 renamed; FDS-06-027 deleted; FDS-06-025, FDS-06-028 updated. Data Model v1.9b.</w:t>
            </w:r>
          </w:p>
        </w:tc>
      </w:tr>
      <w:tr>
        <w:tc>
          <w:tcPr>
            <w:shd w:val="clear" w:color="auto" w:fill="F2F2F2"/>
          </w:tcPr>
          <w:tcPr/>
          <w:p>
            <w:pPr>
              <w:pStyle w:val="Compact"/>
            </w:pPr>
            <w:r>
              <w:t xml:space="preserve">0.11</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§3.4, §5.1, §5.2, §5.3, §5.4, §5.5, §6.2, §6.10, §16 (NEW) — Arc 2 model revisions (Tool/Cavity on Lot, ProductionEvent checkpoint shape, IdentifierSequence, cavity-parallel LOTs as peers).</w:t>
            </w:r>
            <w:r>
              <w:t xml:space="preserve"> </w:t>
            </w:r>
            <w:r>
              <w:t xml:space="preserve">FDS-03-017a rewritten; FDS-05-003 revised; FDS-05-030, -034, -035, -036, -037 NEW; FDS-06-003 revised; FDS-06-030 NEW; FDS-16-001..003 NEW. Data Model v1.9.</w:t>
            </w:r>
          </w:p>
        </w:tc>
      </w:tr>
      <w:tr>
        <w:tc>
          <w:tcPr/>
          <w:p>
            <w:pPr>
              <w:pStyle w:val="Compact"/>
            </w:pPr>
            <w:r>
              <w:t xml:space="preserve">0.10-rev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§5.10 — OI-11 Casting → Trim via 1-line BOM (no new schema).</w:t>
            </w:r>
            <w:r>
              <w:t xml:space="preserve"> </w:t>
            </w:r>
            <w:r>
              <w:t xml:space="preserve">FDS-05-033..035 consolidated into FDS-05-033. Data Model v1.8-rev.</w:t>
            </w:r>
          </w:p>
        </w:tc>
      </w:tr>
      <w:tr>
        <w:tc>
          <w:tcPr>
            <w:shd w:val="clear" w:color="auto" w:fill="F2F2F2"/>
          </w:tcPr>
          <w:tcPr/>
          <w:p>
            <w:pPr>
              <w:pStyle w:val="Compact"/>
            </w:pPr>
            <w:r>
              <w:t xml:space="preserve">0.10</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§1.4, §3.1, §3.5, §3.6, §4.3, §5.1, §5.3, §5.10, §6.8, §6.10, §8.2, §12.5, §14 — Phase E of OI review refactor (OI-11..23).</w:t>
            </w:r>
            <w:r>
              <w:t xml:space="preserve"> </w:t>
            </w:r>
            <w:r>
              <w:t xml:space="preserve">FDS-01-013, FDS-03-018, FDS-03-019, FDS-03-020, FDS-05-031, FDS-05-032, FDS-05-033, FDS-06-023a, FDS-06-028, FDS-06-029, FDS-08-007a, FDS-12-009..011 NEW; FDS-03-001, FDS-04-007 extended. Data Model v1.8.</w:t>
            </w:r>
          </w:p>
        </w:tc>
      </w:tr>
      <w:tr>
        <w:tc>
          <w:tcPr/>
          <w:p>
            <w:pPr>
              <w:pStyle w:val="Compact"/>
            </w:pPr>
            <w:r>
              <w:t xml:space="preserve">0.9</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§2.5, §5.4, §5.5, §6.10, §9.4, §10.3 — Phase D of OI review refactor (OI-04, -05, -07, -08 addenda, -09 addenda, -03).</w:t>
            </w:r>
            <w:r>
              <w:t xml:space="preserve"> </w:t>
            </w:r>
            <w:r>
              <w:t xml:space="preserve">FDS-02-010..014, FDS-05-022..024 NEW; FDS-05-025..027 (merge rules); FDS-06-025..027; FDS-09-012..014 NEW; FDS-10-005 rewritten; FDS-10-009..012 NEW. Data Model v1.7.</w:t>
            </w:r>
          </w:p>
        </w:tc>
      </w:tr>
      <w:tr>
        <w:tc>
          <w:tcPr>
            <w:shd w:val="clear" w:color="auto" w:fill="F2F2F2"/>
          </w:tcPr>
          <w:tcPr/>
          <w:p>
            <w:pPr>
              <w:pStyle w:val="Compact"/>
            </w:pPr>
            <w:r>
              <w:t xml:space="preserve">0.8</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§1.6, §4 — OI-06 security rewrite (initials-based operator presence; AD elevation per-action; clock# + PIN removed).</w:t>
            </w:r>
            <w:r>
              <w:t xml:space="preserve"> </w:t>
            </w:r>
            <w:r>
              <w:t xml:space="preserve">FDS-01-010 updated; FDS-04-001..010 (entire section rewritten); FDS-04-009, FDS-04-010 NEW. Data Model v1.6.</w:t>
            </w:r>
          </w:p>
        </w:tc>
      </w:tr>
      <w:tr>
        <w:tc>
          <w:tcPr/>
          <w:p>
            <w:pPr>
              <w:pStyle w:val="Compact"/>
            </w:pPr>
            <w:r>
              <w:t xml:space="preserve">0.7</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§3.4, §6.2 — Production data collection capture (template→event gap closed).</w:t>
            </w:r>
            <w:r>
              <w:t xml:space="preserve"> </w:t>
            </w:r>
            <w:r>
              <w:t xml:space="preserve">FDS-03-012 rewritten; FDS-03-017a NEW; FDS-06-001, FDS-06-003 rewritten. Data Model v1.4.</w:t>
            </w:r>
          </w:p>
        </w:tc>
      </w:tr>
      <w:tr>
        <w:tc>
          <w:tcPr>
            <w:shd w:val="clear" w:color="auto" w:fill="F2F2F2"/>
          </w:tcPr>
          <w:tcPr/>
          <w:p>
            <w:pPr>
              <w:pStyle w:val="Compact"/>
            </w:pPr>
            <w:r>
              <w:t xml:space="preserve">0.6</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§11 — Phase 5/6 SQL completion + Ignition JDBC convention.</w:t>
            </w:r>
            <w:r>
              <w:t xml:space="preserve"> </w:t>
            </w:r>
            <w:r>
              <w:t xml:space="preserve">FDS-11-011 NEW (single-result-set / no-OUTPUT-params rule). Data Model v1.3.</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rPr>
                <w:b/>
                <w:bCs/>
              </w:rPr>
              <w:t xml:space="preserve">§11 — Audit fourth log stream (FailureLog).</w:t>
            </w:r>
            <w:r>
              <w:t xml:space="preserve"> </w:t>
            </w:r>
            <w:r>
              <w:t xml:space="preserve">FDS-11-004 NEW; FDS-11-005..010 renumbered.</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§2.1–2.5, §5.3, §5.20, §6.19, §7.19 — Location model restructure (LocationType / LocationTypeDefinition / LocationAttributeDefinition).</w:t>
            </w:r>
            <w:r>
              <w:t xml:space="preserve"> </w:t>
            </w:r>
            <w:r>
              <w:t xml:space="preserve">FDS-05-008 NEW; FDS-05-004, FDS-05-020, FDS-06-019, FDS-07-019 updated. Word table styling added.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rPr>
                <w:b/>
                <w:bCs/>
              </w:rPr>
              <w:t xml:space="preserve">§2.2, §2.3 — Naming convention to UpperCamelCase; Department merged into Area; Enterprise added to ISA-95 hierarchy.</w:t>
            </w:r>
            <w:r>
              <w:t xml:space="preserve"> </w:t>
            </w:r>
            <w:r>
              <w:t xml:space="preserve">FDS-02-001, FDS-02-003 updated.</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§1.4, §1.6, §2.5, §3.6, §4.2, §5.4, §5.5, §6.3, §6.5, §6.6, §6.10, §10.3 — OI/UJ design decisions integrated (OI-01, OI-08, OI-09 resolved).</w:t>
            </w:r>
            <w:r>
              <w:t xml:space="preserve"> </w:t>
            </w:r>
            <w:r>
              <w:t xml:space="preserve">FRS references added throughout OI register.</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draft — front matter, architecture, plant model, master data.</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9"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7"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Start w:id="36" w:name="Xd2c581067b011a73495c86a83c3d943e8d3fcbe"/>
    <w:p>
      <w:pPr>
        <w:pStyle w:val="Heading4"/>
      </w:pPr>
      <w:r>
        <w:t xml:space="preserve">FDS-01-014 — External Integration Pattern (Gateway-script-async) —</w:t>
      </w:r>
      <w:r>
        <w:t xml:space="preserve"> </w:t>
      </w:r>
      <w:r>
        <w:rPr>
          <w:rStyle w:val="VerbatimChar"/>
        </w:rPr>
        <w:t xml:space="preserve">MVP</w:t>
      </w:r>
      <w:r>
        <w:t xml:space="preserve"> </w:t>
      </w:r>
      <w:r>
        <w:t xml:space="preserve">(v0.11j, UJ-18)</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2"/>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2"/>
        </w:numPr>
      </w:pPr>
      <w:r>
        <w:t xml:space="preserve">The Perspective view (or a calling MES proc wrapper) fires</w:t>
      </w:r>
      <w:r>
        <w:t xml:space="preserve"> </w:t>
      </w:r>
      <w:r>
        <w:rPr>
          <w:rStyle w:val="VerbatimChar"/>
        </w:rPr>
        <w:t xml:space="preserve">system.util.sendMessageAsync</w:t>
      </w:r>
      <w:r>
        <w:t xml:space="preserve"> </w:t>
      </w:r>
      <w:r>
        <w:t xml:space="preserve">to a Gateway-scoped message handler with the relevant entity ID(s) as payload.</w:t>
      </w:r>
    </w:p>
    <w:p>
      <w:pPr>
        <w:pStyle w:val="Compact"/>
        <w:numPr>
          <w:ilvl w:val="0"/>
          <w:numId w:val="1002"/>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2"/>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2"/>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36"/>
    <w:bookmarkEnd w:id="37"/>
    <w:bookmarkStart w:id="38"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8"/>
    <w:bookmarkEnd w:id="39"/>
    <w:bookmarkStart w:id="59" w:name="plant-model-location-hierarchy-mvp"/>
    <w:p>
      <w:pPr>
        <w:pStyle w:val="Heading2"/>
      </w:pPr>
      <w:r>
        <w:t xml:space="preserve">2. Plant Model &amp; Location Hierarchy —</w:t>
      </w:r>
      <w:r>
        <w:t xml:space="preserve"> </w:t>
      </w:r>
      <w:r>
        <w:rPr>
          <w:rStyle w:val="VerbatimChar"/>
        </w:rPr>
        <w:t xml:space="preserve">MVP</w:t>
      </w:r>
    </w:p>
    <w:bookmarkStart w:id="40"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3"/>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3"/>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3"/>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0"/>
    <w:bookmarkStart w:id="44" w:name="location-type-hierarchy"/>
    <w:p>
      <w:pPr>
        <w:pStyle w:val="Heading3"/>
      </w:pPr>
      <w:r>
        <w:t xml:space="preserve">2.2 Location Type Hierarchy</w:t>
      </w:r>
    </w:p>
    <w:bookmarkStart w:id="41"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1"/>
    <w:bookmarkStart w:id="42"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2"/>
    <w:bookmarkStart w:id="43"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3"/>
    <w:bookmarkEnd w:id="44"/>
    <w:bookmarkStart w:id="48" w:name="X992209ce0f4f05fcef114340f60f45bdbde0b2f"/>
    <w:p>
      <w:pPr>
        <w:pStyle w:val="Heading3"/>
      </w:pPr>
      <w:r>
        <w:t xml:space="preserve">2.3 Polymorphic Kinds and Configurable Attributes</w:t>
      </w:r>
    </w:p>
    <w:bookmarkStart w:id="45"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5"/>
    <w:bookmarkStart w:id="46"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6"/>
    <w:bookmarkStart w:id="47"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7"/>
    <w:bookmarkEnd w:id="48"/>
    <w:bookmarkStart w:id="50" w:name="seed-data-cells"/>
    <w:p>
      <w:pPr>
        <w:pStyle w:val="Heading3"/>
      </w:pPr>
      <w:r>
        <w:t xml:space="preserve">2.4 Seed Data — Cells</w:t>
      </w:r>
    </w:p>
    <w:bookmarkStart w:id="49"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9"/>
    <w:bookmarkEnd w:id="50"/>
    <w:bookmarkStart w:id="58"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1"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1"/>
    <w:bookmarkStart w:id="52"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4"/>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4"/>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the Terminal Location’s parent Location (itself a WorkCenter or Cell tier) — no per-session scan required.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2"/>
    <w:bookmarkStart w:id="53" w:name="Xa6765ea13224df360c376c96fd23498ea8dcbb3"/>
    <w:p>
      <w:pPr>
        <w:pStyle w:val="Heading4"/>
      </w:pPr>
      <w:r>
        <w:t xml:space="preserve">FDS-02-010 — Terminal Mode Determined by Location Assignment —</w:t>
      </w:r>
      <w:r>
        <w:t xml:space="preserve"> </w:t>
      </w:r>
      <w:r>
        <w:rPr>
          <w:rStyle w:val="VerbatimChar"/>
        </w:rPr>
        <w:t xml:space="preserve">MVP</w:t>
      </w:r>
      <w:r>
        <w:t xml:space="preserve"> </w:t>
      </w:r>
      <w:r>
        <w:t xml:space="preserve">(revised v0.11e)</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WorkCenter</w:t>
            </w:r>
            <w:r>
              <w:t xml:space="preserve"> </w:t>
            </w:r>
            <w:r>
              <w:t xml:space="preserve">or</w:t>
            </w:r>
            <w:r>
              <w:t xml:space="preserve"> </w:t>
            </w:r>
            <w:r>
              <w:rPr>
                <w:b/>
                <w:bCs/>
              </w:rPr>
              <w:t xml:space="preserve">Cell</w:t>
            </w:r>
          </w:p>
        </w:tc>
        <w:tc>
          <w:tcPr/>
          <w:p>
            <w:pPr>
              <w:pStyle w:val="Compact"/>
            </w:pPr>
            <w:r>
              <w:rPr>
                <w:b/>
                <w:bCs/>
              </w:rPr>
              <w:t xml:space="preserve">Dedicated</w:t>
            </w:r>
          </w:p>
        </w:tc>
        <w:tc>
          <w:tcPr/>
          <w:p>
            <w:pPr>
              <w:pStyle w:val="Compact"/>
            </w:pPr>
            <w:r>
              <w:t xml:space="preserve">Terminal is bound to a specific cell / workcenter context. Machine context is the parent Location — never prompted, never scanned. Operator initials persist through the shift with 30-min idle re-confirmation (FDS-04-006). Example:</w:t>
            </w:r>
            <w:r>
              <w:t xml:space="preserve"> </w:t>
            </w:r>
            <w:r>
              <w:rPr>
                <w:rStyle w:val="VerbatimChar"/>
              </w:rPr>
              <w:t xml:space="preserve">DC-07-TERM</w:t>
            </w:r>
            <w:r>
              <w:t xml:space="preserve"> </w:t>
            </w:r>
            <w:r>
              <w:t xml:space="preserve">Terminal whose parent is</w:t>
            </w:r>
            <w:r>
              <w:t xml:space="preserve"> </w:t>
            </w:r>
            <w:r>
              <w:rPr>
                <w:rStyle w:val="VerbatimChar"/>
              </w:rPr>
              <w:t xml:space="preserve">DC-07</w:t>
            </w:r>
            <w:r>
              <w:t xml:space="preserve"> </w:t>
            </w:r>
            <w:r>
              <w:t xml:space="preserve">Die Cast Machine (Cell tier).</w:t>
            </w:r>
          </w:p>
        </w:tc>
      </w:tr>
      <w:tr>
        <w:tc>
          <w:tcPr>
            <w:shd w:val="clear" w:color="auto" w:fill="F2F2F2"/>
          </w:tcPr>
          <w:tcPr/>
          <w:p>
            <w:pPr>
              <w:pStyle w:val="Compact"/>
            </w:pPr>
            <w:r>
              <w:rPr>
                <w:b/>
                <w:bCs/>
              </w:rPr>
              <w:t xml:space="preserve">Area</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under an Area. Machine context (the specific Cell within the Area) SHALL be prompted on first action and whenever the operator switches Cells via a barcode re-scan. Initials presence SHALL be re-prompted on first action after idle, and on machine-context change. Example:</w:t>
            </w:r>
            <w:r>
              <w:t xml:space="preserve"> </w:t>
            </w:r>
            <w:r>
              <w:rPr>
                <w:rStyle w:val="VerbatimChar"/>
              </w:rPr>
              <w:t xml:space="preserve">TRIM-TERM-A</w:t>
            </w:r>
            <w:r>
              <w:t xml:space="preserve"> </w:t>
            </w:r>
            <w:r>
              <w:t xml:space="preserve">Terminal whose parent is</w:t>
            </w:r>
            <w:r>
              <w:t xml:space="preserve"> </w:t>
            </w:r>
            <w:r>
              <w:rPr>
                <w:rStyle w:val="VerbatimChar"/>
              </w:rPr>
              <w:t xml:space="preserve">Trim Shop</w:t>
            </w:r>
            <w:r>
              <w:t xml:space="preserve"> </w:t>
            </w:r>
            <w:r>
              <w:t xml:space="preserve">Area, serving all Cells under it.</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WorkCenter, Cell, or Area — the mode follows automatically.</w:t>
      </w:r>
    </w:p>
    <w:p>
      <w:pPr>
        <w:pStyle w:val="BodyText"/>
      </w:pPr>
      <w:r>
        <w:rPr>
          <w:b/>
          <w:bCs/>
        </w:rPr>
        <w:t xml:space="preserve">Rationale (Jacques’s 2026-04-24 framing):</w:t>
      </w:r>
      <w:r>
        <w:t xml:space="preserve"> </w:t>
      </w:r>
      <w:r>
        <w:t xml:space="preserve">The mode</w:t>
      </w:r>
      <w:r>
        <w:t xml:space="preserve"> </w:t>
      </w:r>
      <w:r>
        <w:rPr>
          <w:b/>
          <w:bCs/>
        </w:rPr>
        <w:t xml:space="preserve">is</w:t>
      </w:r>
      <w:r>
        <w:t xml:space="preserve"> </w:t>
      </w:r>
      <w:r>
        <w:t xml:space="preserve">the assignment. A Terminal parked under a specific Cell IS a dedicated terminal for that Cell; a Terminal parked under an Area IS a shared terminal for that Area. Encoding mode as a separate attribute is redundant with the tree structure and invites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3"/>
    <w:bookmarkStart w:id="54"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4"/>
    <w:bookmarkStart w:id="55"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5"/>
    <w:bookmarkStart w:id="56"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6"/>
    <w:bookmarkStart w:id="57"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7"/>
    <w:bookmarkEnd w:id="58"/>
    <w:bookmarkEnd w:id="59"/>
    <w:bookmarkStart w:id="88" w:name="master-data-management-mvp"/>
    <w:p>
      <w:pPr>
        <w:pStyle w:val="Heading2"/>
      </w:pPr>
      <w:r>
        <w:t xml:space="preserve">3. Master Data Management —</w:t>
      </w:r>
      <w:r>
        <w:t xml:space="preserve"> </w:t>
      </w:r>
      <w:r>
        <w:rPr>
          <w:rStyle w:val="VerbatimChar"/>
        </w:rPr>
        <w:t xml:space="preserve">MVP</w:t>
      </w:r>
    </w:p>
    <w:bookmarkStart w:id="63" w:name="item-master"/>
    <w:p>
      <w:pPr>
        <w:pStyle w:val="Heading3"/>
      </w:pPr>
      <w:r>
        <w:t xml:space="preserve">3.1 Item Master</w:t>
      </w:r>
    </w:p>
    <w:bookmarkStart w:id="60"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0"/>
    <w:bookmarkStart w:id="61"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1"/>
    <w:bookmarkStart w:id="62"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2"/>
    <w:bookmarkEnd w:id="63"/>
    <w:bookmarkStart w:id="67" w:name="bills-of-material"/>
    <w:p>
      <w:pPr>
        <w:pStyle w:val="Heading3"/>
      </w:pPr>
      <w:r>
        <w:t xml:space="preserve">3.2 Bills of Material</w:t>
      </w:r>
    </w:p>
    <w:bookmarkStart w:id="64"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4"/>
    <w:bookmarkStart w:id="65"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5"/>
    <w:bookmarkStart w:id="66"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6"/>
    <w:bookmarkEnd w:id="67"/>
    <w:bookmarkStart w:id="73" w:name="route-templates"/>
    <w:p>
      <w:pPr>
        <w:pStyle w:val="Heading3"/>
      </w:pPr>
      <w:r>
        <w:t xml:space="preserve">3.3 Route Templates</w:t>
      </w:r>
    </w:p>
    <w:bookmarkStart w:id="68"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8"/>
    <w:bookmarkStart w:id="69"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9"/>
    <w:bookmarkStart w:id="70"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0"/>
    <w:bookmarkStart w:id="71"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1"/>
    <w:bookmarkStart w:id="72"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2"/>
    <w:bookmarkEnd w:id="73"/>
    <w:bookmarkStart w:id="77" w:name="operation-templates"/>
    <w:p>
      <w:pPr>
        <w:pStyle w:val="Heading3"/>
      </w:pPr>
      <w:r>
        <w:t xml:space="preserve">3.4 Operation Templates</w:t>
      </w:r>
    </w:p>
    <w:bookmarkStart w:id="74"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4"/>
    <w:bookmarkStart w:id="75"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5"/>
    <w:bookmarkStart w:id="76"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5"/>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5"/>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6"/>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6"/>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6"/>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6"/>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5"/>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5"/>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6"/>
    <w:bookmarkEnd w:id="77"/>
    <w:bookmarkStart w:id="81" w:name="part-to-location-eligibility"/>
    <w:p>
      <w:pPr>
        <w:pStyle w:val="Heading3"/>
      </w:pPr>
      <w:r>
        <w:t xml:space="preserve">3.5 Part-to-Location Eligibility</w:t>
      </w:r>
    </w:p>
    <w:bookmarkStart w:id="78" w:name="Xf26c787600923fd1a0cd176617e2f692d22aa13"/>
    <w:p>
      <w:pPr>
        <w:pStyle w:val="Heading4"/>
      </w:pPr>
      <w:r>
        <w:t xml:space="preserve">FDS-03-014 — Eligibility Map with Hierarchy Cascade —</w:t>
      </w:r>
      <w:r>
        <w:t xml:space="preserve"> </w:t>
      </w:r>
      <w:r>
        <w:rPr>
          <w:rStyle w:val="VerbatimChar"/>
        </w:rPr>
        <w:t xml:space="preserve">MVP</w:t>
      </w:r>
      <w:r>
        <w:t xml:space="preserve"> </w:t>
      </w:r>
      <w:r>
        <w:t xml:space="preserve">(revised v0.11d)</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07"/>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07"/>
        </w:numPr>
      </w:pPr>
      <w:r>
        <w:t xml:space="preserve">If none, check at the Cell’s parent WorkCenter (if a WorkCenter tier exists between Cell and Area).</w:t>
      </w:r>
    </w:p>
    <w:p>
      <w:pPr>
        <w:pStyle w:val="Compact"/>
        <w:numPr>
          <w:ilvl w:val="0"/>
          <w:numId w:val="1007"/>
        </w:numPr>
      </w:pPr>
      <w:r>
        <w:t xml:space="preserve">If none, check at the parent Area.</w:t>
      </w:r>
    </w:p>
    <w:p>
      <w:pPr>
        <w:pStyle w:val="Compact"/>
        <w:numPr>
          <w:ilvl w:val="0"/>
          <w:numId w:val="1007"/>
        </w:numPr>
      </w:pPr>
      <w:r>
        <w:t xml:space="preserve">If none, check at the Site.</w:t>
      </w:r>
    </w:p>
    <w:p>
      <w:pPr>
        <w:pStyle w:val="Compact"/>
        <w:numPr>
          <w:ilvl w:val="0"/>
          <w:numId w:val="1007"/>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8"/>
    <w:bookmarkStart w:id="79" w:name="X16d97db7e910ec6650bd5007ef51186a399846b"/>
    <w:p>
      <w:pPr>
        <w:pStyle w:val="Heading4"/>
      </w:pPr>
      <w:r>
        <w:t xml:space="preserve">FDS-03-015 — Eligibility Management —</w:t>
      </w:r>
      <w:r>
        <w:t xml:space="preserve"> </w:t>
      </w:r>
      <w:r>
        <w:rPr>
          <w:rStyle w:val="VerbatimChar"/>
        </w:rPr>
        <w:t xml:space="preserve">MVP</w:t>
      </w:r>
      <w:r>
        <w:t xml:space="preserve"> </w:t>
      </w:r>
      <w:r>
        <w:t xml:space="preserve">(revised v0.11d)</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9"/>
    <w:bookmarkStart w:id="80" w:name="X325afeb2c2ad18f02bd059e69a0926c27acbd2b"/>
    <w:p>
      <w:pPr>
        <w:pStyle w:val="Heading4"/>
      </w:pPr>
      <w:r>
        <w:t xml:space="preserve">FDS-03-018 — Consumption Metadata on Item-Location Eligibility —</w:t>
      </w:r>
      <w:r>
        <w:t xml:space="preserve"> </w:t>
      </w:r>
      <w:r>
        <w:rPr>
          <w:rStyle w:val="VerbatimChar"/>
        </w:rPr>
        <w:t xml:space="preserve">MVP</w:t>
      </w:r>
      <w:r>
        <w:t xml:space="preserve"> </w:t>
      </w:r>
      <w:r>
        <w:t xml:space="preserve">(revised v0.11d)</w:t>
      </w:r>
    </w:p>
    <w:p>
      <w:pPr>
        <w:pStyle w:val="FirstParagraph"/>
      </w:pPr>
      <w:r>
        <w:rPr>
          <w:b/>
          <w:bCs/>
        </w:rPr>
        <w:t xml:space="preserve">OI-18 (extended 2026-04-24):</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0"/>
    <w:bookmarkEnd w:id="81"/>
    <w:bookmarkStart w:id="87" w:name="container-configuration"/>
    <w:p>
      <w:pPr>
        <w:pStyle w:val="Heading3"/>
      </w:pPr>
      <w:r>
        <w:t xml:space="preserve">3.6 Container Configuration</w:t>
      </w:r>
    </w:p>
    <w:bookmarkStart w:id="82"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2"/>
    <w:bookmarkStart w:id="83"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3"/>
    <w:bookmarkStart w:id="84"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b/>
          <w:bCs/>
        </w:rPr>
        <w:t xml:space="preserve">OI-12 (revised 2026-04-24):</w:t>
      </w:r>
      <w:r>
        <w:t xml:space="preserve"> </w:t>
      </w: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08"/>
        </w:numPr>
      </w:pPr>
      <w:r>
        <w:t xml:space="preserve">Sum existing pieces of this Item across all non-Closed LOTs currently at the destination Location.</w:t>
      </w:r>
    </w:p>
    <w:p>
      <w:pPr>
        <w:pStyle w:val="Compact"/>
        <w:numPr>
          <w:ilvl w:val="0"/>
          <w:numId w:val="1008"/>
        </w:numPr>
      </w:pPr>
      <w:r>
        <w:t xml:space="preserve">Add the incoming LOT’s piece count.</w:t>
      </w:r>
    </w:p>
    <w:p>
      <w:pPr>
        <w:pStyle w:val="Compact"/>
        <w:numPr>
          <w:ilvl w:val="0"/>
          <w:numId w:val="1008"/>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p>
      <w:pPr>
        <w:pStyle w:val="BlockText"/>
      </w:pPr>
      <w:r>
        <w:rPr>
          <w:b/>
          <w:bCs/>
        </w:rPr>
        <w:t xml:space="preserve">Historical note:</w:t>
      </w:r>
      <w:r>
        <w:t xml:space="preserve"> </w:t>
      </w:r>
      <w:r>
        <w:t xml:space="preserve">An earlier v0.10 draft placed</w:t>
      </w:r>
      <w:r>
        <w:t xml:space="preserve"> </w:t>
      </w:r>
      <w:r>
        <w:rPr>
          <w:rStyle w:val="VerbatimChar"/>
        </w:rPr>
        <w:t xml:space="preserve">MaxParts</w:t>
      </w:r>
      <w:r>
        <w:t xml:space="preserve"> </w:t>
      </w:r>
      <w:r>
        <w:t xml:space="preserve">on</w:t>
      </w:r>
      <w:r>
        <w:t xml:space="preserve"> </w:t>
      </w:r>
      <w:r>
        <w:rPr>
          <w:rStyle w:val="VerbatimChar"/>
        </w:rPr>
        <w:t xml:space="preserve">Parts.ContainerConfig</w:t>
      </w:r>
      <w:r>
        <w:t xml:space="preserve"> </w:t>
      </w:r>
      <w:r>
        <w:t xml:space="preserve">(per-container cap). Jacques’s 2026-04-24 OIR review clarified that</w:t>
      </w:r>
      <w:r>
        <w:t xml:space="preserve"> </w:t>
      </w:r>
      <w:r>
        <w:rPr>
          <w:rStyle w:val="VerbatimChar"/>
        </w:rPr>
        <w:t xml:space="preserve">MaxParts</w:t>
      </w:r>
      <w:r>
        <w:t xml:space="preserve"> </w:t>
      </w:r>
      <w:r>
        <w:t xml:space="preserve">is a Part attribute, evaluated at check-in — not a container-packing attribute. Corrected in v0.11c.</w:t>
      </w:r>
    </w:p>
    <w:bookmarkEnd w:id="84"/>
    <w:bookmarkStart w:id="85"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5"/>
    <w:bookmarkStart w:id="86"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6"/>
    <w:bookmarkEnd w:id="87"/>
    <w:bookmarkEnd w:id="88"/>
    <w:bookmarkStart w:id="102"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3" w:name="identity-model"/>
    <w:p>
      <w:pPr>
        <w:pStyle w:val="Heading3"/>
      </w:pPr>
      <w:r>
        <w:t xml:space="preserve">4.1 Identity Model</w:t>
      </w:r>
    </w:p>
    <w:bookmarkStart w:id="89"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9"/>
    <w:bookmarkStart w:id="90"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9"/>
        </w:numPr>
      </w:pPr>
      <w:r>
        <w:t xml:space="preserve">another operator enters different initials, or</w:t>
      </w:r>
    </w:p>
    <w:p>
      <w:pPr>
        <w:pStyle w:val="Compact"/>
        <w:numPr>
          <w:ilvl w:val="0"/>
          <w:numId w:val="1009"/>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0"/>
    <w:bookmarkStart w:id="91" w:name="X96d0a9ddf806a5726f154ef20f957030bb30b6c"/>
    <w:p>
      <w:pPr>
        <w:pStyle w:val="Heading4"/>
      </w:pPr>
      <w:r>
        <w:t xml:space="preserve">FDS-04-003 — Terminal Mode: Dedicated vs Shared —</w:t>
      </w:r>
      <w:r>
        <w:t xml:space="preserve"> </w:t>
      </w:r>
      <w:r>
        <w:rPr>
          <w:rStyle w:val="VerbatimChar"/>
        </w:rPr>
        <w:t xml:space="preserve">MVP</w:t>
      </w:r>
      <w:r>
        <w:t xml:space="preserve"> </w:t>
      </w:r>
      <w:r>
        <w:t xml:space="preserve">(revised v0.11e)</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10"/>
        </w:numPr>
      </w:pPr>
      <w:r>
        <w:rPr>
          <w:b/>
          <w:bCs/>
        </w:rPr>
        <w:t xml:space="preserve">Dedicated terminals</w:t>
      </w:r>
      <w:r>
        <w:t xml:space="preserve"> </w:t>
      </w:r>
      <w:r>
        <w:t xml:space="preserve">(Terminal’s parent Location is a WorkCenter or Cell; approx. 80% of the plant). The presence context persists across idle gaps, subject only to the 30-minute re-confirmation prompt. Initials do not clear unless explicitly changed.</w:t>
      </w:r>
    </w:p>
    <w:p>
      <w:pPr>
        <w:pStyle w:val="Compact"/>
        <w:numPr>
          <w:ilvl w:val="0"/>
          <w:numId w:val="1010"/>
        </w:numPr>
      </w:pPr>
      <w:r>
        <w:rPr>
          <w:b/>
          <w:bCs/>
        </w:rPr>
        <w:t xml:space="preserve">Shared terminals</w:t>
      </w:r>
      <w:r>
        <w:t xml:space="preserve"> </w:t>
      </w:r>
      <w:r>
        <w:t xml:space="preserve">(Terminal’s parent Location is an Area; 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1"/>
    <w:bookmarkStart w:id="92"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2"/>
    <w:bookmarkEnd w:id="93"/>
    <w:bookmarkStart w:id="96" w:name="event-attribution-on-mutations"/>
    <w:p>
      <w:pPr>
        <w:pStyle w:val="Heading3"/>
      </w:pPr>
      <w:r>
        <w:t xml:space="preserve">4.2 Event Attribution on Mutations</w:t>
      </w:r>
    </w:p>
    <w:bookmarkStart w:id="94"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4"/>
    <w:bookmarkStart w:id="95"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1"/>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1"/>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5"/>
    <w:bookmarkEnd w:id="96"/>
    <w:bookmarkStart w:id="101" w:name="elevation-model"/>
    <w:p>
      <w:pPr>
        <w:pStyle w:val="Heading3"/>
      </w:pPr>
      <w:r>
        <w:t xml:space="preserve">4.3 Elevation Model</w:t>
      </w:r>
    </w:p>
    <w:bookmarkStart w:id="97"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2"/>
        </w:numPr>
      </w:pPr>
      <w:r>
        <w:t xml:space="preserve">Place a LOT on hold</w:t>
      </w:r>
    </w:p>
    <w:p>
      <w:pPr>
        <w:pStyle w:val="Compact"/>
        <w:numPr>
          <w:ilvl w:val="0"/>
          <w:numId w:val="1012"/>
        </w:numPr>
      </w:pPr>
      <w:r>
        <w:t xml:space="preserve">Release a LOT from hold</w:t>
      </w:r>
    </w:p>
    <w:p>
      <w:pPr>
        <w:pStyle w:val="Compact"/>
        <w:numPr>
          <w:ilvl w:val="0"/>
          <w:numId w:val="1012"/>
        </w:numPr>
      </w:pPr>
      <w:r>
        <w:t xml:space="preserve">Override a vision or interlock failure</w:t>
      </w:r>
    </w:p>
    <w:p>
      <w:pPr>
        <w:pStyle w:val="Compact"/>
        <w:numPr>
          <w:ilvl w:val="0"/>
          <w:numId w:val="1012"/>
        </w:numPr>
      </w:pPr>
      <w:r>
        <w:t xml:space="preserve">Scrap a LOT or container</w:t>
      </w:r>
    </w:p>
    <w:p>
      <w:pPr>
        <w:pStyle w:val="Compact"/>
        <w:numPr>
          <w:ilvl w:val="0"/>
          <w:numId w:val="1012"/>
        </w:numPr>
      </w:pPr>
      <w:r>
        <w:t xml:space="preserve">Void or reprint a shipping label</w:t>
      </w:r>
    </w:p>
    <w:p>
      <w:pPr>
        <w:pStyle w:val="Compact"/>
        <w:numPr>
          <w:ilvl w:val="0"/>
          <w:numId w:val="1012"/>
        </w:numPr>
      </w:pPr>
      <w:r>
        <w:t xml:space="preserve">Merge or split LOTs outside of the normal sort workflow</w:t>
      </w:r>
    </w:p>
    <w:p>
      <w:pPr>
        <w:pStyle w:val="Compact"/>
        <w:numPr>
          <w:ilvl w:val="0"/>
          <w:numId w:val="1012"/>
        </w:numPr>
      </w:pPr>
      <w:r>
        <w:t xml:space="preserve">Issue or close a maintenance work order against a tool</w:t>
      </w:r>
    </w:p>
    <w:p>
      <w:pPr>
        <w:pStyle w:val="Compact"/>
        <w:numPr>
          <w:ilvl w:val="0"/>
          <w:numId w:val="1012"/>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2"/>
        </w:numPr>
      </w:pPr>
      <w:r>
        <w:t xml:space="preserve">Adjust inventory via the admin remove-item action (OI-14)</w:t>
      </w:r>
    </w:p>
    <w:p>
      <w:pPr>
        <w:pStyle w:val="Compact"/>
        <w:numPr>
          <w:ilvl w:val="0"/>
          <w:numId w:val="1012"/>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97"/>
    <w:bookmarkStart w:id="98"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8"/>
    <w:bookmarkStart w:id="99" w:name="fds-04-009-screen-level-security"/>
    <w:p>
      <w:pPr>
        <w:pStyle w:val="Heading4"/>
      </w:pPr>
      <w:r>
        <w:t xml:space="preserve">FDS-04-009 — Screen-Level Security</w:t>
      </w:r>
    </w:p>
    <w:p>
      <w:pPr>
        <w:pStyle w:val="Compact"/>
        <w:numPr>
          <w:ilvl w:val="0"/>
          <w:numId w:val="1013"/>
        </w:numPr>
      </w:pPr>
      <w:r>
        <w:t xml:space="preserve">Shop-floor terminal screens SHALL be accessible without interactive authentication; operator presence is sufficient.</w:t>
      </w:r>
    </w:p>
    <w:p>
      <w:pPr>
        <w:pStyle w:val="Compact"/>
        <w:numPr>
          <w:ilvl w:val="0"/>
          <w:numId w:val="1013"/>
        </w:numPr>
      </w:pPr>
      <w:r>
        <w:t xml:space="preserve">Shop-floor screens SHALL NOT expose Configuration Tool or master-data functions.</w:t>
      </w:r>
    </w:p>
    <w:p>
      <w:pPr>
        <w:pStyle w:val="Compact"/>
        <w:numPr>
          <w:ilvl w:val="0"/>
          <w:numId w:val="1013"/>
        </w:numPr>
      </w:pPr>
      <w:r>
        <w:t xml:space="preserve">Configuration Tool, Supervisor dashboards, and Engineering screens SHALL require AD-backed authentication on page entry.</w:t>
      </w:r>
    </w:p>
    <w:p>
      <w:pPr>
        <w:pStyle w:val="Compact"/>
        <w:numPr>
          <w:ilvl w:val="0"/>
          <w:numId w:val="1013"/>
        </w:numPr>
      </w:pPr>
      <w:r>
        <w:t xml:space="preserve">Elevated action controls (buttons, menu items) SHALL be visible on shop-floor screens but SHALL trigger the FDS-04-007 prompt on activation. Unauthorised users cancel out.</w:t>
      </w:r>
    </w:p>
    <w:bookmarkEnd w:id="99"/>
    <w:bookmarkStart w:id="100"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0"/>
    <w:bookmarkEnd w:id="101"/>
    <w:bookmarkEnd w:id="102"/>
    <w:bookmarkStart w:id="151" w:name="lot-lifecycle-genealogy-mvp"/>
    <w:p>
      <w:pPr>
        <w:pStyle w:val="Heading2"/>
      </w:pPr>
      <w:r>
        <w:t xml:space="preserve">5. LOT Lifecycle &amp; Genealogy —</w:t>
      </w:r>
      <w:r>
        <w:t xml:space="preserve"> </w:t>
      </w:r>
      <w:r>
        <w:rPr>
          <w:rStyle w:val="VerbatimChar"/>
        </w:rPr>
        <w:t xml:space="preserve">MVP</w:t>
      </w:r>
    </w:p>
    <w:bookmarkStart w:id="109" w:name="lot-identity"/>
    <w:p>
      <w:pPr>
        <w:pStyle w:val="Heading3"/>
      </w:pPr>
      <w:r>
        <w:t xml:space="preserve">5.1 LOT Identity</w:t>
      </w:r>
    </w:p>
    <w:bookmarkStart w:id="103"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3"/>
    <w:bookmarkStart w:id="104"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4"/>
    <w:bookmarkStart w:id="105"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5"/>
    <w:bookmarkStart w:id="106"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4"/>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4"/>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4"/>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6"/>
    <w:bookmarkStart w:id="107"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7"/>
    <w:bookmarkStart w:id="108" w:name="Xe99039f4cd1e6342dc2c780fee51f659d6668eb"/>
    <w:p>
      <w:pPr>
        <w:pStyle w:val="Heading4"/>
      </w:pPr>
      <w:r>
        <w:t xml:space="preserve">FDS-05-031 — LOT Computed Quantities (TotalInProcess, InventoryAvailable) —</w:t>
      </w:r>
      <w:r>
        <w:t xml:space="preserve"> </w:t>
      </w:r>
      <w:r>
        <w:rPr>
          <w:rStyle w:val="VerbatimChar"/>
        </w:rPr>
        <w:t xml:space="preserve">MVP</w:t>
      </w:r>
      <w:r>
        <w:t xml:space="preserve"> </w:t>
      </w:r>
      <w:r>
        <w:t xml:space="preserve">(revised v0.11f)</w:t>
      </w:r>
    </w:p>
    <w:p>
      <w:pPr>
        <w:pStyle w:val="FirstParagraph"/>
      </w:pPr>
      <w:r>
        <w:rPr>
          <w:b/>
          <w:bCs/>
        </w:rPr>
        <w:t xml:space="preserve">OI-23 (revised 2026-04-24):</w:t>
      </w:r>
      <w:r>
        <w:t xml:space="preserve"> </w:t>
      </w:r>
      <w:r>
        <w:t xml:space="preserve">The Lot Details screen SHALL surface two derived quantities in the header:</w:t>
      </w:r>
    </w:p>
    <w:p>
      <w:pPr>
        <w:pStyle w:val="Compact"/>
        <w:numPr>
          <w:ilvl w:val="0"/>
          <w:numId w:val="1015"/>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5"/>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8"/>
    <w:bookmarkEnd w:id="109"/>
    <w:bookmarkStart w:id="113" w:name="lot-creation-workflows"/>
    <w:p>
      <w:pPr>
        <w:pStyle w:val="Heading3"/>
      </w:pPr>
      <w:r>
        <w:t xml:space="preserve">5.2 LOT Creation Workflows</w:t>
      </w:r>
    </w:p>
    <w:bookmarkStart w:id="110"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10"/>
    <w:bookmarkStart w:id="111"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1"/>
    <w:bookmarkStart w:id="112"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2"/>
    <w:bookmarkEnd w:id="113"/>
    <w:bookmarkStart w:id="120" w:name="lot-movement"/>
    <w:p>
      <w:pPr>
        <w:pStyle w:val="Heading3"/>
      </w:pPr>
      <w:r>
        <w:t xml:space="preserve">5.3 LOT Movement</w:t>
      </w:r>
    </w:p>
    <w:bookmarkStart w:id="114"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4"/>
    <w:bookmarkStart w:id="115"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6"/>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6"/>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6"/>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6"/>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6"/>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5"/>
    <w:bookmarkStart w:id="116"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6"/>
    <w:bookmarkStart w:id="117"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7"/>
    <w:bookmarkStart w:id="118"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8"/>
    <w:bookmarkStart w:id="119" w:name="Xa6b20c4fee3ee7ad89444c4d96ccdc0913b856c"/>
    <w:p>
      <w:pPr>
        <w:pStyle w:val="Heading4"/>
      </w:pPr>
      <w:r>
        <w:t xml:space="preserve">FDS-05-038 — Pausable LOT at Workstation —</w:t>
      </w:r>
      <w:r>
        <w:t xml:space="preserve"> </w:t>
      </w:r>
      <w:r>
        <w:rPr>
          <w:rStyle w:val="VerbatimChar"/>
        </w:rPr>
        <w:t xml:space="preserve">MVP</w:t>
      </w:r>
      <w:r>
        <w:t xml:space="preserve"> </w:t>
      </w:r>
      <w:r>
        <w:t xml:space="preserve">(v0.11h, OI-21)</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Arc 2 Phase 1 SHALL deliver:</w:t>
      </w:r>
      <w:r>
        <w:t xml:space="preserve"> </w:t>
      </w:r>
      <w:r>
        <w:t xml:space="preserve">-</w:t>
      </w:r>
      <w:r>
        <w:t xml:space="preserve"> </w:t>
      </w: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r>
        <w:t xml:space="preserve"> </w:t>
      </w:r>
      <w:r>
        <w:t xml:space="preserve">-</w:t>
      </w:r>
      <w:r>
        <w:t xml:space="preserve"> </w:t>
      </w:r>
      <w:r>
        <w:rPr>
          <w:rStyle w:val="VerbatimChar"/>
        </w:rPr>
        <w:t xml:space="preserve">Lots.LotPause_Resume(@LotId, @LocationId, @ResumedByUserId, @ResumedRemarks NVARCHAR(500) = NULL)</w:t>
      </w:r>
      <w:r>
        <w:t xml:space="preserve"> </w:t>
      </w:r>
      <w:r>
        <w:t xml:space="preserve">— closes the open pause; rejects if no open pause exists.</w:t>
      </w:r>
      <w:r>
        <w:t xml:space="preserve"> </w:t>
      </w:r>
      <w:r>
        <w:t xml:space="preserve">-</w:t>
      </w:r>
      <w:r>
        <w:t xml:space="preserve"> </w:t>
      </w: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r>
        <w:t xml:space="preserve"> </w:t>
      </w:r>
      <w:r>
        <w:t xml:space="preserve">-</w:t>
      </w:r>
      <w:r>
        <w:t xml:space="preserve"> </w:t>
      </w: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BodyText"/>
      </w:pPr>
      <w:r>
        <w:t xml:space="preserve">All four procs follow the FDS-11-011 single-result-set convention. Mutations write to</w:t>
      </w:r>
      <w:r>
        <w:t xml:space="preserve"> </w:t>
      </w:r>
      <w:r>
        <w:rPr>
          <w:rStyle w:val="VerbatimChar"/>
        </w:rPr>
        <w:t xml:space="preserve">Audit.OperationLog</w:t>
      </w:r>
      <w:r>
        <w:t xml:space="preserve">; the new</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in the Arc 2 Phase 1 migration.</w:t>
      </w:r>
    </w:p>
    <w:p>
      <w:pPr>
        <w:pStyle w:val="BodyText"/>
      </w:pPr>
      <w:r>
        <w:rPr>
          <w:b/>
          <w:bCs/>
        </w:rPr>
        <w:t xml:space="preserve">Implementation deferred.</w:t>
      </w:r>
      <w:r>
        <w:t xml:space="preserve"> </w:t>
      </w:r>
      <w:r>
        <w:t xml:space="preserve">Like the rest of the Lots schema,</w:t>
      </w:r>
      <w:r>
        <w:t xml:space="preserve"> </w:t>
      </w:r>
      <w:r>
        <w:rPr>
          <w:rStyle w:val="VerbatimChar"/>
        </w:rPr>
        <w:t xml:space="preserve">Lots.PauseEvent</w:t>
      </w:r>
      <w:r>
        <w:t xml:space="preserve"> </w:t>
      </w:r>
      <w:r>
        <w:t xml:space="preserve">and its procs CREATE in Arc 2 Phase 1 — they do not exist in the Phase 1–8 codebase. Data model contract: §3 PauseEvent.</w:t>
      </w:r>
    </w:p>
    <w:bookmarkEnd w:id="119"/>
    <w:bookmarkEnd w:id="120"/>
    <w:bookmarkStart w:id="127"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21"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1"/>
    <w:bookmarkStart w:id="122"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2"/>
    <w:bookmarkStart w:id="123"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3"/>
    <w:bookmarkStart w:id="124"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4"/>
    <w:bookmarkStart w:id="125"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5"/>
    <w:bookmarkStart w:id="126"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6"/>
    <w:bookmarkEnd w:id="127"/>
    <w:bookmarkStart w:id="135"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8"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8"/>
    <w:bookmarkStart w:id="129"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9"/>
    <w:bookmarkStart w:id="130"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30"/>
    <w:bookmarkStart w:id="131"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7"/>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7"/>
        </w:numPr>
      </w:pPr>
      <w:r>
        <w:t xml:space="preserve">If all source LOTs share the same die, the compatibility check is bypassed; proceed to FDS-05-028 (Quality Status Gating).</w:t>
      </w:r>
    </w:p>
    <w:p>
      <w:pPr>
        <w:pStyle w:val="Compact"/>
        <w:numPr>
          <w:ilvl w:val="0"/>
          <w:numId w:val="1017"/>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7"/>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7"/>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31"/>
    <w:bookmarkStart w:id="132"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2"/>
    <w:bookmarkStart w:id="133"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3"/>
    <w:bookmarkStart w:id="134"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4"/>
    <w:bookmarkEnd w:id="135"/>
    <w:bookmarkStart w:id="139" w:name="lot-status-transitions"/>
    <w:p>
      <w:pPr>
        <w:pStyle w:val="Heading3"/>
      </w:pPr>
      <w:r>
        <w:t xml:space="preserve">5.6 LOT Status Transitions</w:t>
      </w:r>
    </w:p>
    <w:bookmarkStart w:id="136"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6"/>
    <w:bookmarkStart w:id="137"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7"/>
    <w:bookmarkStart w:id="138"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8"/>
    <w:bookmarkEnd w:id="139"/>
    <w:bookmarkStart w:id="143" w:name="genealogy"/>
    <w:p>
      <w:pPr>
        <w:pStyle w:val="Heading3"/>
      </w:pPr>
      <w:r>
        <w:t xml:space="preserve">5.7 Genealogy</w:t>
      </w:r>
    </w:p>
    <w:bookmarkStart w:id="140"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40"/>
    <w:bookmarkStart w:id="141"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1"/>
    <w:bookmarkStart w:id="142"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2"/>
    <w:bookmarkEnd w:id="143"/>
    <w:bookmarkStart w:id="146" w:name="lot-label-management"/>
    <w:p>
      <w:pPr>
        <w:pStyle w:val="Heading3"/>
      </w:pPr>
      <w:r>
        <w:t xml:space="preserve">5.8 LOT Label Management</w:t>
      </w:r>
    </w:p>
    <w:bookmarkStart w:id="144"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4"/>
    <w:bookmarkStart w:id="145"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5"/>
    <w:bookmarkEnd w:id="146"/>
    <w:bookmarkStart w:id="148" w:name="lot-attribute-auditing"/>
    <w:p>
      <w:pPr>
        <w:pStyle w:val="Heading3"/>
      </w:pPr>
      <w:r>
        <w:t xml:space="preserve">5.9 LOT Attribute Auditing</w:t>
      </w:r>
    </w:p>
    <w:bookmarkStart w:id="147"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7"/>
    <w:bookmarkEnd w:id="148"/>
    <w:bookmarkStart w:id="150"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9"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8"/>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8"/>
        </w:numPr>
      </w:pPr>
      <w:r>
        <w:t xml:space="preserve">For each such item, check whether its BOM’s single line references the scanned LOT’s Item. The matching finished item is the destination part.</w:t>
      </w:r>
    </w:p>
    <w:p>
      <w:pPr>
        <w:pStyle w:val="Compact"/>
        <w:numPr>
          <w:ilvl w:val="0"/>
          <w:numId w:val="1018"/>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8"/>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8"/>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9"/>
    <w:bookmarkEnd w:id="150"/>
    <w:bookmarkEnd w:id="151"/>
    <w:bookmarkStart w:id="192" w:name="production-execution-mvp-expanded"/>
    <w:p>
      <w:pPr>
        <w:pStyle w:val="Heading2"/>
      </w:pPr>
      <w:r>
        <w:t xml:space="preserve">6. Production Execution —</w:t>
      </w:r>
      <w:r>
        <w:t xml:space="preserve"> </w:t>
      </w:r>
      <w:r>
        <w:rPr>
          <w:rStyle w:val="VerbatimChar"/>
        </w:rPr>
        <w:t xml:space="preserve">MVP-EXPANDED</w:t>
      </w:r>
    </w:p>
    <w:bookmarkStart w:id="152"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2"/>
    <w:bookmarkStart w:id="156" w:name="die-cast-workflow"/>
    <w:p>
      <w:pPr>
        <w:pStyle w:val="Heading3"/>
      </w:pPr>
      <w:r>
        <w:t xml:space="preserve">6.2 Die Cast Workflow</w:t>
      </w:r>
    </w:p>
    <w:bookmarkStart w:id="153"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3"/>
    <w:bookmarkStart w:id="154"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4"/>
    <w:bookmarkStart w:id="155"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5"/>
    <w:bookmarkEnd w:id="156"/>
    <w:bookmarkStart w:id="160" w:name="trim-shop-workflow"/>
    <w:p>
      <w:pPr>
        <w:pStyle w:val="Heading3"/>
      </w:pPr>
      <w:r>
        <w:t xml:space="preserve">6.3 Trim Shop Workflow</w:t>
      </w:r>
    </w:p>
    <w:bookmarkStart w:id="157"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7"/>
    <w:bookmarkStart w:id="158"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8"/>
    <w:bookmarkStart w:id="159"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9"/>
    <w:bookmarkEnd w:id="160"/>
    <w:bookmarkStart w:id="164" w:name="machining-workflow"/>
    <w:p>
      <w:pPr>
        <w:pStyle w:val="Heading3"/>
      </w:pPr>
      <w:r>
        <w:t xml:space="preserve">6.4 Machining Workflow</w:t>
      </w:r>
    </w:p>
    <w:bookmarkStart w:id="161"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61"/>
    <w:bookmarkStart w:id="162"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2"/>
    <w:bookmarkStart w:id="163"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3"/>
    <w:bookmarkEnd w:id="164"/>
    <w:bookmarkStart w:id="168" w:name="assembly-workflow-serialized-lines"/>
    <w:p>
      <w:pPr>
        <w:pStyle w:val="Heading3"/>
      </w:pPr>
      <w:r>
        <w:t xml:space="preserve">6.5 Assembly Workflow — Serialized Lines</w:t>
      </w:r>
    </w:p>
    <w:bookmarkStart w:id="165"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5"/>
    <w:bookmarkStart w:id="166"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rPr>
          <w:b/>
          <w:bCs/>
        </w:rPr>
        <w:t xml:space="preserve">UJ-09 closed (2026-04-27, Option C — strict + supervisor override).</w:t>
      </w:r>
      <w:r>
        <w:t xml:space="preserve"> </w:t>
      </w: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19"/>
        </w:numPr>
      </w:pPr>
      <w:r>
        <w:t xml:space="preserve">The system SHALL accept the scanned LOT despite the BOM mismatch.</w:t>
      </w:r>
    </w:p>
    <w:p>
      <w:pPr>
        <w:pStyle w:val="Compact"/>
        <w:numPr>
          <w:ilvl w:val="0"/>
          <w:numId w:val="1019"/>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19"/>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66"/>
    <w:bookmarkStart w:id="167"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7"/>
    <w:bookmarkEnd w:id="168"/>
    <w:bookmarkStart w:id="171" w:name="assembly-workflow-non-serialized-lines"/>
    <w:p>
      <w:pPr>
        <w:pStyle w:val="Heading3"/>
      </w:pPr>
      <w:r>
        <w:t xml:space="preserve">6.6 Assembly Workflow — Non-Serialized Lines</w:t>
      </w:r>
    </w:p>
    <w:bookmarkStart w:id="169"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9"/>
    <w:bookmarkStart w:id="170"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70"/>
    <w:bookmarkEnd w:id="171"/>
    <w:bookmarkStart w:id="174" w:name="production-events"/>
    <w:p>
      <w:pPr>
        <w:pStyle w:val="Heading3"/>
      </w:pPr>
      <w:r>
        <w:t xml:space="preserve">6.7 Production Events</w:t>
      </w:r>
    </w:p>
    <w:bookmarkStart w:id="172"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2"/>
    <w:bookmarkStart w:id="173"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3"/>
    <w:bookmarkEnd w:id="174"/>
    <w:bookmarkStart w:id="179" w:name="reject-events-and-scrap-handling"/>
    <w:p>
      <w:pPr>
        <w:pStyle w:val="Heading3"/>
      </w:pPr>
      <w:r>
        <w:t xml:space="preserve">6.8 Reject Events and Scrap Handling</w:t>
      </w:r>
    </w:p>
    <w:bookmarkStart w:id="175"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5"/>
    <w:bookmarkStart w:id="176"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6"/>
    <w:bookmarkStart w:id="177"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20"/>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20"/>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21"/>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21"/>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7"/>
    <w:bookmarkStart w:id="178"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22"/>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22"/>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8"/>
    <w:bookmarkEnd w:id="179"/>
    <w:bookmarkStart w:id="182" w:name="consumption-events"/>
    <w:p>
      <w:pPr>
        <w:pStyle w:val="Heading3"/>
      </w:pPr>
      <w:r>
        <w:t xml:space="preserve">6.9 Consumption Events</w:t>
      </w:r>
    </w:p>
    <w:bookmarkStart w:id="180"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80"/>
    <w:bookmarkStart w:id="181"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1"/>
    <w:bookmarkEnd w:id="182"/>
    <w:bookmarkStart w:id="191"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3"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3"/>
    <w:bookmarkStart w:id="184"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3"/>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3"/>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3"/>
        </w:numPr>
      </w:pPr>
      <w:r>
        <w:rPr>
          <w:rStyle w:val="VerbatimChar"/>
        </w:rPr>
        <w:t xml:space="preserve">RouteTemplateId</w:t>
      </w:r>
      <w:r>
        <w:t xml:space="preserve"> </w:t>
      </w:r>
      <w:r>
        <w:t xml:space="preserve">— FK to the route template version active at creation</w:t>
      </w:r>
    </w:p>
    <w:p>
      <w:pPr>
        <w:pStyle w:val="Compact"/>
        <w:numPr>
          <w:ilvl w:val="0"/>
          <w:numId w:val="1023"/>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3"/>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4"/>
    <w:bookmarkStart w:id="185"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5"/>
    <w:bookmarkStart w:id="186"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6"/>
    <w:bookmarkStart w:id="187"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4"/>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4"/>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7"/>
    <w:bookmarkStart w:id="188" w:name="X28af8f132e1d57f9bbd54bc5c048a761ded9c44"/>
    <w:p>
      <w:pPr>
        <w:pStyle w:val="Heading4"/>
      </w:pPr>
      <w:r>
        <w:t xml:space="preserve">FDS-06-028 — Auto-Finish on Target (Camera / Scale) —</w:t>
      </w:r>
      <w:r>
        <w:t xml:space="preserve"> </w:t>
      </w:r>
      <w:r>
        <w:rPr>
          <w:rStyle w:val="VerbatimChar"/>
        </w:rPr>
        <w:t xml:space="preserve">MVP</w:t>
      </w:r>
      <w:r>
        <w:t xml:space="preserve"> </w:t>
      </w:r>
      <w:r>
        <w:t xml:space="preserve">(extended v0.11g)</w:t>
      </w:r>
    </w:p>
    <w:p>
      <w:pPr>
        <w:pStyle w:val="FirstParagraph"/>
      </w:pPr>
      <w:r>
        <w:rPr>
          <w:b/>
          <w:bCs/>
        </w:rPr>
        <w:t xml:space="preserve">OI-16 (Jacques additions, 2026-04-24):</w:t>
      </w:r>
      <w:r>
        <w:t xml:space="preserve"> </w:t>
      </w:r>
      <w:r>
        <w:t xml:space="preserve">Production Work Orders SHALL support two automatic-finish modes, configurable per WO:</w:t>
      </w:r>
    </w:p>
    <w:p>
      <w:pPr>
        <w:pStyle w:val="Compact"/>
        <w:numPr>
          <w:ilvl w:val="0"/>
          <w:numId w:val="1025"/>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5"/>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8"/>
    <w:bookmarkStart w:id="189"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9"/>
    <w:bookmarkStart w:id="190"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90"/>
    <w:bookmarkEnd w:id="191"/>
    <w:bookmarkEnd w:id="192"/>
    <w:bookmarkStart w:id="224" w:name="container-management-shipping-mvp"/>
    <w:p>
      <w:pPr>
        <w:pStyle w:val="Heading2"/>
      </w:pPr>
      <w:r>
        <w:t xml:space="preserve">7. Container Management &amp; Shipping —</w:t>
      </w:r>
      <w:r>
        <w:t xml:space="preserve"> </w:t>
      </w:r>
      <w:r>
        <w:rPr>
          <w:rStyle w:val="VerbatimChar"/>
        </w:rPr>
        <w:t xml:space="preserve">MVP</w:t>
      </w:r>
    </w:p>
    <w:bookmarkStart w:id="193"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3"/>
    <w:bookmarkStart w:id="199" w:name="container-lifecycle"/>
    <w:p>
      <w:pPr>
        <w:pStyle w:val="Heading3"/>
      </w:pPr>
      <w:r>
        <w:t xml:space="preserve">7.2 Container Lifecycle</w:t>
      </w:r>
    </w:p>
    <w:bookmarkStart w:id="194"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4"/>
    <w:bookmarkStart w:id="195"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5"/>
    <w:bookmarkStart w:id="196"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6"/>
    <w:bookmarkStart w:id="197"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7"/>
    <w:bookmarkStart w:id="198" w:name="X989c3a68f86d3d7cf75f5a91a1b1dbf47638abd"/>
    <w:p>
      <w:pPr>
        <w:pStyle w:val="Heading4"/>
      </w:pPr>
      <w:r>
        <w:t xml:space="preserve">FDS-07-005 — Container Closure — revised v0.11j (UJ-04 + UJ-18)</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r>
        <w:t xml:space="preserve"> </w:t>
      </w:r>
      <w:r>
        <w:t xml:space="preserve">1. Set container status to COMPLETE.</w:t>
      </w:r>
      <w:r>
        <w:t xml:space="preserve"> </w:t>
      </w:r>
      <w:r>
        <w:t xml:space="preserve">2. 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r>
        <w:t xml:space="preserve"> </w:t>
      </w:r>
      <w:r>
        <w:t xml:space="preserve">3. Store the claimed</w:t>
      </w:r>
      <w:r>
        <w:t xml:space="preserve"> </w:t>
      </w:r>
      <w:r>
        <w:rPr>
          <w:rStyle w:val="VerbatimChar"/>
        </w:rPr>
        <w:t xml:space="preserve">AimShipperId</w:t>
      </w:r>
      <w:r>
        <w:t xml:space="preserve"> </w:t>
      </w:r>
      <w:r>
        <w:t xml:space="preserve">on the container record.</w:t>
      </w:r>
      <w:r>
        <w:t xml:space="preserve"> </w:t>
      </w:r>
      <w:r>
        <w:t xml:space="preserve">4. 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r>
        <w:t xml:space="preserve"> </w:t>
      </w:r>
      <w:r>
        <w:t xml:space="preserve">5. 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r>
        <w:t xml:space="preserve"> </w:t>
      </w:r>
      <w:r>
        <w:t xml:space="preserve">6. Return the new</w:t>
      </w:r>
      <w:r>
        <w:t xml:space="preserve"> </w:t>
      </w:r>
      <w:r>
        <w:rPr>
          <w:rStyle w:val="VerbatimChar"/>
        </w:rPr>
        <w:t xml:space="preserve">ShippingLabel.Id</w:t>
      </w:r>
      <w:r>
        <w:t xml:space="preserve"> </w:t>
      </w:r>
      <w:r>
        <w:t xml:space="preserve">to the caller.</w:t>
      </w:r>
    </w:p>
    <w:p>
      <w:pPr>
        <w:pStyle w:val="BodyText"/>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system.util.sendMessageAsync('mes',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198"/>
    <w:bookmarkEnd w:id="199"/>
    <w:bookmarkStart w:id="206" w:name="shipping-labels"/>
    <w:p>
      <w:pPr>
        <w:pStyle w:val="Heading3"/>
      </w:pPr>
      <w:r>
        <w:t xml:space="preserve">7.3 Shipping Labels</w:t>
      </w:r>
    </w:p>
    <w:bookmarkStart w:id="200"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200"/>
    <w:bookmarkStart w:id="201"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1"/>
    <w:bookmarkStart w:id="202" w:name="X2b853052753a10d16569222b5916e044356986e"/>
    <w:p>
      <w:pPr>
        <w:pStyle w:val="Heading4"/>
      </w:pPr>
      <w:r>
        <w:t xml:space="preserve">FDS-07-008 — Shipping Label Void — amended v0.11i (UJ-04)</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p>
      <w:pPr>
        <w:pStyle w:val="BodyText"/>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2"/>
    <w:bookmarkStart w:id="203"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3"/>
    <w:bookmarkStart w:id="204" w:name="X6cd189be33fc63baaf871616ca32b74cd4b3d3e"/>
    <w:p>
      <w:pPr>
        <w:pStyle w:val="Heading4"/>
      </w:pPr>
      <w:r>
        <w:t xml:space="preserve">FDS-07-006a — Print Dispatch (Gateway-script-async) —</w:t>
      </w:r>
      <w:r>
        <w:t xml:space="preserve"> </w:t>
      </w:r>
      <w:r>
        <w:rPr>
          <w:rStyle w:val="VerbatimChar"/>
        </w:rPr>
        <w:t xml:space="preserve">MVP</w:t>
      </w:r>
      <w:r>
        <w:t xml:space="preserve"> </w:t>
      </w:r>
      <w:r>
        <w:t xml:space="preserve">(v0.11j, UJ-18)</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sendMessageAsync</w:t>
      </w:r>
      <w:r>
        <w:t xml:space="preserve"> </w:t>
      </w:r>
      <w:r>
        <w:t xml:space="preserve">call and SHALL:</w:t>
      </w:r>
    </w:p>
    <w:p>
      <w:pPr>
        <w:pStyle w:val="Compact"/>
        <w:numPr>
          <w:ilvl w:val="0"/>
          <w:numId w:val="1026"/>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26"/>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26"/>
        </w:numPr>
      </w:pPr>
      <w:r>
        <w:t xml:space="preserve">Fire the ZPL to the resolved Zebra via Ignition’s print primitives or scripted Zebra socket.</w:t>
      </w:r>
    </w:p>
    <w:p>
      <w:pPr>
        <w:pStyle w:val="Compact"/>
        <w:numPr>
          <w:ilvl w:val="0"/>
          <w:numId w:val="1026"/>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26"/>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w:t>
      </w:r>
      <w:r>
        <w:t xml:space="preserve"> </w:t>
      </w:r>
      <w:r>
        <w:rPr>
          <w:b/>
          <w:bCs/>
        </w:rPr>
        <w:t xml:space="preserve">No</w:t>
      </w:r>
      <w:r>
        <w:rPr>
          <w:b/>
          <w:bCs/>
        </w:rPr>
        <w:t xml:space="preserve"> </w:t>
      </w:r>
      <w:r>
        <w:rPr>
          <w:rStyle w:val="VerbatimChar"/>
          <w:b/>
          <w:bCs/>
        </w:rPr>
        <w:t xml:space="preserve">sendMessageAsync</w:t>
      </w:r>
      <w:r>
        <w:rPr>
          <w:b/>
          <w:bCs/>
        </w:rPr>
        <w:t xml:space="preserve"> </w:t>
      </w:r>
      <w:r>
        <w:rPr>
          <w:b/>
          <w:bCs/>
        </w:rPr>
        <w:t xml:space="preserve">re-send-to-self pattern</w:t>
      </w:r>
      <w:r>
        <w:t xml:space="preserve"> </w:t>
      </w:r>
      <w:r>
        <w:t xml:space="preserve">— the retry is inline within the single message-handler invocation. Re-send-to-self risks Gateway thread-pool exhaustion if a printer cluster is misbehaving and many parallel re-sends pile up.</w:t>
      </w:r>
    </w:p>
    <w:p>
      <w:pPr>
        <w:pStyle w:val="BodyText"/>
      </w:pPr>
      <w:r>
        <w:rPr>
          <w:b/>
          <w:bCs/>
        </w:rPr>
        <w:t xml:space="preserve">No polling on the print path.</w:t>
      </w:r>
      <w:r>
        <w:t xml:space="preserve"> </w:t>
      </w:r>
      <w:r>
        <w:t xml:space="preserve">The print attempt is event-driven from FDS-07-005’s</w:t>
      </w:r>
      <w:r>
        <w:t xml:space="preserve"> </w:t>
      </w:r>
      <w:r>
        <w:rPr>
          <w:rStyle w:val="VerbatimChar"/>
        </w:rPr>
        <w:t xml:space="preserve">sendMessageAsync</w:t>
      </w:r>
      <w:r>
        <w:t xml:space="preserve">; there is no Gateway timer scanning for pending labels at high frequency.</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4"/>
    <w:bookmarkStart w:id="205" w:name="Xae95f275e9cf0d5d6758405431112546043b744"/>
    <w:p>
      <w:pPr>
        <w:pStyle w:val="Heading4"/>
      </w:pPr>
      <w:r>
        <w:t xml:space="preserve">FDS-07-006b — Print Failure Surfacing &amp; Safety Sweep —</w:t>
      </w:r>
      <w:r>
        <w:t xml:space="preserve"> </w:t>
      </w:r>
      <w:r>
        <w:rPr>
          <w:rStyle w:val="VerbatimChar"/>
        </w:rPr>
        <w:t xml:space="preserve">MVP</w:t>
      </w:r>
      <w:r>
        <w:t xml:space="preserve"> </w:t>
      </w:r>
      <w:r>
        <w:t xml:space="preserve">(v0.11j, UJ-18)</w:t>
      </w:r>
    </w:p>
    <w:p>
      <w:pPr>
        <w:pStyle w:val="FirstParagraph"/>
      </w:pPr>
      <w:r>
        <w:rPr>
          <w:b/>
          <w:bCs/>
        </w:rPr>
        <w:t xml:space="preserve">Per-terminal banner.</w:t>
      </w:r>
      <w:r>
        <w:t xml:space="preserve"> </w:t>
      </w:r>
      <w:r>
        <w:t xml:space="preserve">Each shop-floor Perspective view SHALL bind to a query:</w:t>
      </w:r>
      <w:r>
        <w:t xml:space="preserve"> </w:t>
      </w:r>
      <w:r>
        <w:rPr>
          <w:rStyle w:val="VerbatimChar"/>
        </w:rPr>
        <w:t xml:space="preserve">SELECT * FROM Lots.ShippingLabel WHERE PrintFailedAt IS NOT NULL AND TerminalLocationId = @MyTerminalId</w:t>
      </w:r>
      <w:r>
        <w:t xml:space="preserve">. When any row matches, a banner SHALL display at that Terminal showing container number, AIM Shipper ID, last error, and three actions:</w:t>
      </w:r>
    </w:p>
    <w:p>
      <w:pPr>
        <w:pStyle w:val="Compact"/>
        <w:numPr>
          <w:ilvl w:val="0"/>
          <w:numId w:val="1027"/>
        </w:numPr>
      </w:pPr>
      <w:r>
        <w:rPr>
          <w:b/>
          <w:bCs/>
        </w:rPr>
        <w:t xml:space="preserve">Retry now</w:t>
      </w:r>
      <w:r>
        <w:t xml:space="preserve"> </w:t>
      </w:r>
      <w:r>
        <w:t xml:space="preserve">— clears</w:t>
      </w:r>
      <w:r>
        <w:t xml:space="preserve"> </w:t>
      </w:r>
      <w:r>
        <w:rPr>
          <w:rStyle w:val="VerbatimChar"/>
        </w:rPr>
        <w:t xml:space="preserve">PrintFailedAt</w:t>
      </w:r>
      <w:r>
        <w:t xml:space="preserve">, sets</w:t>
      </w:r>
      <w:r>
        <w:t xml:space="preserve"> </w:t>
      </w:r>
      <w:r>
        <w:rPr>
          <w:rStyle w:val="VerbatimChar"/>
        </w:rPr>
        <w:t xml:space="preserve">PrintAttempts = 0</w:t>
      </w:r>
      <w:r>
        <w:t xml:space="preserve">, re-sends the</w:t>
      </w:r>
      <w:r>
        <w:t xml:space="preserve"> </w:t>
      </w:r>
      <w:r>
        <w:rPr>
          <w:rStyle w:val="VerbatimChar"/>
        </w:rPr>
        <w:t xml:space="preserve">print-shipping-label</w:t>
      </w:r>
      <w:r>
        <w:t xml:space="preserve"> </w:t>
      </w:r>
      <w:r>
        <w:t xml:space="preserve">message. Useful when the printer issue has been physically resolved.</w:t>
      </w:r>
    </w:p>
    <w:p>
      <w:pPr>
        <w:pStyle w:val="Compact"/>
        <w:numPr>
          <w:ilvl w:val="0"/>
          <w:numId w:val="1027"/>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27"/>
        </w:numPr>
      </w:pPr>
      <w:r>
        <w:rPr>
          <w:b/>
          <w:bCs/>
        </w:rPr>
        <w:t xml:space="preserve">Acknowledge</w:t>
      </w:r>
      <w:r>
        <w:t xml:space="preserve"> </w:t>
      </w:r>
      <w:r>
        <w:t xml:space="preserve">— clears the banner without changing print state. Used when the supervisor handled the print out-of-band (e.g., manual ZPL send to a different printer).</w:t>
      </w:r>
    </w:p>
    <w:p>
      <w:pPr>
        <w:pStyle w:val="FirstParagraph"/>
      </w:pPr>
      <w:r>
        <w:t xml:space="preserve">The banner SHALL appear ONLY at the Terminal stamped on</w:t>
      </w:r>
      <w:r>
        <w:t xml:space="preserve"> </w:t>
      </w:r>
      <w:r>
        <w:rPr>
          <w:rStyle w:val="VerbatimChar"/>
        </w:rPr>
        <w:t xml:space="preserve">ShippingLabel.TerminalLocationId</w:t>
      </w:r>
      <w:r>
        <w:t xml:space="preserve"> </w:t>
      </w:r>
      <w:r>
        <w:t xml:space="preserve">— operators at other terminals do not see it. Plant-wide visibility is a supervisor wallboard concern, not a per-terminal one.</w:t>
      </w:r>
    </w:p>
    <w:p>
      <w:pPr>
        <w:pStyle w:val="BodyText"/>
      </w:pPr>
      <w:r>
        <w:rPr>
          <w:b/>
          <w:bCs/>
        </w:rPr>
        <w:t xml:space="preserve">Safety sweep — orphan recovery.</w:t>
      </w:r>
      <w:r>
        <w:t xml:space="preserve"> </w:t>
      </w:r>
      <w:r>
        <w:t xml:space="preserve">A Gateway timer script SHALL run every 5 minutes and SHALL:</w:t>
      </w:r>
    </w:p>
    <w:p>
      <w:pPr>
        <w:pStyle w:val="Compact"/>
        <w:numPr>
          <w:ilvl w:val="0"/>
          <w:numId w:val="1028"/>
        </w:numPr>
      </w:pPr>
      <w:r>
        <w:t xml:space="preserve">SELECT IDs</w:t>
      </w:r>
      <w:r>
        <w:t xml:space="preserve"> </w:t>
      </w:r>
      <w:r>
        <w:rPr>
          <w:rStyle w:val="VerbatimChar"/>
        </w:rPr>
        <w:t xml:space="preserve">WHERE PrintedAt IS NULL AND PrintFailedAt IS NULL AND CreatedAt &lt; DATEADD(SECOND, -60, GETDATE())</w:t>
      </w:r>
      <w:r>
        <w:t xml:space="preserve"> </w:t>
      </w:r>
      <w:r>
        <w:t xml:space="preserve">— these are labels that were INSERTed at close time but never had their</w:t>
      </w:r>
      <w:r>
        <w:t xml:space="preserve"> </w:t>
      </w:r>
      <w:r>
        <w:rPr>
          <w:rStyle w:val="VerbatimChar"/>
        </w:rPr>
        <w:t xml:space="preserve">print-shipping-label</w:t>
      </w:r>
      <w:r>
        <w:t xml:space="preserve"> </w:t>
      </w:r>
      <w:r>
        <w:t xml:space="preserve">message handled (e.g., Gateway restart between FDS-07-005 commit and the message dispatch).</w:t>
      </w:r>
    </w:p>
    <w:p>
      <w:pPr>
        <w:pStyle w:val="Compact"/>
        <w:numPr>
          <w:ilvl w:val="0"/>
          <w:numId w:val="1028"/>
        </w:numPr>
      </w:pPr>
      <w:r>
        <w:t xml:space="preserve">For each orphan, re-send</w:t>
      </w:r>
      <w:r>
        <w:t xml:space="preserve"> </w:t>
      </w:r>
      <w:r>
        <w:rPr>
          <w:rStyle w:val="VerbatimChar"/>
        </w:rPr>
        <w:t xml:space="preserve">system.util.sendMessageAsync('mes', 'print-shipping-label', {ShippingLabelId})</w:t>
      </w:r>
      <w:r>
        <w:t xml:space="preserve">.</w:t>
      </w:r>
    </w:p>
    <w:p>
      <w:pPr>
        <w:pStyle w:val="Compact"/>
        <w:numPr>
          <w:ilvl w:val="0"/>
          <w:numId w:val="1028"/>
        </w:numPr>
      </w:pPr>
      <w:r>
        <w:t xml:space="preserve">The 60-second floor avoids racing with normal-path prints that haven’t yet been picked up by the message handler.</w:t>
      </w:r>
    </w:p>
    <w:p>
      <w:pPr>
        <w:pStyle w:val="FirstParagraph"/>
      </w:pPr>
      <w:r>
        <w:rPr>
          <w:b/>
          <w:bCs/>
        </w:rPr>
        <w:t xml:space="preserve">Stranded-prints alarm.</w:t>
      </w:r>
      <w:r>
        <w:t xml:space="preserve"> </w:t>
      </w:r>
      <w:r>
        <w:t xml:space="preserve">If the safety sweep finds</w:t>
      </w:r>
      <w:r>
        <w:t xml:space="preserve"> </w:t>
      </w:r>
      <w:r>
        <w:rPr>
          <w:b/>
          <w:bCs/>
        </w:rPr>
        <w:t xml:space="preserve">more than 5</w:t>
      </w:r>
      <w:r>
        <w:t xml:space="preserve"> </w:t>
      </w:r>
      <w:r>
        <w:t xml:space="preserve">orphans in a single pass, supervisor wallboard tile SHALL turn Critical AND IT notification SHALL fire (mirroring the AIM pool alarm pattern from FDS-07-010b). Above 5 orphans means either the Gateway has been down long enough for a backlog or a systemic printer issue is affecting many lines. The threshold is hardcoded in the safety-sweep script for MVP; can be promoted to a</w:t>
      </w:r>
      <w:r>
        <w:t xml:space="preserve"> </w:t>
      </w:r>
      <w:r>
        <w:rPr>
          <w:rStyle w:val="VerbatimChar"/>
        </w:rPr>
        <w:t xml:space="preserve">Lots.AimPoolConfig</w:t>
      </w:r>
      <w:r>
        <w:t xml:space="preserve"> </w:t>
      </w:r>
      <w:r>
        <w:t xml:space="preserve">column or a sibling</w:t>
      </w:r>
      <w:r>
        <w:t xml:space="preserve"> </w:t>
      </w:r>
      <w:r>
        <w:rPr>
          <w:rStyle w:val="VerbatimChar"/>
        </w:rPr>
        <w:t xml:space="preserve">Lots.PrintQueueConfig</w:t>
      </w:r>
      <w:r>
        <w:t xml:space="preserve"> </w:t>
      </w:r>
      <w:r>
        <w:t xml:space="preserve">table if MPP later wants tunability.</w:t>
      </w:r>
    </w:p>
    <w:bookmarkEnd w:id="205"/>
    <w:bookmarkEnd w:id="206"/>
    <w:bookmarkStart w:id="213" w:name="aim-integration"/>
    <w:p>
      <w:pPr>
        <w:pStyle w:val="Heading3"/>
      </w:pPr>
      <w:r>
        <w:t xml:space="preserve">7.4 AIM Integration</w:t>
      </w:r>
    </w:p>
    <w:bookmarkStart w:id="207" w:name="Xfb06b06aaac0e514759e8bc20551b998d333128"/>
    <w:p>
      <w:pPr>
        <w:pStyle w:val="Heading4"/>
      </w:pPr>
      <w:r>
        <w:t xml:space="preserve">FDS-07-010 — AIM Shipper ID Local Pool — revised v0.11i (UJ-04)</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29"/>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29"/>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29"/>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30"/>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30"/>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30"/>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07"/>
    <w:bookmarkStart w:id="208" w:name="X16bd0e0f979c563869eee1471d8ddad0ac5b4a6"/>
    <w:p>
      <w:pPr>
        <w:pStyle w:val="Heading4"/>
      </w:pPr>
      <w:r>
        <w:t xml:space="preserve">FDS-07-010a — Empty Pool Hard Fail —</w:t>
      </w:r>
      <w:r>
        <w:t xml:space="preserve"> </w:t>
      </w:r>
      <w:r>
        <w:rPr>
          <w:rStyle w:val="VerbatimChar"/>
        </w:rPr>
        <w:t xml:space="preserve">MVP</w:t>
      </w:r>
      <w:r>
        <w:t xml:space="preserve"> </w:t>
      </w:r>
      <w:r>
        <w:t xml:space="preserve">(v0.11i, UJ-04)</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08"/>
    <w:bookmarkStart w:id="209" w:name="X67519dcb194017da1236790c598688c25b867e5"/>
    <w:p>
      <w:pPr>
        <w:pStyle w:val="Heading4"/>
      </w:pPr>
      <w:r>
        <w:t xml:space="preserve">FDS-07-010b — Pool Depth Alarms —</w:t>
      </w:r>
      <w:r>
        <w:t xml:space="preserve"> </w:t>
      </w:r>
      <w:r>
        <w:rPr>
          <w:rStyle w:val="VerbatimChar"/>
        </w:rPr>
        <w:t xml:space="preserve">MVP</w:t>
      </w:r>
      <w:r>
        <w:t xml:space="preserve"> </w:t>
      </w:r>
      <w:r>
        <w:t xml:space="preserve">(v0.11i, UJ-04)</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31"/>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31"/>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31"/>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09"/>
    <w:bookmarkStart w:id="210" w:name="X88cb8c41df6dffb8adac23a287c6e418a3eebf3"/>
    <w:p>
      <w:pPr>
        <w:pStyle w:val="Heading4"/>
      </w:pPr>
      <w:r>
        <w:t xml:space="preserve">FDS-07-010c — Pool Configuration via Configuration Tool —</w:t>
      </w:r>
      <w:r>
        <w:t xml:space="preserve"> </w:t>
      </w:r>
      <w:r>
        <w:rPr>
          <w:rStyle w:val="VerbatimChar"/>
        </w:rPr>
        <w:t xml:space="preserve">MVP</w:t>
      </w:r>
      <w:r>
        <w:t xml:space="preserve"> </w:t>
      </w:r>
      <w:r>
        <w:t xml:space="preserve">(v0.11i, UJ-04)</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32"/>
        </w:numPr>
      </w:pPr>
      <w:r>
        <w:rPr>
          <w:rStyle w:val="VerbatimChar"/>
        </w:rPr>
        <w:t xml:space="preserve">TargetBufferDepth</w:t>
      </w:r>
      <w:r>
        <w:t xml:space="preserve"> </w:t>
      </w:r>
      <w:r>
        <w:t xml:space="preserve">(default 50) — the buffer size the topup script aims for.</w:t>
      </w:r>
    </w:p>
    <w:p>
      <w:pPr>
        <w:pStyle w:val="Compact"/>
        <w:numPr>
          <w:ilvl w:val="0"/>
          <w:numId w:val="1032"/>
        </w:numPr>
      </w:pPr>
      <w:r>
        <w:rPr>
          <w:rStyle w:val="VerbatimChar"/>
        </w:rPr>
        <w:t xml:space="preserve">TopupThreshold</w:t>
      </w:r>
      <w:r>
        <w:t xml:space="preserve"> </w:t>
      </w:r>
      <w:r>
        <w:t xml:space="preserve">(default 30) — the trigger for topup runs.</w:t>
      </w:r>
    </w:p>
    <w:p>
      <w:pPr>
        <w:pStyle w:val="Compact"/>
        <w:numPr>
          <w:ilvl w:val="0"/>
          <w:numId w:val="1032"/>
        </w:numPr>
      </w:pPr>
      <w:r>
        <w:rPr>
          <w:rStyle w:val="VerbatimChar"/>
        </w:rPr>
        <w:t xml:space="preserve">AlarmWarningDepth</w:t>
      </w:r>
      <w:r>
        <w:t xml:space="preserve"> </w:t>
      </w:r>
      <w:r>
        <w:t xml:space="preserve">(default 20).</w:t>
      </w:r>
    </w:p>
    <w:p>
      <w:pPr>
        <w:pStyle w:val="Compact"/>
        <w:numPr>
          <w:ilvl w:val="0"/>
          <w:numId w:val="1032"/>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Arc 2 Phase 7 migration seed and reflect Jacques’s initial sizing target — they are tunable post-deployment based on actual peak container throughput and observed AIM responsiveness.</w:t>
      </w:r>
    </w:p>
    <w:bookmarkEnd w:id="210"/>
    <w:bookmarkStart w:id="211"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1"/>
    <w:bookmarkStart w:id="212"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2"/>
    <w:bookmarkEnd w:id="213"/>
    <w:bookmarkStart w:id="216" w:name="shipping-dock-workflow"/>
    <w:p>
      <w:pPr>
        <w:pStyle w:val="Heading3"/>
      </w:pPr>
      <w:r>
        <w:t xml:space="preserve">7.5 Shipping Dock Workflow</w:t>
      </w:r>
    </w:p>
    <w:bookmarkStart w:id="214"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4"/>
    <w:bookmarkStart w:id="215"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15"/>
    <w:bookmarkEnd w:id="216"/>
    <w:bookmarkStart w:id="219" w:name="container-holds"/>
    <w:p>
      <w:pPr>
        <w:pStyle w:val="Heading3"/>
      </w:pPr>
      <w:r>
        <w:t xml:space="preserve">7.6 Container Holds</w:t>
      </w:r>
    </w:p>
    <w:bookmarkStart w:id="217"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7"/>
    <w:bookmarkStart w:id="218"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8"/>
    <w:bookmarkEnd w:id="219"/>
    <w:bookmarkStart w:id="223" w:name="sort-cage-mvp-expanded"/>
    <w:p>
      <w:pPr>
        <w:pStyle w:val="Heading3"/>
      </w:pPr>
      <w:r>
        <w:t xml:space="preserve">7.7 Sort Cage —</w:t>
      </w:r>
      <w:r>
        <w:t xml:space="preserve"> </w:t>
      </w:r>
      <w:r>
        <w:rPr>
          <w:rStyle w:val="VerbatimChar"/>
        </w:rPr>
        <w:t xml:space="preserve">MVP-EXPANDED</w:t>
      </w:r>
    </w:p>
    <w:bookmarkStart w:id="220"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20"/>
    <w:bookmarkStart w:id="221"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1"/>
    <w:bookmarkStart w:id="222"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33"/>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33"/>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33"/>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2"/>
    <w:bookmarkEnd w:id="223"/>
    <w:bookmarkEnd w:id="224"/>
    <w:bookmarkStart w:id="250" w:name="quality-hold-management-mixed-scope"/>
    <w:p>
      <w:pPr>
        <w:pStyle w:val="Heading2"/>
      </w:pPr>
      <w:r>
        <w:t xml:space="preserve">8. Quality &amp; Hold Management — MIXED SCOPE</w:t>
      </w:r>
    </w:p>
    <w:bookmarkStart w:id="225"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25"/>
    <w:bookmarkStart w:id="234" w:name="hold-management-mvp-expanded"/>
    <w:p>
      <w:pPr>
        <w:pStyle w:val="Heading3"/>
      </w:pPr>
      <w:r>
        <w:t xml:space="preserve">8.2 Hold Management —</w:t>
      </w:r>
      <w:r>
        <w:t xml:space="preserve"> </w:t>
      </w:r>
      <w:r>
        <w:rPr>
          <w:rStyle w:val="VerbatimChar"/>
        </w:rPr>
        <w:t xml:space="preserve">MVP-EXPANDED</w:t>
      </w:r>
    </w:p>
    <w:bookmarkStart w:id="226"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6"/>
    <w:bookmarkStart w:id="227"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7"/>
    <w:bookmarkStart w:id="228"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8"/>
    <w:bookmarkStart w:id="229"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9"/>
    <w:bookmarkStart w:id="230"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30"/>
    <w:bookmarkStart w:id="231"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1"/>
    <w:bookmarkStart w:id="232"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2"/>
    <w:bookmarkStart w:id="233"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34"/>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34"/>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34"/>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34"/>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34"/>
        </w:numPr>
      </w:pPr>
      <w:r>
        <w:rPr>
          <w:b/>
          <w:bCs/>
        </w:rPr>
        <w:t xml:space="preserve">Bulk Hold / Bulk Release</w:t>
      </w:r>
      <w:r>
        <w:t xml:space="preserve"> </w:t>
      </w:r>
      <w:r>
        <w:t xml:space="preserve">— follows FDS-08-006 search + multi-select semantics.</w:t>
      </w:r>
    </w:p>
    <w:p>
      <w:pPr>
        <w:pStyle w:val="Compact"/>
        <w:numPr>
          <w:ilvl w:val="0"/>
          <w:numId w:val="1034"/>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3"/>
    <w:bookmarkEnd w:id="234"/>
    <w:bookmarkStart w:id="241" w:name="inspections-mvp"/>
    <w:p>
      <w:pPr>
        <w:pStyle w:val="Heading3"/>
      </w:pPr>
      <w:r>
        <w:t xml:space="preserve">8.3 Inspections —</w:t>
      </w:r>
      <w:r>
        <w:t xml:space="preserve"> </w:t>
      </w:r>
      <w:r>
        <w:rPr>
          <w:rStyle w:val="VerbatimChar"/>
        </w:rPr>
        <w:t xml:space="preserve">MVP</w:t>
      </w:r>
    </w:p>
    <w:bookmarkStart w:id="235"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35"/>
    <w:bookmarkStart w:id="236"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6"/>
    <w:bookmarkStart w:id="237"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7"/>
    <w:bookmarkStart w:id="238"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8"/>
    <w:bookmarkStart w:id="239"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9"/>
    <w:bookmarkStart w:id="240"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40"/>
    <w:bookmarkEnd w:id="241"/>
    <w:bookmarkStart w:id="244" w:name="sampling-workflows-conditional"/>
    <w:p>
      <w:pPr>
        <w:pStyle w:val="Heading3"/>
      </w:pPr>
      <w:r>
        <w:t xml:space="preserve">8.4 Sampling Workflows —</w:t>
      </w:r>
      <w:r>
        <w:t xml:space="preserve"> </w:t>
      </w:r>
      <w:r>
        <w:rPr>
          <w:rStyle w:val="VerbatimChar"/>
        </w:rPr>
        <w:t xml:space="preserve">CONDITIONAL</w:t>
      </w:r>
    </w:p>
    <w:bookmarkStart w:id="242"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2"/>
    <w:bookmarkStart w:id="243"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3"/>
    <w:bookmarkEnd w:id="244"/>
    <w:bookmarkStart w:id="247" w:name="defect-codes-mvp"/>
    <w:p>
      <w:pPr>
        <w:pStyle w:val="Heading3"/>
      </w:pPr>
      <w:r>
        <w:t xml:space="preserve">8.5 Defect Codes —</w:t>
      </w:r>
      <w:r>
        <w:t xml:space="preserve"> </w:t>
      </w:r>
      <w:r>
        <w:rPr>
          <w:rStyle w:val="VerbatimChar"/>
        </w:rPr>
        <w:t xml:space="preserve">MVP</w:t>
      </w:r>
    </w:p>
    <w:bookmarkStart w:id="245"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45"/>
    <w:bookmarkStart w:id="246"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6"/>
    <w:bookmarkEnd w:id="247"/>
    <w:bookmarkStart w:id="249" w:name="non-conformance-management-future"/>
    <w:p>
      <w:pPr>
        <w:pStyle w:val="Heading3"/>
      </w:pPr>
      <w:r>
        <w:t xml:space="preserve">8.6 Non-Conformance Management —</w:t>
      </w:r>
      <w:r>
        <w:t xml:space="preserve"> </w:t>
      </w:r>
      <w:r>
        <w:rPr>
          <w:rStyle w:val="VerbatimChar"/>
        </w:rPr>
        <w:t xml:space="preserve">FUTURE</w:t>
      </w:r>
    </w:p>
    <w:bookmarkStart w:id="248"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8"/>
    <w:bookmarkEnd w:id="249"/>
    <w:bookmarkEnd w:id="250"/>
    <w:bookmarkStart w:id="271" w:name="downtime-tracking-mixed-scope"/>
    <w:p>
      <w:pPr>
        <w:pStyle w:val="Heading2"/>
      </w:pPr>
      <w:r>
        <w:t xml:space="preserve">9. Downtime Tracking — MIXED SCOPE</w:t>
      </w:r>
    </w:p>
    <w:bookmarkStart w:id="251"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1"/>
    <w:bookmarkStart w:id="257" w:name="downtime-events-mvp"/>
    <w:p>
      <w:pPr>
        <w:pStyle w:val="Heading3"/>
      </w:pPr>
      <w:r>
        <w:t xml:space="preserve">9.2 Downtime Events —</w:t>
      </w:r>
      <w:r>
        <w:t xml:space="preserve"> </w:t>
      </w:r>
      <w:r>
        <w:rPr>
          <w:rStyle w:val="VerbatimChar"/>
        </w:rPr>
        <w:t xml:space="preserve">MVP</w:t>
      </w:r>
    </w:p>
    <w:bookmarkStart w:id="252"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2"/>
    <w:bookmarkStart w:id="253"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3"/>
    <w:bookmarkStart w:id="254"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4"/>
    <w:bookmarkStart w:id="255"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55"/>
    <w:bookmarkStart w:id="256"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56"/>
    <w:bookmarkEnd w:id="257"/>
    <w:bookmarkStart w:id="260" w:name="downtime-reason-codes-mvp"/>
    <w:p>
      <w:pPr>
        <w:pStyle w:val="Heading3"/>
      </w:pPr>
      <w:r>
        <w:t xml:space="preserve">9.3 Downtime Reason Codes —</w:t>
      </w:r>
      <w:r>
        <w:t xml:space="preserve"> </w:t>
      </w:r>
      <w:r>
        <w:rPr>
          <w:rStyle w:val="VerbatimChar"/>
        </w:rPr>
        <w:t xml:space="preserve">MVP</w:t>
      </w:r>
    </w:p>
    <w:bookmarkStart w:id="258"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8"/>
    <w:bookmarkStart w:id="259"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9"/>
    <w:bookmarkEnd w:id="260"/>
    <w:bookmarkStart w:id="268"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61"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1"/>
    <w:bookmarkStart w:id="262"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35"/>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35"/>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35"/>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2"/>
    <w:bookmarkStart w:id="263"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63"/>
    <w:bookmarkStart w:id="264"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4"/>
    <w:bookmarkStart w:id="265"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65"/>
    <w:bookmarkStart w:id="266"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6"/>
    <w:bookmarkStart w:id="267" w:name="X4a6e65affd41721b4b9fd373a041e0e0d2969ac"/>
    <w:p>
      <w:pPr>
        <w:pStyle w:val="Heading4"/>
      </w:pPr>
      <w:r>
        <w:t xml:space="preserve">FDS-09-015 — Shift-End Summary Screen —</w:t>
      </w:r>
      <w:r>
        <w:t xml:space="preserve"> </w:t>
      </w:r>
      <w:r>
        <w:rPr>
          <w:rStyle w:val="VerbatimChar"/>
        </w:rPr>
        <w:t xml:space="preserve">MVP</w:t>
      </w:r>
      <w:r>
        <w:t xml:space="preserve"> </w:t>
      </w:r>
      <w:r>
        <w:t xml:space="preserve">(v0.11j, UJ-10)</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36"/>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36"/>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36"/>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 pauses / in-process LOTs persist regardless (per OI-03 event-spans-naturally model — events do not auto-split at shift boundaries). The summary is purely a continuity / handover convenience.</w:t>
      </w:r>
    </w:p>
    <w:p>
      <w:pPr>
        <w:pStyle w:val="BodyText"/>
      </w:pPr>
      <w:r>
        <w:rPr>
          <w:b/>
          <w:bCs/>
        </w:rPr>
        <w:t xml:space="preserve">Implementation note (UJ-10 Q1 from Jacques):</w:t>
      </w:r>
      <w:r>
        <w:t xml:space="preserve"> </w:t>
      </w:r>
      <w:r>
        <w:t xml:space="preserve">the in-process-LOT join over</w:t>
      </w:r>
      <w:r>
        <w:t xml:space="preserve"> </w:t>
      </w:r>
      <w:r>
        <w:rPr>
          <w:rStyle w:val="VerbatimChar"/>
        </w:rPr>
        <w:t xml:space="preserve">LotMovement</w:t>
      </w:r>
      <w:r>
        <w:t xml:space="preserve"> </w:t>
      </w:r>
      <w:r>
        <w:t xml:space="preserve">+</w:t>
      </w:r>
      <w:r>
        <w:t xml:space="preserve"> </w:t>
      </w:r>
      <w:r>
        <w:rPr>
          <w:rStyle w:val="VerbatimChar"/>
        </w:rPr>
        <w:t xml:space="preserve">v_LotDerivedQuantities</w:t>
      </w:r>
      <w:r>
        <w:t xml:space="preserve"> </w:t>
      </w:r>
      <w:r>
        <w:t xml:space="preserve">is the most expensive query of the three. Recommended optimization: index</w:t>
      </w:r>
      <w:r>
        <w:t xml:space="preserve"> </w:t>
      </w:r>
      <w:r>
        <w:rPr>
          <w:rStyle w:val="VerbatimChar"/>
        </w:rPr>
        <w:t xml:space="preserve">Lots.LotMovement (ToLocationId, MovedAt DESC)</w:t>
      </w:r>
      <w:r>
        <w:t xml:space="preserve"> </w:t>
      </w:r>
      <w:r>
        <w:t xml:space="preserve">to support the latest-movement-per-LOT scan. Same query pattern is reusable on the Lot Details screen (per OI-23) — not a new burden, but worth flagging.</w:t>
      </w:r>
    </w:p>
    <w:bookmarkEnd w:id="267"/>
    <w:bookmarkEnd w:id="268"/>
    <w:bookmarkStart w:id="270" w:name="oee-future"/>
    <w:p>
      <w:pPr>
        <w:pStyle w:val="Heading3"/>
      </w:pPr>
      <w:r>
        <w:t xml:space="preserve">9.5 OEE —</w:t>
      </w:r>
      <w:r>
        <w:t xml:space="preserve"> </w:t>
      </w:r>
      <w:r>
        <w:rPr>
          <w:rStyle w:val="VerbatimChar"/>
        </w:rPr>
        <w:t xml:space="preserve">FUTURE</w:t>
      </w:r>
    </w:p>
    <w:bookmarkStart w:id="269"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9"/>
    <w:bookmarkEnd w:id="270"/>
    <w:bookmarkEnd w:id="271"/>
    <w:bookmarkStart w:id="290" w:name="plcopc-integration-mvp"/>
    <w:p>
      <w:pPr>
        <w:pStyle w:val="Heading2"/>
      </w:pPr>
      <w:r>
        <w:t xml:space="preserve">10. PLC/OPC Integration —</w:t>
      </w:r>
      <w:r>
        <w:t xml:space="preserve"> </w:t>
      </w:r>
      <w:r>
        <w:rPr>
          <w:rStyle w:val="VerbatimChar"/>
        </w:rPr>
        <w:t xml:space="preserve">MVP</w:t>
      </w:r>
    </w:p>
    <w:bookmarkStart w:id="272"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2"/>
    <w:bookmarkStart w:id="276" w:name="mip-handshake-protocol-serialized-lines"/>
    <w:p>
      <w:pPr>
        <w:pStyle w:val="Heading3"/>
      </w:pPr>
      <w:r>
        <w:t xml:space="preserve">10.2 MIP Handshake Protocol — Serialized Lines</w:t>
      </w:r>
    </w:p>
    <w:bookmarkStart w:id="273"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3"/>
    <w:bookmarkStart w:id="274"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74"/>
    <w:bookmarkStart w:id="275"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75"/>
    <w:bookmarkEnd w:id="276"/>
    <w:bookmarkStart w:id="283"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77"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7"/>
    <w:bookmarkStart w:id="278"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37"/>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37"/>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37"/>
        </w:numPr>
      </w:pPr>
      <w:r>
        <w:t xml:space="preserve">Route to escalation per FDS-10-009 / FDS-10-010 based on failure count and failure type.</w:t>
      </w:r>
    </w:p>
    <w:p>
      <w:pPr>
        <w:pStyle w:val="Compact"/>
        <w:numPr>
          <w:ilvl w:val="0"/>
          <w:numId w:val="1037"/>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37"/>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8"/>
    <w:bookmarkStart w:id="279"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38"/>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38"/>
        </w:numPr>
      </w:pPr>
      <w:r>
        <w:t xml:space="preserve">Require supervisor AD elevation (FDS-04-007) before production can resume on that cell.</w:t>
      </w:r>
    </w:p>
    <w:p>
      <w:pPr>
        <w:pStyle w:val="Compact"/>
        <w:numPr>
          <w:ilvl w:val="0"/>
          <w:numId w:val="1038"/>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9"/>
    <w:bookmarkStart w:id="280"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80"/>
    <w:bookmarkStart w:id="281"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39"/>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39"/>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81"/>
    <w:bookmarkStart w:id="282"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40"/>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40"/>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40"/>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40"/>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40"/>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82"/>
    <w:bookmarkEnd w:id="283"/>
    <w:bookmarkStart w:id="285" w:name="scale-integration"/>
    <w:p>
      <w:pPr>
        <w:pStyle w:val="Heading3"/>
      </w:pPr>
      <w:r>
        <w:t xml:space="preserve">10.4 Scale Integration</w:t>
      </w:r>
    </w:p>
    <w:bookmarkStart w:id="284"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4"/>
    <w:bookmarkEnd w:id="285"/>
    <w:bookmarkStart w:id="289" w:name="barcode-integration"/>
    <w:p>
      <w:pPr>
        <w:pStyle w:val="Heading3"/>
      </w:pPr>
      <w:r>
        <w:t xml:space="preserve">10.5 Barcode Integration</w:t>
      </w:r>
    </w:p>
    <w:bookmarkStart w:id="286"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86"/>
    <w:bookmarkStart w:id="287"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87"/>
    <w:bookmarkStart w:id="288" w:name="X8c32c2f7ca243a33effc3df50748a54e032a923"/>
    <w:p>
      <w:pPr>
        <w:pStyle w:val="Heading4"/>
      </w:pPr>
      <w:r>
        <w:t xml:space="preserve">FDS-10-013 — Confirmation Method LocationAttribute —</w:t>
      </w:r>
      <w:r>
        <w:t xml:space="preserve"> </w:t>
      </w:r>
      <w:r>
        <w:rPr>
          <w:rStyle w:val="VerbatimChar"/>
        </w:rPr>
        <w:t xml:space="preserve">MVP</w:t>
      </w:r>
      <w:r>
        <w:t xml:space="preserve"> </w:t>
      </w:r>
      <w:r>
        <w:t xml:space="preserve">(v0.11j, UJ-17)</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(OI-04 /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(Option D from UJ-17),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88"/>
    <w:bookmarkEnd w:id="289"/>
    <w:bookmarkEnd w:id="290"/>
    <w:bookmarkStart w:id="306" w:name="audit-logging-mvp"/>
    <w:p>
      <w:pPr>
        <w:pStyle w:val="Heading2"/>
      </w:pPr>
      <w:r>
        <w:t xml:space="preserve">11. Audit &amp; Logging —</w:t>
      </w:r>
      <w:r>
        <w:t xml:space="preserve"> </w:t>
      </w:r>
      <w:r>
        <w:rPr>
          <w:rStyle w:val="VerbatimChar"/>
        </w:rPr>
        <w:t xml:space="preserve">MVP</w:t>
      </w:r>
    </w:p>
    <w:bookmarkStart w:id="291"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1"/>
    <w:bookmarkStart w:id="297" w:name="log-types"/>
    <w:p>
      <w:pPr>
        <w:pStyle w:val="Heading3"/>
      </w:pPr>
      <w:r>
        <w:t xml:space="preserve">11.2 Log Types</w:t>
      </w:r>
    </w:p>
    <w:bookmarkStart w:id="292"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2"/>
    <w:bookmarkStart w:id="293"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3"/>
    <w:bookmarkStart w:id="294"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4"/>
    <w:bookmarkStart w:id="295"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95"/>
    <w:bookmarkStart w:id="296"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96"/>
    <w:bookmarkEnd w:id="297"/>
    <w:bookmarkStart w:id="302" w:name="normalized-vocabularies"/>
    <w:p>
      <w:pPr>
        <w:pStyle w:val="Heading3"/>
      </w:pPr>
      <w:r>
        <w:t xml:space="preserve">11.3 Normalized Vocabularies</w:t>
      </w:r>
    </w:p>
    <w:bookmarkStart w:id="298"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8"/>
    <w:bookmarkStart w:id="299"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9"/>
    <w:bookmarkStart w:id="300"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300"/>
    <w:bookmarkStart w:id="301"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41"/>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41"/>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41"/>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41"/>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1"/>
    <w:bookmarkEnd w:id="302"/>
    <w:bookmarkStart w:id="305" w:name="data-retention"/>
    <w:p>
      <w:pPr>
        <w:pStyle w:val="Heading3"/>
      </w:pPr>
      <w:r>
        <w:t xml:space="preserve">11.4 Data Retention</w:t>
      </w:r>
    </w:p>
    <w:bookmarkStart w:id="303"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303"/>
    <w:bookmarkStart w:id="304"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4"/>
    <w:bookmarkEnd w:id="305"/>
    <w:bookmarkEnd w:id="306"/>
    <w:bookmarkStart w:id="326" w:name="reporting-mvp"/>
    <w:p>
      <w:pPr>
        <w:pStyle w:val="Heading2"/>
      </w:pPr>
      <w:r>
        <w:t xml:space="preserve">12. Reporting —</w:t>
      </w:r>
      <w:r>
        <w:t xml:space="preserve"> </w:t>
      </w:r>
      <w:r>
        <w:rPr>
          <w:rStyle w:val="VerbatimChar"/>
        </w:rPr>
        <w:t xml:space="preserve">MVP</w:t>
      </w:r>
    </w:p>
    <w:bookmarkStart w:id="307"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07"/>
    <w:bookmarkStart w:id="312" w:name="traceability-reports"/>
    <w:p>
      <w:pPr>
        <w:pStyle w:val="Heading3"/>
      </w:pPr>
      <w:r>
        <w:t xml:space="preserve">12.2 Traceability Reports</w:t>
      </w:r>
    </w:p>
    <w:bookmarkStart w:id="308"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8"/>
    <w:bookmarkStart w:id="309"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9"/>
    <w:bookmarkStart w:id="310"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10"/>
    <w:bookmarkStart w:id="311"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1"/>
    <w:bookmarkEnd w:id="312"/>
    <w:bookmarkStart w:id="317" w:name="X20e5703298e30073c8ffa1040c87c727e57d853"/>
    <w:p>
      <w:pPr>
        <w:pStyle w:val="Heading3"/>
      </w:pPr>
      <w:r>
        <w:t xml:space="preserve">12.3 Production Reports (Replacing Productivity DB)</w:t>
      </w:r>
    </w:p>
    <w:bookmarkStart w:id="313"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3"/>
    <w:bookmarkStart w:id="314"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4"/>
    <w:bookmarkStart w:id="315"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15"/>
    <w:bookmarkStart w:id="316"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16"/>
    <w:bookmarkEnd w:id="317"/>
    <w:bookmarkStart w:id="321" w:name="operational-reports"/>
    <w:p>
      <w:pPr>
        <w:pStyle w:val="Heading3"/>
      </w:pPr>
      <w:r>
        <w:t xml:space="preserve">12.4 Operational Reports</w:t>
      </w:r>
    </w:p>
    <w:bookmarkStart w:id="318"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8"/>
    <w:bookmarkStart w:id="319"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9"/>
    <w:bookmarkStart w:id="320"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20"/>
    <w:bookmarkEnd w:id="321"/>
    <w:bookmarkStart w:id="325"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22"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2"/>
    <w:bookmarkStart w:id="323"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42"/>
        </w:numPr>
      </w:pPr>
      <w:r>
        <w:t xml:space="preserve">LOT</w:t>
      </w:r>
      <w:r>
        <w:t xml:space="preserve"> </w:t>
      </w:r>
      <w:r>
        <w:rPr>
          <w:rStyle w:val="VerbatimChar"/>
        </w:rPr>
        <w:t xml:space="preserve">LotName</w:t>
      </w:r>
      <w:r>
        <w:t xml:space="preserve"> </w:t>
      </w:r>
      <w:r>
        <w:t xml:space="preserve">(LTT barcode)</w:t>
      </w:r>
    </w:p>
    <w:p>
      <w:pPr>
        <w:pStyle w:val="Compact"/>
        <w:numPr>
          <w:ilvl w:val="0"/>
          <w:numId w:val="1042"/>
        </w:numPr>
      </w:pPr>
      <w:r>
        <w:t xml:space="preserve">Sub-LOT</w:t>
      </w:r>
      <w:r>
        <w:t xml:space="preserve"> </w:t>
      </w:r>
      <w:r>
        <w:rPr>
          <w:rStyle w:val="VerbatimChar"/>
        </w:rPr>
        <w:t xml:space="preserve">LotName</w:t>
      </w:r>
    </w:p>
    <w:p>
      <w:pPr>
        <w:pStyle w:val="Compact"/>
        <w:numPr>
          <w:ilvl w:val="0"/>
          <w:numId w:val="1042"/>
        </w:numPr>
      </w:pPr>
      <w:r>
        <w:t xml:space="preserve">Serialized part serial number (</w:t>
      </w:r>
      <w:r>
        <w:rPr>
          <w:rStyle w:val="VerbatimChar"/>
        </w:rPr>
        <w:t xml:space="preserve">SerializedPart.SerialNumber</w:t>
      </w:r>
      <w:r>
        <w:t xml:space="preserve">)</w:t>
      </w:r>
    </w:p>
    <w:p>
      <w:pPr>
        <w:pStyle w:val="Compact"/>
        <w:numPr>
          <w:ilvl w:val="0"/>
          <w:numId w:val="1042"/>
        </w:numPr>
      </w:pPr>
      <w:r>
        <w:t xml:space="preserve">Container</w:t>
      </w:r>
      <w:r>
        <w:t xml:space="preserve"> </w:t>
      </w:r>
      <w:r>
        <w:rPr>
          <w:rStyle w:val="VerbatimChar"/>
        </w:rPr>
        <w:t xml:space="preserve">ContainerName</w:t>
      </w:r>
    </w:p>
    <w:p>
      <w:pPr>
        <w:pStyle w:val="Compact"/>
        <w:numPr>
          <w:ilvl w:val="0"/>
          <w:numId w:val="1042"/>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3"/>
    <w:bookmarkStart w:id="324"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43"/>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43"/>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43"/>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43"/>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43"/>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43"/>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24"/>
    <w:bookmarkEnd w:id="325"/>
    <w:bookmarkEnd w:id="326"/>
    <w:bookmarkStart w:id="337" w:name="external-system-interfaces-mixed-scope"/>
    <w:p>
      <w:pPr>
        <w:pStyle w:val="Heading2"/>
      </w:pPr>
      <w:r>
        <w:t xml:space="preserve">13. External System Interfaces — MIXED SCOPE</w:t>
      </w:r>
    </w:p>
    <w:bookmarkStart w:id="330" w:name="aim-honda-edi-mvp"/>
    <w:p>
      <w:pPr>
        <w:pStyle w:val="Heading3"/>
      </w:pPr>
      <w:r>
        <w:t xml:space="preserve">13.1 AIM (Honda EDI) —</w:t>
      </w:r>
      <w:r>
        <w:t xml:space="preserve"> </w:t>
      </w:r>
      <w:r>
        <w:rPr>
          <w:rStyle w:val="VerbatimChar"/>
        </w:rPr>
        <w:t xml:space="preserve">MVP</w:t>
      </w:r>
    </w:p>
    <w:bookmarkStart w:id="327"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27"/>
    <w:bookmarkStart w:id="328"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28"/>
    <w:bookmarkStart w:id="329"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9"/>
    <w:bookmarkEnd w:id="330"/>
    <w:bookmarkStart w:id="332" w:name="macola-erp-future"/>
    <w:p>
      <w:pPr>
        <w:pStyle w:val="Heading3"/>
      </w:pPr>
      <w:r>
        <w:t xml:space="preserve">13.2 Macola ERP —</w:t>
      </w:r>
      <w:r>
        <w:t xml:space="preserve"> </w:t>
      </w:r>
      <w:r>
        <w:rPr>
          <w:rStyle w:val="VerbatimChar"/>
        </w:rPr>
        <w:t xml:space="preserve">FUTURE</w:t>
      </w:r>
    </w:p>
    <w:bookmarkStart w:id="331"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1"/>
    <w:bookmarkEnd w:id="332"/>
    <w:bookmarkStart w:id="334" w:name="intelex-quality-management-future"/>
    <w:p>
      <w:pPr>
        <w:pStyle w:val="Heading3"/>
      </w:pPr>
      <w:r>
        <w:t xml:space="preserve">13.3 Intelex (Quality Management) —</w:t>
      </w:r>
      <w:r>
        <w:t xml:space="preserve"> </w:t>
      </w:r>
      <w:r>
        <w:rPr>
          <w:rStyle w:val="VerbatimChar"/>
        </w:rPr>
        <w:t xml:space="preserve">FUTURE</w:t>
      </w:r>
    </w:p>
    <w:bookmarkStart w:id="333"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33"/>
    <w:bookmarkEnd w:id="334"/>
    <w:bookmarkStart w:id="336" w:name="scada-process-dashboards-future"/>
    <w:p>
      <w:pPr>
        <w:pStyle w:val="Heading3"/>
      </w:pPr>
      <w:r>
        <w:t xml:space="preserve">13.4 SCADA / Process Dashboards —</w:t>
      </w:r>
      <w:r>
        <w:t xml:space="preserve"> </w:t>
      </w:r>
      <w:r>
        <w:rPr>
          <w:rStyle w:val="VerbatimChar"/>
        </w:rPr>
        <w:t xml:space="preserve">FUTURE</w:t>
      </w:r>
    </w:p>
    <w:bookmarkStart w:id="335"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35"/>
    <w:bookmarkEnd w:id="336"/>
    <w:bookmarkEnd w:id="337"/>
    <w:bookmarkStart w:id="344" w:name="data-migration-conditional"/>
    <w:p>
      <w:pPr>
        <w:pStyle w:val="Heading2"/>
      </w:pPr>
      <w:r>
        <w:t xml:space="preserve">14. Data Migration —</w:t>
      </w:r>
      <w:r>
        <w:t xml:space="preserve"> </w:t>
      </w:r>
      <w:r>
        <w:rPr>
          <w:rStyle w:val="VerbatimChar"/>
        </w:rPr>
        <w:t xml:space="preserve">CONDITIONAL</w:t>
      </w:r>
    </w:p>
    <w:bookmarkStart w:id="343"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8"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8"/>
    <w:bookmarkStart w:id="339"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9"/>
    <w:bookmarkStart w:id="340"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40"/>
    <w:bookmarkStart w:id="341"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1"/>
    <w:bookmarkStart w:id="342"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44"/>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44"/>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44"/>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44"/>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2"/>
    <w:bookmarkEnd w:id="343"/>
    <w:bookmarkEnd w:id="344"/>
    <w:bookmarkStart w:id="355" w:name="deployment-commissioning-mvp"/>
    <w:p>
      <w:pPr>
        <w:pStyle w:val="Heading2"/>
      </w:pPr>
      <w:r>
        <w:t xml:space="preserve">15. Deployment &amp; Commissioning —</w:t>
      </w:r>
      <w:r>
        <w:t xml:space="preserve"> </w:t>
      </w:r>
      <w:r>
        <w:rPr>
          <w:rStyle w:val="VerbatimChar"/>
        </w:rPr>
        <w:t xml:space="preserve">MVP</w:t>
      </w:r>
    </w:p>
    <w:bookmarkStart w:id="351" w:name="deployment-approach"/>
    <w:p>
      <w:pPr>
        <w:pStyle w:val="Heading3"/>
      </w:pPr>
      <w:r>
        <w:t xml:space="preserve">15.1 Deployment Approach</w:t>
      </w:r>
    </w:p>
    <w:bookmarkStart w:id="345"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45"/>
    <w:bookmarkStart w:id="346"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46"/>
    <w:bookmarkStart w:id="347"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47"/>
    <w:bookmarkStart w:id="348"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8"/>
    <w:bookmarkStart w:id="349"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9"/>
    <w:bookmarkStart w:id="350"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50"/>
    <w:bookmarkEnd w:id="351"/>
    <w:bookmarkStart w:id="354" w:name="change-management"/>
    <w:p>
      <w:pPr>
        <w:pStyle w:val="Heading3"/>
      </w:pPr>
      <w:r>
        <w:t xml:space="preserve">15.2 Change Management</w:t>
      </w:r>
    </w:p>
    <w:bookmarkStart w:id="352"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2"/>
    <w:bookmarkStart w:id="353"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53"/>
    <w:bookmarkEnd w:id="354"/>
    <w:bookmarkEnd w:id="355"/>
    <w:bookmarkStart w:id="359"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56"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56"/>
    <w:bookmarkStart w:id="357"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45"/>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45"/>
        </w:numPr>
      </w:pPr>
      <w:r>
        <w:t xml:space="preserve">Raise a business-rule error if no rows match (</w:t>
      </w:r>
      <w:r>
        <w:rPr>
          <w:rStyle w:val="VerbatimChar"/>
        </w:rPr>
        <w:t xml:space="preserve">@Code</w:t>
      </w:r>
      <w:r>
        <w:t xml:space="preserve"> </w:t>
      </w:r>
      <w:r>
        <w:t xml:space="preserve">unknown).</w:t>
      </w:r>
    </w:p>
    <w:p>
      <w:pPr>
        <w:pStyle w:val="Compact"/>
        <w:numPr>
          <w:ilvl w:val="0"/>
          <w:numId w:val="1045"/>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45"/>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45"/>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57"/>
    <w:bookmarkStart w:id="358"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58"/>
    <w:bookmarkEnd w:id="359"/>
    <w:bookmarkStart w:id="368" w:name="appendices"/>
    <w:p>
      <w:pPr>
        <w:pStyle w:val="Heading2"/>
      </w:pPr>
      <w:r>
        <w:t xml:space="preserve">Appendices</w:t>
      </w:r>
    </w:p>
    <w:bookmarkStart w:id="360"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60"/>
    <w:bookmarkStart w:id="361"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1"/>
    <w:bookmarkStart w:id="362"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2"/>
    <w:bookmarkStart w:id="363"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63"/>
    <w:bookmarkStart w:id="364"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64"/>
    <w:bookmarkStart w:id="365"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65"/>
    <w:bookmarkStart w:id="366"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66"/>
    <w:bookmarkStart w:id="367"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67"/>
    <w:bookmarkEnd w:id="368"/>
    <w:bookmarkStart w:id="369"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Closed 2026-04-24:</w:t>
            </w:r>
            <w:r>
              <w:t xml:space="preserve"> </w:t>
            </w:r>
            <w:r>
              <w:t xml:space="preserve">dedicated vs shared derived from Terminal’s parent Location tier (WorkCenter/Cell → Dedicated; Area → Shared);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Closed</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9"/>
    <w:bookmarkEnd w:id="3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2026-04-27T17:45:41Z</dcterms:created>
  <dcterms:modified xsi:type="dcterms:W3CDTF">2026-04-27T17:45:41Z</dcterms:modified>
</cp:coreProperties>
</file>

<file path=docProps/custom.xml><?xml version="1.0" encoding="utf-8"?>
<Properties xmlns="http://schemas.openxmlformats.org/officeDocument/2006/custom-properties" xmlns:vt="http://schemas.openxmlformats.org/officeDocument/2006/docPropsVTypes"/>
</file>