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5"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0.11i — Working Draft</w:t>
      </w:r>
      <w:r>
        <w:t xml:space="preserve"> </w:t>
      </w:r>
      <w:r>
        <w:rPr>
          <w:b/>
          <w:bCs/>
        </w:rPr>
        <w:t xml:space="preserve">Date:</w:t>
      </w:r>
      <w:r>
        <w:t xml:space="preserve"> </w:t>
      </w:r>
      <w:r>
        <w:t xml:space="preserve">2026-04-27</w:t>
      </w:r>
    </w:p>
    <w:p>
      <w:r>
        <w:pict>
          <v:rect style="width:0;height:1.5pt" o:hralign="center" o:hrstd="t" o:hr="t"/>
        </w:pict>
      </w:r>
    </w:p>
    <w:bookmarkStart w:id="9" w:name="revision-history"/>
    <w:p>
      <w:pPr>
        <w:pStyle w:val="Heading2"/>
      </w:pPr>
      <w:r>
        <w:t xml:space="preserve">Revision History</w:t>
      </w:r>
    </w:p>
    <w:p>
      <w:pPr>
        <w:pStyle w:val="BlockText"/>
      </w:pPr>
      <w:r>
        <w:t xml:space="preserve">Newest at top. Each entry:</w:t>
      </w:r>
      <w:r>
        <w:t xml:space="preserve"> </w:t>
      </w:r>
      <w:r>
        <w:rPr>
          <w:b/>
          <w:bCs/>
        </w:rPr>
        <w:t xml:space="preserve">§ section(s) — driver/topic.</w:t>
      </w:r>
      <w:r>
        <w:t xml:space="preserve"> </w:t>
      </w:r>
      <w:r>
        <w:t xml:space="preserve">Specific FDS-XX-NNN req IDs created or rewritten. Companion data model / OIR / ERD versions where applicable.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0.11i</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§7.2, §7.4 — UJ-04 AIM Shipper ID local pool.</w:t>
            </w:r>
            <w:r>
              <w:t xml:space="preserve"> </w:t>
            </w:r>
            <w:r>
              <w:t xml:space="preserve">FDS-07-005 rewritten, FDS-07-008 amended, FDS-07-010 rewritten; FDS-07-010a/b/c NEW. Data Model v1.9h.</w:t>
            </w:r>
          </w:p>
        </w:tc>
      </w:tr>
      <w:tr>
        <w:tc>
          <w:tcPr>
            <w:shd w:val="clear" w:color="auto" w:fill="F2F2F2"/>
          </w:tcPr>
          <w:tcPr/>
          <w:p>
            <w:pPr>
              <w:pStyle w:val="Compact"/>
            </w:pPr>
            <w:r>
              <w:t xml:space="preserve">0.11h</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§5.3 — OI-21 Pausable LOT at Workstation.</w:t>
            </w:r>
            <w:r>
              <w:t xml:space="preserve"> </w:t>
            </w:r>
            <w:r>
              <w:t xml:space="preserve">FDS-05-038 NEW. Data Model v1.9g.</w:t>
            </w:r>
          </w:p>
        </w:tc>
      </w:tr>
      <w:tr>
        <w:tc>
          <w:tcPr/>
          <w:p>
            <w:pPr>
              <w:pStyle w:val="Compact"/>
            </w:pPr>
            <w:r>
              <w:t xml:space="preserve">0.11g</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§6.10 — OI-16 PLC confirm + RequiresCompletionConfirm LocationAttribute.</w:t>
            </w:r>
            <w:r>
              <w:t xml:space="preserve"> </w:t>
            </w:r>
            <w:r>
              <w:t xml:space="preserve">FDS-06-028 extended. Data Model v1.9f.</w:t>
            </w:r>
          </w:p>
        </w:tc>
      </w:tr>
      <w:tr>
        <w:tc>
          <w:tcPr>
            <w:shd w:val="clear" w:color="auto" w:fill="F2F2F2"/>
          </w:tcPr>
          <w:tcPr/>
          <w:p>
            <w:pPr>
              <w:pStyle w:val="Compact"/>
            </w:pPr>
            <w:r>
              <w:t xml:space="preserve">0.11f</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§5.1 — OI-23 Lot derived quantities as a view.</w:t>
            </w:r>
            <w:r>
              <w:t xml:space="preserve"> </w:t>
            </w:r>
            <w:r>
              <w:t xml:space="preserve">FDS-05-031 rewritten. Data Model v1.9e.</w:t>
            </w:r>
          </w:p>
        </w:tc>
      </w:tr>
      <w:tr>
        <w:tc>
          <w:tcPr/>
          <w:p>
            <w:pPr>
              <w:pStyle w:val="Compact"/>
            </w:pPr>
            <w:r>
              <w:t xml:space="preserve">0.11e</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§2.5, §4 — OI-08 Terminal mode by parent Location tier.</w:t>
            </w:r>
            <w:r>
              <w:t xml:space="preserve"> </w:t>
            </w:r>
            <w:r>
              <w:t xml:space="preserve">FDS-02-010, FDS-04-003 rewritten. (No data model change.)</w:t>
            </w:r>
          </w:p>
        </w:tc>
      </w:tr>
      <w:tr>
        <w:tc>
          <w:tcPr>
            <w:shd w:val="clear" w:color="auto" w:fill="F2F2F2"/>
          </w:tcPr>
          <w:tcPr/>
          <w:p>
            <w:pPr>
              <w:pStyle w:val="Compact"/>
            </w:pPr>
            <w:r>
              <w:t xml:space="preserve">0.11d</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§3.5 — OI-18 ItemLocation hierarchy cascade.</w:t>
            </w:r>
            <w:r>
              <w:t xml:space="preserve"> </w:t>
            </w:r>
            <w:r>
              <w:t xml:space="preserve">FDS-03-014 rewritten; FDS-03-015, FDS-03-018 extended. Data Model v1.9d.</w:t>
            </w:r>
          </w:p>
        </w:tc>
      </w:tr>
      <w:tr>
        <w:tc>
          <w:tcPr/>
          <w:p>
            <w:pPr>
              <w:pStyle w:val="Compact"/>
            </w:pPr>
            <w:r>
              <w:t xml:space="preserve">0.11c</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§3.6 — OI-12 MaxParts moved to Parts.Item.</w:t>
            </w:r>
            <w:r>
              <w:t xml:space="preserve"> </w:t>
            </w:r>
            <w:r>
              <w:t xml:space="preserve">FDS-03-019 rewritten. Data Model v1.9c.</w:t>
            </w:r>
          </w:p>
        </w:tc>
      </w:tr>
      <w:tr>
        <w:tc>
          <w:tcPr>
            <w:shd w:val="clear" w:color="auto" w:fill="F2F2F2"/>
          </w:tcPr>
          <w:tcPr/>
          <w:p>
            <w:pPr>
              <w:pStyle w:val="Compact"/>
            </w:pPr>
            <w:r>
              <w:t xml:space="preserve">0.11b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§6.10 — OI-07 WorkOrderType corrected to single Production seed.</w:t>
            </w:r>
            <w:r>
              <w:t xml:space="preserve"> </w:t>
            </w:r>
            <w:r>
              <w:t xml:space="preserve">FDS-06-022 renamed; FDS-06-027 deleted; FDS-06-025, FDS-06-028 updated. Data Model v1.9b.</w:t>
            </w:r>
          </w:p>
        </w:tc>
      </w:tr>
      <w:tr>
        <w:tc>
          <w:tcPr/>
          <w:p>
            <w:pPr>
              <w:pStyle w:val="Compact"/>
            </w:pPr>
            <w:r>
              <w:t xml:space="preserve">0.11</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§3.4, §5.1, §5.2, §5.3, §5.4, §5.5, §6.2, §6.10, §16 (NEW) — Arc 2 model revisions (Tool/Cavity on Lot, ProductionEvent checkpoint shape, IdentifierSequence, cavity-parallel LOTs as peers).</w:t>
            </w:r>
            <w:r>
              <w:t xml:space="preserve"> </w:t>
            </w:r>
            <w:r>
              <w:t xml:space="preserve">FDS-03-017a rewritten; FDS-05-003 revised; FDS-05-030, -034, -035, -036, -037 NEW; FDS-06-003 revised; FDS-06-030 NEW; FDS-16-001..003 NEW. Data Model v1.9.</w:t>
            </w:r>
          </w:p>
        </w:tc>
      </w:tr>
      <w:tr>
        <w:tc>
          <w:tcPr>
            <w:shd w:val="clear" w:color="auto" w:fill="F2F2F2"/>
          </w:tcPr>
          <w:tcPr/>
          <w:p>
            <w:pPr>
              <w:pStyle w:val="Compact"/>
            </w:pPr>
            <w:r>
              <w:t xml:space="preserve">0.10-rev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§5.10 — OI-11 Casting → Trim via 1-line BOM (no new schema).</w:t>
            </w:r>
            <w:r>
              <w:t xml:space="preserve"> </w:t>
            </w:r>
            <w:r>
              <w:t xml:space="preserve">FDS-05-033..035 consolidated into FDS-05-033. Data Model v1.8-rev.</w:t>
            </w:r>
          </w:p>
        </w:tc>
      </w:tr>
      <w:tr>
        <w:tc>
          <w:tcPr/>
          <w:p>
            <w:pPr>
              <w:pStyle w:val="Compact"/>
            </w:pPr>
            <w:r>
              <w:t xml:space="preserve">0.10</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§1.4, §3.1, §3.5, §3.6, §4.3, §5.1, §5.3, §5.10, §6.8, §6.10, §8.2, §12.5, §14 — Phase E of OI review refactor (OI-11..23).</w:t>
            </w:r>
            <w:r>
              <w:t xml:space="preserve"> </w:t>
            </w:r>
            <w:r>
              <w:t xml:space="preserve">FDS-01-013, FDS-03-018, FDS-03-019, FDS-03-020, FDS-05-031, FDS-05-032, FDS-05-033, FDS-06-023a, FDS-06-028, FDS-06-029, FDS-08-007a, FDS-12-009..011 NEW; FDS-03-001, FDS-04-007 extended. Data Model v1.8.</w:t>
            </w:r>
          </w:p>
        </w:tc>
      </w:tr>
      <w:tr>
        <w:tc>
          <w:tcPr>
            <w:shd w:val="clear" w:color="auto" w:fill="F2F2F2"/>
          </w:tcPr>
          <w:tcPr/>
          <w:p>
            <w:pPr>
              <w:pStyle w:val="Compact"/>
            </w:pPr>
            <w:r>
              <w:t xml:space="preserve">0.9</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§2.5, §5.4, §5.5, §6.10, §9.4, §10.3 — Phase D of OI review refactor (OI-04, -05, -07, -08 addenda, -09 addenda, -03).</w:t>
            </w:r>
            <w:r>
              <w:t xml:space="preserve"> </w:t>
            </w:r>
            <w:r>
              <w:t xml:space="preserve">FDS-02-010..014, FDS-05-022..024 NEW; FDS-05-025..027 (merge rules); FDS-06-025..027; FDS-09-012..014 NEW; FDS-10-005 rewritten; FDS-10-009..012 NEW. Data Model v1.7.</w:t>
            </w:r>
          </w:p>
        </w:tc>
      </w:tr>
      <w:tr>
        <w:tc>
          <w:tcPr/>
          <w:p>
            <w:pPr>
              <w:pStyle w:val="Compact"/>
            </w:pPr>
            <w:r>
              <w:t xml:space="preserve">0.8</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§1.6, §4 — OI-06 security rewrite (initials-based operator presence; AD elevation per-action; clock# + PIN removed).</w:t>
            </w:r>
            <w:r>
              <w:t xml:space="preserve"> </w:t>
            </w:r>
            <w:r>
              <w:t xml:space="preserve">FDS-01-010 updated; FDS-04-001..010 (entire section rewritten); FDS-04-009, FDS-04-010 NEW. Data Model v1.6.</w:t>
            </w:r>
          </w:p>
        </w:tc>
      </w:tr>
      <w:tr>
        <w:tc>
          <w:tcPr>
            <w:shd w:val="clear" w:color="auto" w:fill="F2F2F2"/>
          </w:tcPr>
          <w:tcPr/>
          <w:p>
            <w:pPr>
              <w:pStyle w:val="Compact"/>
            </w:pPr>
            <w:r>
              <w:t xml:space="preserve">0.7</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§3.4, §6.2 — Production data collection capture (template→event gap closed).</w:t>
            </w:r>
            <w:r>
              <w:t xml:space="preserve"> </w:t>
            </w:r>
            <w:r>
              <w:t xml:space="preserve">FDS-03-012 rewritten; FDS-03-017a NEW; FDS-06-001, FDS-06-003 rewritten. Data Model v1.4.</w:t>
            </w:r>
          </w:p>
        </w:tc>
      </w:tr>
      <w:tr>
        <w:tc>
          <w:tcPr/>
          <w:p>
            <w:pPr>
              <w:pStyle w:val="Compact"/>
            </w:pPr>
            <w:r>
              <w:t xml:space="preserve">0.6</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§11 — Phase 5/6 SQL completion + Ignition JDBC convention.</w:t>
            </w:r>
            <w:r>
              <w:t xml:space="preserve"> </w:t>
            </w:r>
            <w:r>
              <w:t xml:space="preserve">FDS-11-011 NEW (single-result-set / no-OUTPUT-params rule). Data Model v1.3.</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§11 — Audit fourth log stream (FailureLog).</w:t>
            </w:r>
            <w:r>
              <w:t xml:space="preserve"> </w:t>
            </w:r>
            <w:r>
              <w:t xml:space="preserve">FDS-11-004 NEW; FDS-11-005..010 renumbered.</w:t>
            </w:r>
          </w:p>
        </w:tc>
      </w:tr>
      <w:tr>
        <w:tc>
          <w:tcPr/>
          <w:p>
            <w:pPr>
              <w:pStyle w:val="Compact"/>
            </w:pPr>
            <w:r>
              <w:t xml:space="preserve">0.4</w:t>
            </w:r>
          </w:p>
        </w:tc>
        <w:tc>
          <w:tcPr/>
          <w:p>
            <w:pPr>
              <w:pStyle w:val="Compact"/>
            </w:pPr>
            <w:r>
              <w:t xml:space="preserve">2026-04-10</w:t>
            </w:r>
          </w:p>
        </w:tc>
        <w:tc>
          <w:tcPr/>
          <w:p>
            <w:pPr>
              <w:pStyle w:val="Compact"/>
            </w:pPr>
            <w:r>
              <w:t xml:space="preserve">Blue Ridge Automation</w:t>
            </w:r>
          </w:p>
        </w:tc>
        <w:tc>
          <w:tcPr/>
          <w:p>
            <w:pPr>
              <w:pStyle w:val="Compact"/>
            </w:pPr>
            <w:r>
              <w:rPr>
                <w:b/>
                <w:bCs/>
              </w:rPr>
              <w:t xml:space="preserve">§2.1–2.5, §5.3, §5.20, §6.19, §7.19 — Location model restructure (LocationType / LocationTypeDefinition / LocationAttributeDefinition).</w:t>
            </w:r>
            <w:r>
              <w:t xml:space="preserve"> </w:t>
            </w:r>
            <w:r>
              <w:t xml:space="preserve">FDS-05-008 NEW; FDS-05-004, FDS-05-020, FDS-06-019, FDS-07-019 updated. Word table styling added.</w:t>
            </w:r>
          </w:p>
        </w:tc>
      </w:tr>
      <w:tr>
        <w:tc>
          <w:tcPr>
            <w:shd w:val="clear" w:color="auto" w:fill="F2F2F2"/>
          </w:tcPr>
          <w:tcPr/>
          <w:p>
            <w:pPr>
              <w:pStyle w:val="Compact"/>
            </w:pPr>
            <w:r>
              <w:t xml:space="preserve">0.3</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§2.2, §2.3 — Naming convention to UpperCamelCase; Department merged into Area; Enterprise added to ISA-95 hierarchy.</w:t>
            </w:r>
            <w:r>
              <w:t xml:space="preserve"> </w:t>
            </w:r>
            <w:r>
              <w:t xml:space="preserve">FDS-02-001, FDS-02-003 updated.</w:t>
            </w:r>
          </w:p>
        </w:tc>
      </w:tr>
      <w:tr>
        <w:tc>
          <w:tcPr/>
          <w:p>
            <w:pPr>
              <w:pStyle w:val="Compact"/>
            </w:pPr>
            <w:r>
              <w:t xml:space="preserve">0.2</w:t>
            </w:r>
          </w:p>
        </w:tc>
        <w:tc>
          <w:tcPr/>
          <w:p>
            <w:pPr>
              <w:pStyle w:val="Compact"/>
            </w:pPr>
            <w:r>
              <w:t xml:space="preserve">2026-04-09</w:t>
            </w:r>
          </w:p>
        </w:tc>
        <w:tc>
          <w:tcPr/>
          <w:p>
            <w:pPr>
              <w:pStyle w:val="Compact"/>
            </w:pPr>
            <w:r>
              <w:t xml:space="preserve">Blue Ridge Automation</w:t>
            </w:r>
          </w:p>
        </w:tc>
        <w:tc>
          <w:tcPr/>
          <w:p>
            <w:pPr>
              <w:pStyle w:val="Compact"/>
            </w:pPr>
            <w:r>
              <w:rPr>
                <w:b/>
                <w:bCs/>
              </w:rPr>
              <w:t xml:space="preserve">§1.4, §1.6, §2.5, §3.6, §4.2, §5.4, §5.5, §6.3, §6.5, §6.6, §6.10, §10.3 — OI/UJ design decisions integrated (OI-01, OI-08, OI-09 resolved).</w:t>
            </w:r>
            <w:r>
              <w:t xml:space="preserve"> </w:t>
            </w:r>
            <w:r>
              <w:t xml:space="preserve">FRS references added throughout OI register.</w:t>
            </w:r>
          </w:p>
        </w:tc>
      </w:tr>
      <w:tr>
        <w:tc>
          <w:tcPr>
            <w:shd w:val="clear" w:color="auto" w:fill="F2F2F2"/>
          </w:tcPr>
          <w:tcPr/>
          <w:p>
            <w:pPr>
              <w:pStyle w:val="Compact"/>
            </w:pPr>
            <w:r>
              <w:t xml:space="preserve">0.1</w:t>
            </w:r>
          </w:p>
        </w:tc>
        <w:tc>
          <w:tcPr>
            <w:shd w:val="clear" w:color="auto" w:fill="F2F2F2"/>
          </w:tcPr>
          <w:tcPr/>
          <w:p>
            <w:pPr>
              <w:pStyle w:val="Compact"/>
            </w:pPr>
            <w:r>
              <w:t xml:space="preserve">2026-04-06</w:t>
            </w:r>
          </w:p>
        </w:tc>
        <w:tc>
          <w:tcPr>
            <w:shd w:val="clear" w:color="auto" w:fill="F2F2F2"/>
          </w:tcPr>
          <w:tcPr/>
          <w:p>
            <w:pPr>
              <w:pStyle w:val="Compact"/>
            </w:pPr>
            <w:r>
              <w:t xml:space="preserve">Blue Ridge Automation</w:t>
            </w:r>
          </w:p>
        </w:tc>
        <w:tc>
          <w:tcPr>
            <w:shd w:val="clear" w:color="auto" w:fill="F2F2F2"/>
          </w:tcPr>
          <w:tcPr/>
          <w:p>
            <w:pPr>
              <w:pStyle w:val="Compact"/>
            </w:pPr>
            <w:r>
              <w:t xml:space="preserve">Initial draft — front matter, architecture, plant model, master data.</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v1.7 (8 schemas, ~70 tables — adds Tools schema and</w:t>
            </w:r>
            <w:r>
              <w:t xml:space="preserve"> </w:t>
            </w:r>
            <w:r>
              <w:rPr>
                <w:rStyle w:val="VerbatimChar"/>
              </w:rPr>
              <w:t xml:space="preserve">Workorder.WorkOrderType</w:t>
            </w:r>
            <w:r>
              <w:t xml:space="preserve"> </w:t>
            </w:r>
            <w:r>
              <w:t xml:space="preserve">in Phase B rollup)</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8"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rPr>
          <w:b/>
          <w:bCs/>
        </w:rPr>
        <w:t xml:space="preserve">OI-13 resolution (pending MPP IT confirmation of export format):</w:t>
      </w:r>
      <w:r>
        <w:t xml:space="preserve"> </w:t>
      </w: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6"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End w:id="36"/>
    <w:bookmarkStart w:id="37"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7"/>
    <w:bookmarkEnd w:id="38"/>
    <w:bookmarkStart w:id="58" w:name="plant-model-location-hierarchy-mvp"/>
    <w:p>
      <w:pPr>
        <w:pStyle w:val="Heading2"/>
      </w:pPr>
      <w:r>
        <w:t xml:space="preserve">2. Plant Model &amp; Location Hierarchy —</w:t>
      </w:r>
      <w:r>
        <w:t xml:space="preserve"> </w:t>
      </w:r>
      <w:r>
        <w:rPr>
          <w:rStyle w:val="VerbatimChar"/>
        </w:rPr>
        <w:t xml:space="preserve">MVP</w:t>
      </w:r>
    </w:p>
    <w:bookmarkStart w:id="39"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2"/>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2"/>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2"/>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9"/>
    <w:bookmarkStart w:id="43" w:name="location-type-hierarchy"/>
    <w:p>
      <w:pPr>
        <w:pStyle w:val="Heading3"/>
      </w:pPr>
      <w:r>
        <w:t xml:space="preserve">2.2 Location Type Hierarchy</w:t>
      </w:r>
    </w:p>
    <w:bookmarkStart w:id="40"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0"/>
    <w:bookmarkStart w:id="41"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1"/>
    <w:bookmarkStart w:id="42"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2"/>
    <w:bookmarkEnd w:id="43"/>
    <w:bookmarkStart w:id="47" w:name="X992209ce0f4f05fcef114340f60f45bdbde0b2f"/>
    <w:p>
      <w:pPr>
        <w:pStyle w:val="Heading3"/>
      </w:pPr>
      <w:r>
        <w:t xml:space="preserve">2.3 Polymorphic Kinds and Configurable Attributes</w:t>
      </w:r>
    </w:p>
    <w:bookmarkStart w:id="44"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4"/>
    <w:bookmarkStart w:id="45"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5"/>
    <w:bookmarkStart w:id="46"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6"/>
    <w:bookmarkEnd w:id="47"/>
    <w:bookmarkStart w:id="49" w:name="seed-data-cells"/>
    <w:p>
      <w:pPr>
        <w:pStyle w:val="Heading3"/>
      </w:pPr>
      <w:r>
        <w:t xml:space="preserve">2.4 Seed Data — Cells</w:t>
      </w:r>
    </w:p>
    <w:bookmarkStart w:id="48"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8"/>
    <w:bookmarkEnd w:id="49"/>
    <w:bookmarkStart w:id="57" w:name="terminals"/>
    <w:p>
      <w:pPr>
        <w:pStyle w:val="Heading3"/>
      </w:pPr>
      <w:r>
        <w:t xml:space="preserve">2.5 Terminals</w:t>
      </w:r>
    </w:p>
    <w:p>
      <w:pPr>
        <w:pStyle w:val="BlockText"/>
      </w:pPr>
      <w:r>
        <w:t xml:space="preserve">✅</w:t>
      </w:r>
      <w:r>
        <w:t xml:space="preserve"> </w:t>
      </w:r>
      <w:r>
        <w:rPr>
          <w:b/>
          <w:bCs/>
        </w:rPr>
        <w:t xml:space="preserve">RESOLVED — OI-08 / UJ-12 with 2026-04-20 addenda:</w:t>
      </w:r>
      <w:r>
        <w:t xml:space="preserve"> </w:t>
      </w:r>
      <w:r>
        <w:t xml:space="preserve">Terminals are a mix of</w:t>
      </w:r>
      <w:r>
        <w:t xml:space="preserve"> </w:t>
      </w:r>
      <w:r>
        <w:rPr>
          <w:b/>
          <w:bCs/>
        </w:rPr>
        <w:t xml:space="preserve">dedicated</w:t>
      </w:r>
      <w:r>
        <w:t xml:space="preserve"> </w:t>
      </w:r>
      <w:r>
        <w:t xml:space="preserve">(≈80% — 1:1 with a Cell) and</w:t>
      </w:r>
      <w:r>
        <w:t xml:space="preserve"> </w:t>
      </w:r>
      <w:r>
        <w:rPr>
          <w:b/>
          <w:bCs/>
        </w:rPr>
        <w:t xml:space="preserve">shared</w:t>
      </w:r>
      <w:r>
        <w:t xml:space="preserve"> </w:t>
      </w:r>
      <w:r>
        <w:t xml:space="preserve">(≈20% — e.g., trim shop with multiple stations served by one terminal).</w:t>
      </w:r>
      <w:r>
        <w:t xml:space="preserve"> </w:t>
      </w:r>
      <w:r>
        <w:rPr>
          <w:rStyle w:val="VerbatimChar"/>
        </w:rPr>
        <w:t xml:space="preserve">Terminal</w:t>
      </w:r>
      <w:r>
        <w:t xml:space="preserve"> </w:t>
      </w:r>
      <w:r>
        <w:t xml:space="preserve">remains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The dedicated-vs-shared mode is captured as a</w:t>
      </w:r>
      <w:r>
        <w:t xml:space="preserve"> </w:t>
      </w:r>
      <w:r>
        <w:rPr>
          <w:rStyle w:val="VerbatimChar"/>
        </w:rPr>
        <w:t xml:space="preserve">LocationAttribute</w:t>
      </w:r>
      <w:r>
        <w:t xml:space="preserve"> </w:t>
      </w:r>
      <w:r>
        <w:t xml:space="preserve">on each Terminal (see FDS-02-010) and drives presence behaviour (§4). Operators cannot navigate a terminal off its mounted-machine context — a new machine context requires an explicit re-scan. Part ↔ machine validity is enforced via</w:t>
      </w:r>
      <w:r>
        <w:t xml:space="preserve"> </w:t>
      </w:r>
      <w:r>
        <w:rPr>
          <w:rStyle w:val="VerbatimChar"/>
        </w:rPr>
        <w:t xml:space="preserve">Parts.ItemLocation</w:t>
      </w:r>
      <w:r>
        <w:t xml:space="preserve"> </w:t>
      </w:r>
      <w:r>
        <w:t xml:space="preserve">(§3.5). Honda plans to place RFID tags on container labels in the future; the MES SHALL stay RFID-agnostic (FUTURE).</w:t>
      </w:r>
    </w:p>
    <w:bookmarkStart w:id="50"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w:t>
      </w:r>
      <w:r>
        <w:t xml:space="preserve"> </w:t>
      </w:r>
      <w:r>
        <w:rPr>
          <w:b/>
          <w:bCs/>
        </w:rPr>
        <w:t xml:space="preserve">terminal mode</w:t>
      </w:r>
      <w:r>
        <w:t xml:space="preserve"> </w:t>
      </w:r>
      <w:r>
        <w:t xml:space="preserve">per FDS-02-010)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50"/>
    <w:bookmarkStart w:id="51" w:name="Xb385028747101cd3b49bee1f04b105e22693489"/>
    <w:p>
      <w:pPr>
        <w:pStyle w:val="Heading4"/>
      </w:pPr>
      <w:r>
        <w:t xml:space="preserve">FDS-02-009 — Machine Context via Barcode Scan</w:t>
      </w:r>
    </w:p>
    <w:p>
      <w:pPr>
        <w:pStyle w:val="FirstParagraph"/>
      </w:pPr>
      <w:r>
        <w:t xml:space="preserve">The operator’s first action at any terminal in a new session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3"/>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3"/>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On</w:t>
      </w:r>
      <w:r>
        <w:t xml:space="preserve"> </w:t>
      </w:r>
      <w:r>
        <w:rPr>
          <w:b/>
          <w:bCs/>
        </w:rPr>
        <w:t xml:space="preserve">Dedicated</w:t>
      </w:r>
      <w:r>
        <w:t xml:space="preserve"> </w:t>
      </w:r>
      <w:r>
        <w:t xml:space="preserve">terminals (FDS-02-010) the machine context SHALL be the Terminal Location’s parent Location (itself a WorkCenter or Cell tier) — no per-session scan required. On</w:t>
      </w:r>
      <w:r>
        <w:t xml:space="preserve"> </w:t>
      </w:r>
      <w:r>
        <w:rPr>
          <w:b/>
          <w:bCs/>
        </w:rPr>
        <w:t xml:space="preserve">Shared</w:t>
      </w:r>
      <w:r>
        <w:t xml:space="preserve"> </w:t>
      </w:r>
      <w:r>
        <w:t xml:space="preserve">terminals the operator SHALL scan the machine barcode at the start of the session and SHALL re-scan to switch machines — direct in-UI navigation between machines SHALL NOT be offered (FDS-02-011).</w:t>
      </w:r>
    </w:p>
    <w:bookmarkEnd w:id="51"/>
    <w:bookmarkStart w:id="52" w:name="Xa6765ea13224df360c376c96fd23498ea8dcbb3"/>
    <w:p>
      <w:pPr>
        <w:pStyle w:val="Heading4"/>
      </w:pPr>
      <w:r>
        <w:t xml:space="preserve">FDS-02-010 — Terminal Mode Determined by Location Assignment —</w:t>
      </w:r>
      <w:r>
        <w:t xml:space="preserve"> </w:t>
      </w:r>
      <w:r>
        <w:rPr>
          <w:rStyle w:val="VerbatimChar"/>
        </w:rPr>
        <w:t xml:space="preserve">MVP</w:t>
      </w:r>
      <w:r>
        <w:t xml:space="preserve"> </w:t>
      </w:r>
      <w:r>
        <w:t xml:space="preserve">(revised v0.11e)</w:t>
      </w:r>
    </w:p>
    <w:p>
      <w:pPr>
        <w:pStyle w:val="FirstParagraph"/>
      </w:pPr>
      <w:r>
        <w:t xml:space="preserve">A Terminal’s mode (Dedicated or Shared) is</w:t>
      </w:r>
      <w:r>
        <w:t xml:space="preserve"> </w:t>
      </w:r>
      <w:r>
        <w:rPr>
          <w:b/>
          <w:bCs/>
        </w:rPr>
        <w:t xml:space="preserve">derived from the tier of its parent Location in the ISA-95 hierarchy</w:t>
      </w:r>
      <w:r>
        <w:t xml:space="preserve">. No separate</w:t>
      </w:r>
      <w:r>
        <w:t xml:space="preserve"> </w:t>
      </w:r>
      <w:r>
        <w:rPr>
          <w:rStyle w:val="VerbatimChar"/>
        </w:rPr>
        <w:t xml:space="preserve">TerminalMode</w:t>
      </w:r>
      <w:r>
        <w:t xml:space="preserve"> </w:t>
      </w:r>
      <w:r>
        <w:t xml:space="preserve">attribute is configured.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Terminal’s parent Location tier</w:t>
            </w:r>
          </w:p>
        </w:tc>
        <w:tc>
          <w:tcPr>
            <w:shd w:val="clear" w:color="auto" w:fill="1F4E79"/>
          </w:tcPr>
          <w:tcPr/>
          <w:p>
            <w:pPr>
              <w:pStyle w:val="Compact"/>
            </w:pPr>
            <w:r>
              <w:rPr>
                <w:b/>
                <w:color w:val="FFFFFF"/>
              </w:rPr>
              <w:t xml:space="preserve">Mode</w:t>
            </w:r>
          </w:p>
        </w:tc>
        <w:tc>
          <w:tcPr>
            <w:shd w:val="clear" w:color="auto" w:fill="1F4E79"/>
          </w:tcPr>
          <w:tcPr/>
          <w:p>
            <w:pPr>
              <w:pStyle w:val="Compact"/>
            </w:pPr>
            <w:r>
              <w:rPr>
                <w:b/>
                <w:color w:val="FFFFFF"/>
              </w:rPr>
              <w:t xml:space="preserve">Behavior</w:t>
            </w:r>
          </w:p>
        </w:tc>
      </w:tr>
      <w:tr>
        <w:tc>
          <w:tcPr/>
          <w:p>
            <w:pPr>
              <w:pStyle w:val="Compact"/>
            </w:pPr>
            <w:r>
              <w:rPr>
                <w:b/>
                <w:bCs/>
              </w:rPr>
              <w:t xml:space="preserve">WorkCenter</w:t>
            </w:r>
            <w:r>
              <w:t xml:space="preserve"> </w:t>
            </w:r>
            <w:r>
              <w:t xml:space="preserve">or</w:t>
            </w:r>
            <w:r>
              <w:t xml:space="preserve"> </w:t>
            </w:r>
            <w:r>
              <w:rPr>
                <w:b/>
                <w:bCs/>
              </w:rPr>
              <w:t xml:space="preserve">Cell</w:t>
            </w:r>
          </w:p>
        </w:tc>
        <w:tc>
          <w:tcPr/>
          <w:p>
            <w:pPr>
              <w:pStyle w:val="Compact"/>
            </w:pPr>
            <w:r>
              <w:rPr>
                <w:b/>
                <w:bCs/>
              </w:rPr>
              <w:t xml:space="preserve">Dedicated</w:t>
            </w:r>
          </w:p>
        </w:tc>
        <w:tc>
          <w:tcPr/>
          <w:p>
            <w:pPr>
              <w:pStyle w:val="Compact"/>
            </w:pPr>
            <w:r>
              <w:t xml:space="preserve">Terminal is bound to a specific cell / workcenter context. Machine context is the parent Location — never prompted, never scanned. Operator initials persist through the shift with 30-min idle re-confirmation (FDS-04-006). Example:</w:t>
            </w:r>
            <w:r>
              <w:t xml:space="preserve"> </w:t>
            </w:r>
            <w:r>
              <w:rPr>
                <w:rStyle w:val="VerbatimChar"/>
              </w:rPr>
              <w:t xml:space="preserve">DC-07-TERM</w:t>
            </w:r>
            <w:r>
              <w:t xml:space="preserve"> </w:t>
            </w:r>
            <w:r>
              <w:t xml:space="preserve">Terminal whose parent is</w:t>
            </w:r>
            <w:r>
              <w:t xml:space="preserve"> </w:t>
            </w:r>
            <w:r>
              <w:rPr>
                <w:rStyle w:val="VerbatimChar"/>
              </w:rPr>
              <w:t xml:space="preserve">DC-07</w:t>
            </w:r>
            <w:r>
              <w:t xml:space="preserve"> </w:t>
            </w:r>
            <w:r>
              <w:t xml:space="preserve">Die Cast Machine (Cell tier).</w:t>
            </w:r>
          </w:p>
        </w:tc>
      </w:tr>
      <w:tr>
        <w:tc>
          <w:tcPr>
            <w:shd w:val="clear" w:color="auto" w:fill="F2F2F2"/>
          </w:tcPr>
          <w:tcPr/>
          <w:p>
            <w:pPr>
              <w:pStyle w:val="Compact"/>
            </w:pPr>
            <w:r>
              <w:rPr>
                <w:b/>
                <w:bCs/>
              </w:rPr>
              <w:t xml:space="preserve">Area</w:t>
            </w:r>
          </w:p>
        </w:tc>
        <w:tc>
          <w:tcPr>
            <w:shd w:val="clear" w:color="auto" w:fill="F2F2F2"/>
          </w:tcPr>
          <w:tcPr/>
          <w:p>
            <w:pPr>
              <w:pStyle w:val="Compact"/>
            </w:pPr>
            <w:r>
              <w:rPr>
                <w:b/>
                <w:bCs/>
              </w:rPr>
              <w:t xml:space="preserve">Shared</w:t>
            </w:r>
          </w:p>
        </w:tc>
        <w:tc>
          <w:tcPr>
            <w:shd w:val="clear" w:color="auto" w:fill="F2F2F2"/>
          </w:tcPr>
          <w:tcPr/>
          <w:p>
            <w:pPr>
              <w:pStyle w:val="Compact"/>
            </w:pPr>
            <w:r>
              <w:t xml:space="preserve">Terminal serves multiple Cells under an Area. Machine context (the specific Cell within the Area) SHALL be prompted on first action and whenever the operator switches Cells via a barcode re-scan. Initials presence SHALL be re-prompted on first action after idle, and on machine-context change. Example:</w:t>
            </w:r>
            <w:r>
              <w:t xml:space="preserve"> </w:t>
            </w:r>
            <w:r>
              <w:rPr>
                <w:rStyle w:val="VerbatimChar"/>
              </w:rPr>
              <w:t xml:space="preserve">TRIM-TERM-A</w:t>
            </w:r>
            <w:r>
              <w:t xml:space="preserve"> </w:t>
            </w:r>
            <w:r>
              <w:t xml:space="preserve">Terminal whose parent is</w:t>
            </w:r>
            <w:r>
              <w:t xml:space="preserve"> </w:t>
            </w:r>
            <w:r>
              <w:rPr>
                <w:rStyle w:val="VerbatimChar"/>
              </w:rPr>
              <w:t xml:space="preserve">Trim Shop</w:t>
            </w:r>
            <w:r>
              <w:t xml:space="preserve"> </w:t>
            </w:r>
            <w:r>
              <w:t xml:space="preserve">Area, serving all Cells under it.</w:t>
            </w:r>
          </w:p>
        </w:tc>
      </w:tr>
    </w:tbl>
    <w:p>
      <w:pPr>
        <w:pStyle w:val="BodyText"/>
      </w:pPr>
      <w:r>
        <w:t xml:space="preserve">The Gateway</w:t>
      </w:r>
      <w:r>
        <w:t xml:space="preserve"> </w:t>
      </w:r>
      <w:r>
        <w:rPr>
          <w:rStyle w:val="VerbatimChar"/>
        </w:rPr>
        <w:t xml:space="preserve">Terminal_ResolveFromSession</w:t>
      </w:r>
      <w:r>
        <w:t xml:space="preserve"> </w:t>
      </w:r>
      <w:r>
        <w:t xml:space="preserve">proc SHALL read the Terminal Location’s parent tier via the Location hierarchy and return</w:t>
      </w:r>
      <w:r>
        <w:t xml:space="preserve"> </w:t>
      </w:r>
      <w:r>
        <w:rPr>
          <w:rStyle w:val="VerbatimChar"/>
        </w:rPr>
        <w:t xml:space="preserve">TerminalMode</w:t>
      </w:r>
      <w:r>
        <w:t xml:space="preserve"> </w:t>
      </w:r>
      <w:r>
        <w:t xml:space="preserve">as a derived result (not a stored attribute). Configuration Tool Location admin screens SHALL let Engineering attach a Terminal under any WorkCenter, Cell, or Area — the mode follows automatically.</w:t>
      </w:r>
    </w:p>
    <w:p>
      <w:pPr>
        <w:pStyle w:val="BodyText"/>
      </w:pPr>
      <w:r>
        <w:rPr>
          <w:b/>
          <w:bCs/>
        </w:rPr>
        <w:t xml:space="preserve">Rationale (Jacques’s 2026-04-24 framing):</w:t>
      </w:r>
      <w:r>
        <w:t xml:space="preserve"> </w:t>
      </w:r>
      <w:r>
        <w:t xml:space="preserve">The mode</w:t>
      </w:r>
      <w:r>
        <w:t xml:space="preserve"> </w:t>
      </w:r>
      <w:r>
        <w:rPr>
          <w:b/>
          <w:bCs/>
        </w:rPr>
        <w:t xml:space="preserve">is</w:t>
      </w:r>
      <w:r>
        <w:t xml:space="preserve"> </w:t>
      </w:r>
      <w:r>
        <w:t xml:space="preserve">the assignment. A Terminal parked under a specific Cell IS a dedicated terminal for that Cell; a Terminal parked under an Area IS a shared terminal for that Area. Encoding mode as a separate attribute is redundant with the tree structure and invites drift between the two.</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2"/>
    <w:bookmarkStart w:id="53" w:name="fds-02-011-terminal-machine-context-lock"/>
    <w:p>
      <w:pPr>
        <w:pStyle w:val="Heading4"/>
      </w:pPr>
      <w:r>
        <w:t xml:space="preserve">FDS-02-011 — Terminal Machine-Context Lock</w:t>
      </w:r>
    </w:p>
    <w:p>
      <w:pPr>
        <w:pStyle w:val="FirstParagraph"/>
      </w:pPr>
      <w:r>
        <w:t xml:space="preserve">The UI SHALL NOT offer a dropdown, search, or other navigation control that lets the operator change the active machine context without a physical barcode re-scan. A</w:t>
      </w:r>
      <w:r>
        <w:t xml:space="preserve"> </w:t>
      </w:r>
      <w:r>
        <w:t xml:space="preserve">“Force print”</w:t>
      </w:r>
      <w:r>
        <w:t xml:space="preserve"> </w:t>
      </w:r>
      <w:r>
        <w:t xml:space="preserve">or equivalent workflow that requires switching to a different machine SHALL trigger the machine-scan prompt and write the new</w:t>
      </w:r>
      <w:r>
        <w:t xml:space="preserve"> </w:t>
      </w:r>
      <w:r>
        <w:rPr>
          <w:rStyle w:val="VerbatimChar"/>
        </w:rPr>
        <w:t xml:space="preserve">LocationId</w:t>
      </w:r>
      <w:r>
        <w:t xml:space="preserve"> </w:t>
      </w:r>
      <w:r>
        <w:t xml:space="preserve">on any subsequent events. This prevents inadvertent cross-machine event attribution (the primary failure mode raised by MPP in the 2026-04-20 review).</w:t>
      </w:r>
    </w:p>
    <w:bookmarkEnd w:id="53"/>
    <w:bookmarkStart w:id="54" w:name="fds-02-012-part-machine-validity"/>
    <w:p>
      <w:pPr>
        <w:pStyle w:val="Heading4"/>
      </w:pPr>
      <w:r>
        <w:t xml:space="preserve">FDS-02-012 — Part ↔ Machine Validity</w:t>
      </w:r>
    </w:p>
    <w:p>
      <w:pPr>
        <w:pStyle w:val="FirstParagraph"/>
      </w:pPr>
      <w:r>
        <w:t xml:space="preserve">The set of parts eligible to run on a given machine SHALL be governed by the existing</w:t>
      </w:r>
      <w:r>
        <w:t xml:space="preserve"> </w:t>
      </w:r>
      <w:r>
        <w:rPr>
          <w:rStyle w:val="VerbatimChar"/>
        </w:rPr>
        <w:t xml:space="preserve">Parts.ItemLocation</w:t>
      </w:r>
      <w:r>
        <w:t xml:space="preserve"> </w:t>
      </w:r>
      <w:r>
        <w:t xml:space="preserve">eligibility junction (FDS-03-014). Scan-in workflows SHALL reject a LOT whose</w:t>
      </w:r>
      <w:r>
        <w:t xml:space="preserve"> </w:t>
      </w:r>
      <w:r>
        <w:rPr>
          <w:rStyle w:val="VerbatimChar"/>
        </w:rPr>
        <w:t xml:space="preserve">ItemId</w:t>
      </w:r>
      <w:r>
        <w:t xml:space="preserve"> </w:t>
      </w:r>
      <w:r>
        <w:t xml:space="preserve">is not eligible on the active machine’s</w:t>
      </w:r>
      <w:r>
        <w:t xml:space="preserve"> </w:t>
      </w:r>
      <w:r>
        <w:rPr>
          <w:rStyle w:val="VerbatimChar"/>
        </w:rPr>
        <w:t xml:space="preserve">LocationId</w:t>
      </w:r>
      <w:r>
        <w:t xml:space="preserve">, with a clear error message (</w:t>
      </w:r>
      <w:r>
        <w:t xml:space="preserve">“Part 59B is not configured to run on DC-07”</w:t>
      </w:r>
      <w:r>
        <w:t xml:space="preserve">). Eligibility is Engineering-owned in the Configuration Tool; no duplicate table is needed for terminals.</w:t>
      </w:r>
    </w:p>
    <w:bookmarkEnd w:id="54"/>
    <w:bookmarkStart w:id="55"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5"/>
    <w:bookmarkStart w:id="56"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6"/>
    <w:bookmarkEnd w:id="57"/>
    <w:bookmarkEnd w:id="58"/>
    <w:bookmarkStart w:id="87" w:name="master-data-management-mvp"/>
    <w:p>
      <w:pPr>
        <w:pStyle w:val="Heading2"/>
      </w:pPr>
      <w:r>
        <w:t xml:space="preserve">3. Master Data Management —</w:t>
      </w:r>
      <w:r>
        <w:t xml:space="preserve"> </w:t>
      </w:r>
      <w:r>
        <w:rPr>
          <w:rStyle w:val="VerbatimChar"/>
        </w:rPr>
        <w:t xml:space="preserve">MVP</w:t>
      </w:r>
    </w:p>
    <w:bookmarkStart w:id="62" w:name="item-master"/>
    <w:p>
      <w:pPr>
        <w:pStyle w:val="Heading3"/>
      </w:pPr>
      <w:r>
        <w:t xml:space="preserve">3.1 Item Master</w:t>
      </w:r>
    </w:p>
    <w:bookmarkStart w:id="59"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lockText"/>
      </w:pPr>
      <w:r>
        <w:rPr>
          <w:b/>
          <w:bCs/>
        </w:rPr>
        <w:t xml:space="preserve">OI-19 (new v0.10):</w:t>
      </w:r>
      <w:r>
        <w:t xml:space="preserve"> </w:t>
      </w: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59"/>
    <w:bookmarkStart w:id="60"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0"/>
    <w:bookmarkStart w:id="61"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1"/>
    <w:bookmarkEnd w:id="62"/>
    <w:bookmarkStart w:id="66" w:name="bills-of-material"/>
    <w:p>
      <w:pPr>
        <w:pStyle w:val="Heading3"/>
      </w:pPr>
      <w:r>
        <w:t xml:space="preserve">3.2 Bills of Material</w:t>
      </w:r>
    </w:p>
    <w:bookmarkStart w:id="63"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3"/>
    <w:bookmarkStart w:id="64"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64"/>
    <w:bookmarkStart w:id="65"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5"/>
    <w:bookmarkEnd w:id="66"/>
    <w:bookmarkStart w:id="72" w:name="route-templates"/>
    <w:p>
      <w:pPr>
        <w:pStyle w:val="Heading3"/>
      </w:pPr>
      <w:r>
        <w:t xml:space="preserve">3.3 Route Templates</w:t>
      </w:r>
    </w:p>
    <w:bookmarkStart w:id="67"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7"/>
    <w:bookmarkStart w:id="68"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8"/>
    <w:bookmarkStart w:id="69"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9"/>
    <w:bookmarkStart w:id="70"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70"/>
    <w:bookmarkStart w:id="71"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1"/>
    <w:bookmarkEnd w:id="72"/>
    <w:bookmarkStart w:id="76" w:name="operation-templates"/>
    <w:p>
      <w:pPr>
        <w:pStyle w:val="Heading3"/>
      </w:pPr>
      <w:r>
        <w:t xml:space="preserve">3.4 Operation Templates</w:t>
      </w:r>
    </w:p>
    <w:bookmarkStart w:id="73"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3"/>
    <w:bookmarkStart w:id="74"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4"/>
    <w:bookmarkStart w:id="75" w:name="X55cc738b398aec96ab14444e986060ff6a71839"/>
    <w:p>
      <w:pPr>
        <w:pStyle w:val="Heading4"/>
      </w:pPr>
      <w:r>
        <w:t xml:space="preserve">FDS-03-017a — Data Collection Capture at Event Time (Checkpoint Shape, v0.11)</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4"/>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4"/>
        </w:numPr>
      </w:pPr>
      <w:r>
        <w:t xml:space="preserve">On submit, the Arc 2 Phase 1</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5"/>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05"/>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5"/>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5"/>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4"/>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4"/>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5"/>
    <w:bookmarkEnd w:id="76"/>
    <w:bookmarkStart w:id="80" w:name="part-to-location-eligibility"/>
    <w:p>
      <w:pPr>
        <w:pStyle w:val="Heading3"/>
      </w:pPr>
      <w:r>
        <w:t xml:space="preserve">3.5 Part-to-Location Eligibility</w:t>
      </w:r>
    </w:p>
    <w:bookmarkStart w:id="77" w:name="Xf26c787600923fd1a0cd176617e2f692d22aa13"/>
    <w:p>
      <w:pPr>
        <w:pStyle w:val="Heading4"/>
      </w:pPr>
      <w:r>
        <w:t xml:space="preserve">FDS-03-014 — Eligibility Map with Hierarchy Cascade —</w:t>
      </w:r>
      <w:r>
        <w:t xml:space="preserve"> </w:t>
      </w:r>
      <w:r>
        <w:rPr>
          <w:rStyle w:val="VerbatimChar"/>
        </w:rPr>
        <w:t xml:space="preserve">MVP</w:t>
      </w:r>
      <w:r>
        <w:t xml:space="preserve"> </w:t>
      </w:r>
      <w:r>
        <w:t xml:space="preserve">(revised v0.11d)</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06"/>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06"/>
        </w:numPr>
      </w:pPr>
      <w:r>
        <w:t xml:space="preserve">If none, check at the Cell’s parent WorkCenter (if a WorkCenter tier exists between Cell and Area).</w:t>
      </w:r>
    </w:p>
    <w:p>
      <w:pPr>
        <w:pStyle w:val="Compact"/>
        <w:numPr>
          <w:ilvl w:val="0"/>
          <w:numId w:val="1006"/>
        </w:numPr>
      </w:pPr>
      <w:r>
        <w:t xml:space="preserve">If none, check at the parent Area.</w:t>
      </w:r>
    </w:p>
    <w:p>
      <w:pPr>
        <w:pStyle w:val="Compact"/>
        <w:numPr>
          <w:ilvl w:val="0"/>
          <w:numId w:val="1006"/>
        </w:numPr>
      </w:pPr>
      <w:r>
        <w:t xml:space="preserve">If none, check at the Site.</w:t>
      </w:r>
    </w:p>
    <w:p>
      <w:pPr>
        <w:pStyle w:val="Compact"/>
        <w:numPr>
          <w:ilvl w:val="0"/>
          <w:numId w:val="1006"/>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77"/>
    <w:bookmarkStart w:id="78" w:name="X16d97db7e910ec6650bd5007ef51186a399846b"/>
    <w:p>
      <w:pPr>
        <w:pStyle w:val="Heading4"/>
      </w:pPr>
      <w:r>
        <w:t xml:space="preserve">FDS-03-015 — Eligibility Management —</w:t>
      </w:r>
      <w:r>
        <w:t xml:space="preserve"> </w:t>
      </w:r>
      <w:r>
        <w:rPr>
          <w:rStyle w:val="VerbatimChar"/>
        </w:rPr>
        <w:t xml:space="preserve">MVP</w:t>
      </w:r>
      <w:r>
        <w:t xml:space="preserve"> </w:t>
      </w:r>
      <w:r>
        <w:t xml:space="preserve">(revised v0.11d)</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78"/>
    <w:bookmarkStart w:id="79" w:name="X325afeb2c2ad18f02bd059e69a0926c27acbd2b"/>
    <w:p>
      <w:pPr>
        <w:pStyle w:val="Heading4"/>
      </w:pPr>
      <w:r>
        <w:t xml:space="preserve">FDS-03-018 — Consumption Metadata on Item-Location Eligibility —</w:t>
      </w:r>
      <w:r>
        <w:t xml:space="preserve"> </w:t>
      </w:r>
      <w:r>
        <w:rPr>
          <w:rStyle w:val="VerbatimChar"/>
        </w:rPr>
        <w:t xml:space="preserve">MVP</w:t>
      </w:r>
      <w:r>
        <w:t xml:space="preserve"> </w:t>
      </w:r>
      <w:r>
        <w:t xml:space="preserve">(revised v0.11d)</w:t>
      </w:r>
    </w:p>
    <w:p>
      <w:pPr>
        <w:pStyle w:val="FirstParagraph"/>
      </w:pPr>
      <w:r>
        <w:rPr>
          <w:b/>
          <w:bCs/>
        </w:rPr>
        <w:t xml:space="preserve">OI-18 (extended 2026-04-24):</w:t>
      </w:r>
      <w:r>
        <w:t xml:space="preserve"> </w:t>
      </w: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79"/>
    <w:bookmarkEnd w:id="80"/>
    <w:bookmarkStart w:id="86" w:name="container-configuration"/>
    <w:p>
      <w:pPr>
        <w:pStyle w:val="Heading3"/>
      </w:pPr>
      <w:r>
        <w:t xml:space="preserve">3.6 Container Configuration</w:t>
      </w:r>
    </w:p>
    <w:bookmarkStart w:id="81"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1"/>
    <w:bookmarkStart w:id="82"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2"/>
    <w:bookmarkStart w:id="83"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b/>
          <w:bCs/>
        </w:rPr>
        <w:t xml:space="preserve">OI-12 (revised 2026-04-24):</w:t>
      </w:r>
      <w:r>
        <w:t xml:space="preserve"> </w:t>
      </w: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07"/>
        </w:numPr>
      </w:pPr>
      <w:r>
        <w:t xml:space="preserve">Sum existing pieces of this Item across all non-Closed LOTs currently at the destination Location.</w:t>
      </w:r>
    </w:p>
    <w:p>
      <w:pPr>
        <w:pStyle w:val="Compact"/>
        <w:numPr>
          <w:ilvl w:val="0"/>
          <w:numId w:val="1007"/>
        </w:numPr>
      </w:pPr>
      <w:r>
        <w:t xml:space="preserve">Add the incoming LOT’s piece count.</w:t>
      </w:r>
    </w:p>
    <w:p>
      <w:pPr>
        <w:pStyle w:val="Compact"/>
        <w:numPr>
          <w:ilvl w:val="0"/>
          <w:numId w:val="1007"/>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p>
      <w:pPr>
        <w:pStyle w:val="BlockText"/>
      </w:pPr>
      <w:r>
        <w:rPr>
          <w:b/>
          <w:bCs/>
        </w:rPr>
        <w:t xml:space="preserve">Historical note:</w:t>
      </w:r>
      <w:r>
        <w:t xml:space="preserve"> </w:t>
      </w:r>
      <w:r>
        <w:t xml:space="preserve">An earlier v0.10 draft placed</w:t>
      </w:r>
      <w:r>
        <w:t xml:space="preserve"> </w:t>
      </w:r>
      <w:r>
        <w:rPr>
          <w:rStyle w:val="VerbatimChar"/>
        </w:rPr>
        <w:t xml:space="preserve">MaxParts</w:t>
      </w:r>
      <w:r>
        <w:t xml:space="preserve"> </w:t>
      </w:r>
      <w:r>
        <w:t xml:space="preserve">on</w:t>
      </w:r>
      <w:r>
        <w:t xml:space="preserve"> </w:t>
      </w:r>
      <w:r>
        <w:rPr>
          <w:rStyle w:val="VerbatimChar"/>
        </w:rPr>
        <w:t xml:space="preserve">Parts.ContainerConfig</w:t>
      </w:r>
      <w:r>
        <w:t xml:space="preserve"> </w:t>
      </w:r>
      <w:r>
        <w:t xml:space="preserve">(per-container cap). Jacques’s 2026-04-24 OIR review clarified that</w:t>
      </w:r>
      <w:r>
        <w:t xml:space="preserve"> </w:t>
      </w:r>
      <w:r>
        <w:rPr>
          <w:rStyle w:val="VerbatimChar"/>
        </w:rPr>
        <w:t xml:space="preserve">MaxParts</w:t>
      </w:r>
      <w:r>
        <w:t xml:space="preserve"> </w:t>
      </w:r>
      <w:r>
        <w:t xml:space="preserve">is a Part attribute, evaluated at check-in — not a container-packing attribute. Corrected in v0.11c.</w:t>
      </w:r>
    </w:p>
    <w:bookmarkEnd w:id="83"/>
    <w:bookmarkStart w:id="84" w:name="fds-03-020-lineside-inventory-cap-mvp"/>
    <w:p>
      <w:pPr>
        <w:pStyle w:val="Heading4"/>
      </w:pPr>
      <w:r>
        <w:t xml:space="preserve">FDS-03-020 — Lineside Inventory Cap —</w:t>
      </w:r>
      <w:r>
        <w:t xml:space="preserve"> </w:t>
      </w:r>
      <w:r>
        <w:rPr>
          <w:rStyle w:val="VerbatimChar"/>
        </w:rPr>
        <w:t xml:space="preserve">MVP</w:t>
      </w:r>
    </w:p>
    <w:p>
      <w:pPr>
        <w:pStyle w:val="FirstParagraph"/>
      </w:pPr>
      <w:r>
        <w:rPr>
          <w:b/>
          <w:bCs/>
        </w:rPr>
        <w:t xml:space="preserve">OI-12 (new v0.10):</w:t>
      </w:r>
      <w:r>
        <w:t xml:space="preserve"> </w:t>
      </w: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the per-container cap stops bloat of one container; the lineside cap stops multiple containers from compounding past a physical staging limit.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4"/>
    <w:bookmarkStart w:id="85"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rPr>
          <w:b/>
          <w:bCs/>
        </w:rPr>
        <w:t xml:space="preserve">OI-17 (new v0.10):</w:t>
      </w:r>
      <w:r>
        <w:t xml:space="preserve"> </w:t>
      </w: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5"/>
    <w:bookmarkEnd w:id="86"/>
    <w:bookmarkEnd w:id="87"/>
    <w:bookmarkStart w:id="101" w:name="X753155c274ccde66c6391b38716e329f9677b2d"/>
    <w:p>
      <w:pPr>
        <w:pStyle w:val="Heading2"/>
      </w:pPr>
      <w:r>
        <w:t xml:space="preserve">4. User Identity, Authentication &amp; Elevation —</w:t>
      </w:r>
      <w:r>
        <w:t xml:space="preserve"> </w:t>
      </w:r>
      <w:r>
        <w:rPr>
          <w:rStyle w:val="VerbatimChar"/>
        </w:rPr>
        <w:t xml:space="preserve">MVP</w:t>
      </w:r>
    </w:p>
    <w:p>
      <w:pPr>
        <w:pStyle w:val="BlockText"/>
      </w:pPr>
      <w:r>
        <w:t xml:space="preserve">✅</w:t>
      </w:r>
      <w:r>
        <w:t xml:space="preserve"> </w:t>
      </w:r>
      <w:r>
        <w:rPr>
          <w:b/>
          <w:bCs/>
        </w:rPr>
        <w:t xml:space="preserve">RESOLVED — OI-06 / UJ-01 (2026-04-20):</w:t>
      </w:r>
      <w:r>
        <w:t xml:space="preserve"> </w:t>
      </w: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 The 5-minute-timeout proposal is dropped.</w:t>
      </w:r>
    </w:p>
    <w:bookmarkStart w:id="92" w:name="identity-model"/>
    <w:p>
      <w:pPr>
        <w:pStyle w:val="Heading3"/>
      </w:pPr>
      <w:r>
        <w:t xml:space="preserve">4.1 Identity Model</w:t>
      </w:r>
    </w:p>
    <w:bookmarkStart w:id="88"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8"/>
    <w:bookmarkStart w:id="89"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08"/>
        </w:numPr>
      </w:pPr>
      <w:r>
        <w:t xml:space="preserve">another operator enters different initials, or</w:t>
      </w:r>
    </w:p>
    <w:p>
      <w:pPr>
        <w:pStyle w:val="Compact"/>
        <w:numPr>
          <w:ilvl w:val="0"/>
          <w:numId w:val="1008"/>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89"/>
    <w:bookmarkStart w:id="90" w:name="X96d0a9ddf806a5726f154ef20f957030bb30b6c"/>
    <w:p>
      <w:pPr>
        <w:pStyle w:val="Heading4"/>
      </w:pPr>
      <w:r>
        <w:t xml:space="preserve">FDS-04-003 — Terminal Mode: Dedicated vs Shared —</w:t>
      </w:r>
      <w:r>
        <w:t xml:space="preserve"> </w:t>
      </w:r>
      <w:r>
        <w:rPr>
          <w:rStyle w:val="VerbatimChar"/>
        </w:rPr>
        <w:t xml:space="preserve">MVP</w:t>
      </w:r>
      <w:r>
        <w:t xml:space="preserve"> </w:t>
      </w:r>
      <w:r>
        <w:t xml:space="preserve">(revised v0.11e)</w:t>
      </w:r>
    </w:p>
    <w:p>
      <w:pPr>
        <w:pStyle w:val="FirstParagraph"/>
      </w:pPr>
      <w:r>
        <w:t xml:space="preserve">Terminal mode is</w:t>
      </w:r>
      <w:r>
        <w:t xml:space="preserve"> </w:t>
      </w:r>
      <w:r>
        <w:rPr>
          <w:b/>
          <w:bCs/>
        </w:rPr>
        <w:t xml:space="preserve">derived from the Terminal Location’s parent tier</w:t>
      </w:r>
      <w:r>
        <w:t xml:space="preserve"> </w:t>
      </w:r>
      <w:r>
        <w:t xml:space="preserve">in the ISA-95 hierarchy per FDS-02-010 — it is not configured as a separate attribute.</w:t>
      </w:r>
    </w:p>
    <w:p>
      <w:pPr>
        <w:pStyle w:val="Compact"/>
        <w:numPr>
          <w:ilvl w:val="0"/>
          <w:numId w:val="1009"/>
        </w:numPr>
      </w:pPr>
      <w:r>
        <w:rPr>
          <w:b/>
          <w:bCs/>
        </w:rPr>
        <w:t xml:space="preserve">Dedicated terminals</w:t>
      </w:r>
      <w:r>
        <w:t xml:space="preserve"> </w:t>
      </w:r>
      <w:r>
        <w:t xml:space="preserve">(Terminal’s parent Location is a WorkCenter or Cell; approx. 80% of the plant). The presence context persists across idle gaps, subject only to the 30-minute re-confirmation prompt. Initials do not clear unless explicitly changed.</w:t>
      </w:r>
    </w:p>
    <w:p>
      <w:pPr>
        <w:pStyle w:val="Compact"/>
        <w:numPr>
          <w:ilvl w:val="0"/>
          <w:numId w:val="1009"/>
        </w:numPr>
      </w:pPr>
      <w:r>
        <w:rPr>
          <w:b/>
          <w:bCs/>
        </w:rPr>
        <w:t xml:space="preserve">Shared terminals</w:t>
      </w:r>
      <w:r>
        <w:t xml:space="preserve"> </w:t>
      </w:r>
      <w:r>
        <w:t xml:space="preserve">(Terminal’s parent Location is an Area; trim shop and similar multi-station contexts). The presence context SHALL be requested on first action after any idle period longer than the presence-timeout and SHALL also be re-prompted when the operator scans a machine barcode that differs from the previous machine context (per FDS-02-008 machine-barcode-scan pattern).</w:t>
      </w:r>
    </w:p>
    <w:bookmarkEnd w:id="90"/>
    <w:bookmarkStart w:id="91"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1"/>
    <w:bookmarkEnd w:id="92"/>
    <w:bookmarkStart w:id="95" w:name="event-attribution-on-mutations"/>
    <w:p>
      <w:pPr>
        <w:pStyle w:val="Heading3"/>
      </w:pPr>
      <w:r>
        <w:t xml:space="preserve">4.2 Event Attribution on Mutations</w:t>
      </w:r>
    </w:p>
    <w:bookmarkStart w:id="93"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3"/>
    <w:bookmarkStart w:id="94"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0"/>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0"/>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4"/>
    <w:bookmarkEnd w:id="95"/>
    <w:bookmarkStart w:id="100" w:name="elevation-model"/>
    <w:p>
      <w:pPr>
        <w:pStyle w:val="Heading3"/>
      </w:pPr>
      <w:r>
        <w:t xml:space="preserve">4.3 Elevation Model</w:t>
      </w:r>
    </w:p>
    <w:bookmarkStart w:id="96"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Arc 2 screen design freezes):</w:t>
      </w:r>
    </w:p>
    <w:p>
      <w:pPr>
        <w:pStyle w:val="Compact"/>
        <w:numPr>
          <w:ilvl w:val="0"/>
          <w:numId w:val="1011"/>
        </w:numPr>
      </w:pPr>
      <w:r>
        <w:t xml:space="preserve">Place a LOT on hold</w:t>
      </w:r>
    </w:p>
    <w:p>
      <w:pPr>
        <w:pStyle w:val="Compact"/>
        <w:numPr>
          <w:ilvl w:val="0"/>
          <w:numId w:val="1011"/>
        </w:numPr>
      </w:pPr>
      <w:r>
        <w:t xml:space="preserve">Release a LOT from hold</w:t>
      </w:r>
    </w:p>
    <w:p>
      <w:pPr>
        <w:pStyle w:val="Compact"/>
        <w:numPr>
          <w:ilvl w:val="0"/>
          <w:numId w:val="1011"/>
        </w:numPr>
      </w:pPr>
      <w:r>
        <w:t xml:space="preserve">Override a vision or interlock failure</w:t>
      </w:r>
    </w:p>
    <w:p>
      <w:pPr>
        <w:pStyle w:val="Compact"/>
        <w:numPr>
          <w:ilvl w:val="0"/>
          <w:numId w:val="1011"/>
        </w:numPr>
      </w:pPr>
      <w:r>
        <w:t xml:space="preserve">Scrap a LOT or container</w:t>
      </w:r>
    </w:p>
    <w:p>
      <w:pPr>
        <w:pStyle w:val="Compact"/>
        <w:numPr>
          <w:ilvl w:val="0"/>
          <w:numId w:val="1011"/>
        </w:numPr>
      </w:pPr>
      <w:r>
        <w:t xml:space="preserve">Void or reprint a shipping label</w:t>
      </w:r>
    </w:p>
    <w:p>
      <w:pPr>
        <w:pStyle w:val="Compact"/>
        <w:numPr>
          <w:ilvl w:val="0"/>
          <w:numId w:val="1011"/>
        </w:numPr>
      </w:pPr>
      <w:r>
        <w:t xml:space="preserve">Merge or split LOTs outside of the normal sort workflow</w:t>
      </w:r>
    </w:p>
    <w:p>
      <w:pPr>
        <w:pStyle w:val="Compact"/>
        <w:numPr>
          <w:ilvl w:val="0"/>
          <w:numId w:val="1011"/>
        </w:numPr>
      </w:pPr>
      <w:r>
        <w:t xml:space="preserve">Issue or close a maintenance work order against a tool</w:t>
      </w:r>
    </w:p>
    <w:p>
      <w:pPr>
        <w:pStyle w:val="Compact"/>
        <w:numPr>
          <w:ilvl w:val="0"/>
          <w:numId w:val="1011"/>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1"/>
        </w:numPr>
      </w:pPr>
      <w:r>
        <w:t xml:space="preserve">Adjust inventory via the admin remove-item action (OI-14)</w:t>
      </w:r>
    </w:p>
    <w:bookmarkEnd w:id="96"/>
    <w:bookmarkStart w:id="97"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7"/>
    <w:bookmarkStart w:id="98" w:name="fds-04-009-screen-level-security"/>
    <w:p>
      <w:pPr>
        <w:pStyle w:val="Heading4"/>
      </w:pPr>
      <w:r>
        <w:t xml:space="preserve">FDS-04-009 — Screen-Level Security</w:t>
      </w:r>
    </w:p>
    <w:p>
      <w:pPr>
        <w:pStyle w:val="Compact"/>
        <w:numPr>
          <w:ilvl w:val="0"/>
          <w:numId w:val="1012"/>
        </w:numPr>
      </w:pPr>
      <w:r>
        <w:t xml:space="preserve">Shop-floor terminal screens SHALL be accessible without interactive authentication; operator presence is sufficient.</w:t>
      </w:r>
    </w:p>
    <w:p>
      <w:pPr>
        <w:pStyle w:val="Compact"/>
        <w:numPr>
          <w:ilvl w:val="0"/>
          <w:numId w:val="1012"/>
        </w:numPr>
      </w:pPr>
      <w:r>
        <w:t xml:space="preserve">Shop-floor screens SHALL NOT expose Configuration Tool or master-data functions.</w:t>
      </w:r>
    </w:p>
    <w:p>
      <w:pPr>
        <w:pStyle w:val="Compact"/>
        <w:numPr>
          <w:ilvl w:val="0"/>
          <w:numId w:val="1012"/>
        </w:numPr>
      </w:pPr>
      <w:r>
        <w:t xml:space="preserve">Configuration Tool, Supervisor dashboards, and Engineering screens SHALL require AD-backed authentication on page entry.</w:t>
      </w:r>
    </w:p>
    <w:p>
      <w:pPr>
        <w:pStyle w:val="Compact"/>
        <w:numPr>
          <w:ilvl w:val="0"/>
          <w:numId w:val="1012"/>
        </w:numPr>
      </w:pPr>
      <w:r>
        <w:t xml:space="preserve">Elevated action controls (buttons, menu items) SHALL be visible on shop-floor screens but SHALL trigger the FDS-04-007 prompt on activation. Unauthorised users cancel out.</w:t>
      </w:r>
    </w:p>
    <w:bookmarkEnd w:id="98"/>
    <w:bookmarkStart w:id="99"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99"/>
    <w:bookmarkEnd w:id="100"/>
    <w:bookmarkEnd w:id="101"/>
    <w:bookmarkStart w:id="150" w:name="lot-lifecycle-genealogy-mvp"/>
    <w:p>
      <w:pPr>
        <w:pStyle w:val="Heading2"/>
      </w:pPr>
      <w:r>
        <w:t xml:space="preserve">5. LOT Lifecycle &amp; Genealogy —</w:t>
      </w:r>
      <w:r>
        <w:t xml:space="preserve"> </w:t>
      </w:r>
      <w:r>
        <w:rPr>
          <w:rStyle w:val="VerbatimChar"/>
        </w:rPr>
        <w:t xml:space="preserve">MVP</w:t>
      </w:r>
    </w:p>
    <w:bookmarkStart w:id="108" w:name="lot-identity"/>
    <w:p>
      <w:pPr>
        <w:pStyle w:val="Heading3"/>
      </w:pPr>
      <w:r>
        <w:t xml:space="preserve">5.1 LOT Identity</w:t>
      </w:r>
    </w:p>
    <w:bookmarkStart w:id="102"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2"/>
    <w:bookmarkStart w:id="103"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3"/>
    <w:bookmarkStart w:id="104"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Legacy (v0.10)</w:t>
            </w:r>
          </w:p>
        </w:tc>
        <w:tc>
          <w:tcPr>
            <w:shd w:val="clear" w:color="auto" w:fill="F2F2F2"/>
          </w:tcPr>
          <w:tcPr/>
          <w:p>
            <w:pPr>
              <w:pStyle w:val="Compact"/>
            </w:pPr>
            <w:r>
              <w:t xml:space="preserve">Retained for cutover; superseded by</w:t>
            </w:r>
            <w:r>
              <w:t xml:space="preserve"> </w:t>
            </w:r>
            <w:r>
              <w:rPr>
                <w:rStyle w:val="VerbatimChar"/>
              </w:rPr>
              <w:t xml:space="preserve">ToolId</w:t>
            </w:r>
            <w:r>
              <w:t xml:space="preserve">. Slated for removal.</w:t>
            </w:r>
          </w:p>
        </w:tc>
      </w:tr>
      <w:tr>
        <w:tc>
          <w:tcPr/>
          <w:p>
            <w:pPr>
              <w:pStyle w:val="Compact"/>
            </w:pPr>
            <w:r>
              <w:t xml:space="preserve">CavityNumber</w:t>
            </w:r>
          </w:p>
        </w:tc>
        <w:tc>
          <w:tcPr/>
          <w:p>
            <w:pPr>
              <w:pStyle w:val="Compact"/>
            </w:pPr>
            <w:r>
              <w:t xml:space="preserve">Legacy (v0.10)</w:t>
            </w:r>
          </w:p>
        </w:tc>
        <w:tc>
          <w:tcPr/>
          <w:p>
            <w:pPr>
              <w:pStyle w:val="Compact"/>
            </w:pPr>
            <w:r>
              <w:t xml:space="preserve">Retained for cutover; superseded by</w:t>
            </w:r>
            <w:r>
              <w:t xml:space="preserve"> </w:t>
            </w:r>
            <w:r>
              <w:rPr>
                <w:rStyle w:val="VerbatimChar"/>
              </w:rPr>
              <w:t xml:space="preserve">ToolCavityId</w:t>
            </w:r>
            <w:r>
              <w:t xml:space="preserve">. Slated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4"/>
    <w:bookmarkStart w:id="105" w:name="X3e7af85d929729fde1577b6143a8874f5c8a9ce"/>
    <w:p>
      <w:pPr>
        <w:pStyle w:val="Heading4"/>
      </w:pPr>
      <w:r>
        <w:t xml:space="preserve">FDS-05-034 — Die-Cast-Origin Tool + Cavity Required on Lot Create —</w:t>
      </w:r>
      <w:r>
        <w:t xml:space="preserve"> </w:t>
      </w:r>
      <w:r>
        <w:rPr>
          <w:rStyle w:val="VerbatimChar"/>
        </w:rPr>
        <w:t xml:space="preserve">MVP</w:t>
      </w:r>
      <w:r>
        <w:t xml:space="preserve"> </w:t>
      </w:r>
      <w:r>
        <w:t xml:space="preserve">(v0.11)</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3"/>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3"/>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3"/>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 (OI-09 closed)</w:t>
      </w:r>
    </w:p>
    <w:bookmarkEnd w:id="105"/>
    <w:bookmarkStart w:id="106" w:name="X207cdf3d593f53e838a23a648d5ad0fef2ceb81"/>
    <w:p>
      <w:pPr>
        <w:pStyle w:val="Heading4"/>
      </w:pPr>
      <w:r>
        <w:t xml:space="preserve">FDS-05-035 — Tools System of Record — On Lot, Not On ProductionEvent —</w:t>
      </w:r>
      <w:r>
        <w:t xml:space="preserve"> </w:t>
      </w:r>
      <w:r>
        <w:rPr>
          <w:rStyle w:val="VerbatimChar"/>
        </w:rPr>
        <w:t xml:space="preserve">MVP</w:t>
      </w:r>
      <w:r>
        <w:t xml:space="preserve"> </w:t>
      </w:r>
      <w:r>
        <w:t xml:space="preserve">(v0.11)</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p>
      <w:pPr>
        <w:pStyle w:val="FirstParagraph"/>
      </w:pPr>
      <w:r>
        <w:t xml:space="preserve">(OI-09 closed)</w:t>
      </w:r>
    </w:p>
    <w:bookmarkEnd w:id="106"/>
    <w:bookmarkStart w:id="107" w:name="Xe99039f4cd1e6342dc2c780fee51f659d6668eb"/>
    <w:p>
      <w:pPr>
        <w:pStyle w:val="Heading4"/>
      </w:pPr>
      <w:r>
        <w:t xml:space="preserve">FDS-05-031 — LOT Computed Quantities (TotalInProcess, InventoryAvailable) —</w:t>
      </w:r>
      <w:r>
        <w:t xml:space="preserve"> </w:t>
      </w:r>
      <w:r>
        <w:rPr>
          <w:rStyle w:val="VerbatimChar"/>
        </w:rPr>
        <w:t xml:space="preserve">MVP</w:t>
      </w:r>
      <w:r>
        <w:t xml:space="preserve"> </w:t>
      </w:r>
      <w:r>
        <w:t xml:space="preserve">(revised v0.11f)</w:t>
      </w:r>
    </w:p>
    <w:p>
      <w:pPr>
        <w:pStyle w:val="FirstParagraph"/>
      </w:pPr>
      <w:r>
        <w:rPr>
          <w:b/>
          <w:bCs/>
        </w:rPr>
        <w:t xml:space="preserve">OI-23 (revised 2026-04-24):</w:t>
      </w:r>
      <w:r>
        <w:t xml:space="preserve"> </w:t>
      </w:r>
      <w:r>
        <w:t xml:space="preserve">The Lot Details screen SHALL surface two derived quantities in the header:</w:t>
      </w:r>
    </w:p>
    <w:p>
      <w:pPr>
        <w:pStyle w:val="Compact"/>
        <w:numPr>
          <w:ilvl w:val="0"/>
          <w:numId w:val="1014"/>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4"/>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07"/>
    <w:bookmarkEnd w:id="108"/>
    <w:bookmarkStart w:id="112" w:name="lot-creation-workflows"/>
    <w:p>
      <w:pPr>
        <w:pStyle w:val="Heading3"/>
      </w:pPr>
      <w:r>
        <w:t xml:space="preserve">5.2 LOT Creation Workflows</w:t>
      </w:r>
    </w:p>
    <w:bookmarkStart w:id="109" w:name="X406c856a12782ac07330d8f2be859b950d90663"/>
    <w:p>
      <w:pPr>
        <w:pStyle w:val="Heading4"/>
      </w:pPr>
      <w:r>
        <w:t xml:space="preserve">FDS-05-004 — Manufactured LOT Creation (Die Cast) — revised v0.11</w:t>
      </w:r>
    </w:p>
    <w:p>
      <w:pPr>
        <w:pStyle w:val="FirstParagraph"/>
      </w:pPr>
      <w:r>
        <w:t xml:space="preserve">At Die Cast, the operator SHALL:</w:t>
      </w:r>
      <w:r>
        <w:t xml:space="preserve"> </w:t>
      </w:r>
      <w:r>
        <w:t xml:space="preserve">1. Fill a basket with parts from the active cavity of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r>
        <w:t xml:space="preserve"> </w:t>
      </w:r>
      <w:r>
        <w:t xml:space="preserve">5. 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Part number is implied by the current order / schedule; piece count is operator-entered.</w:t>
      </w:r>
      <w:r>
        <w:t xml:space="preserve"> </w:t>
      </w:r>
      <w:r>
        <w:t xml:space="preserve">6. 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r>
        <w:t xml:space="preserve"> </w:t>
      </w:r>
      <w:r>
        <w:t xml:space="preserve">7. 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r>
        <w:t xml:space="preserve"> </w:t>
      </w:r>
      <w:r>
        <w:t xml:space="preserve">8. 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r>
        <w:t xml:space="preserve"> </w:t>
      </w:r>
      <w:r>
        <w:t xml:space="preserve">9.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10. The MES SHALL log the creation to</w:t>
      </w:r>
      <w:r>
        <w:t xml:space="preserve"> </w:t>
      </w:r>
      <w:r>
        <w:rPr>
          <w:rStyle w:val="VerbatimChar"/>
        </w:rPr>
        <w:t xml:space="preserve">Audit.OperationLog</w:t>
      </w:r>
      <w:r>
        <w:t xml:space="preserve">.</w:t>
      </w:r>
    </w:p>
    <w:p>
      <w:pPr>
        <w:pStyle w:val="BodyText"/>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109"/>
    <w:bookmarkStart w:id="110"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110"/>
    <w:bookmarkStart w:id="111"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1"/>
    <w:bookmarkEnd w:id="112"/>
    <w:bookmarkStart w:id="119" w:name="lot-movement"/>
    <w:p>
      <w:pPr>
        <w:pStyle w:val="Heading3"/>
      </w:pPr>
      <w:r>
        <w:t xml:space="preserve">5.3 LOT Movement</w:t>
      </w:r>
    </w:p>
    <w:bookmarkStart w:id="113"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3"/>
    <w:bookmarkStart w:id="114"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15"/>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15"/>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15"/>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15"/>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15"/>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4"/>
    <w:bookmarkStart w:id="115" w:name="X46d985a10195a35d82cfefbf829e0ff2e82300d"/>
    <w:p>
      <w:pPr>
        <w:pStyle w:val="Heading4"/>
      </w:pPr>
      <w:r>
        <w:t xml:space="preserve">FDS-05-036 — Lazy, Operator-Driven LOT Creation —</w:t>
      </w:r>
      <w:r>
        <w:t xml:space="preserve"> </w:t>
      </w:r>
      <w:r>
        <w:rPr>
          <w:rStyle w:val="VerbatimChar"/>
        </w:rPr>
        <w:t xml:space="preserve">MVP</w:t>
      </w:r>
      <w:r>
        <w:t xml:space="preserve"> </w:t>
      </w:r>
      <w:r>
        <w:t xml:space="preserve">(v0.11)</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Arc 2 Phase 3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5"/>
    <w:bookmarkStart w:id="116" w:name="fds-05-037-lot-close-semantics-mvp-v0.11"/>
    <w:p>
      <w:pPr>
        <w:pStyle w:val="Heading4"/>
      </w:pPr>
      <w:r>
        <w:t xml:space="preserve">FDS-05-037 — LOT Close Semantics —</w:t>
      </w:r>
      <w:r>
        <w:t xml:space="preserve"> </w:t>
      </w:r>
      <w:r>
        <w:rPr>
          <w:rStyle w:val="VerbatimChar"/>
        </w:rPr>
        <w:t xml:space="preserve">MVP</w:t>
      </w:r>
      <w:r>
        <w:t xml:space="preserve"> </w:t>
      </w:r>
      <w:r>
        <w:t xml:space="preserve">(v0.11)</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6"/>
    <w:bookmarkStart w:id="117"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rPr>
          <w:b/>
          <w:bCs/>
        </w:rPr>
        <w:t xml:space="preserve">OI-21 (new v0.10):</w:t>
      </w:r>
      <w:r>
        <w:t xml:space="preserve"> </w:t>
      </w: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Arc 2 screen design freezes.</w:t>
      </w:r>
    </w:p>
    <w:bookmarkEnd w:id="117"/>
    <w:bookmarkStart w:id="118" w:name="Xa6b20c4fee3ee7ad89444c4d96ccdc0913b856c"/>
    <w:p>
      <w:pPr>
        <w:pStyle w:val="Heading4"/>
      </w:pPr>
      <w:r>
        <w:t xml:space="preserve">FDS-05-038 — Pausable LOT at Workstation —</w:t>
      </w:r>
      <w:r>
        <w:t xml:space="preserve"> </w:t>
      </w:r>
      <w:r>
        <w:rPr>
          <w:rStyle w:val="VerbatimChar"/>
        </w:rPr>
        <w:t xml:space="preserve">MVP</w:t>
      </w:r>
      <w:r>
        <w:t xml:space="preserve"> </w:t>
      </w:r>
      <w:r>
        <w:t xml:space="preserve">(v0.11h, OI-21)</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Arc 2 Phase 1 SHALL deliver:</w:t>
      </w:r>
      <w:r>
        <w:t xml:space="preserve"> </w:t>
      </w:r>
      <w:r>
        <w:t xml:space="preserve">-</w:t>
      </w:r>
      <w:r>
        <w:t xml:space="preserve"> </w:t>
      </w: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r>
        <w:t xml:space="preserve"> </w:t>
      </w:r>
      <w:r>
        <w:t xml:space="preserve">-</w:t>
      </w:r>
      <w:r>
        <w:t xml:space="preserve"> </w:t>
      </w:r>
      <w:r>
        <w:rPr>
          <w:rStyle w:val="VerbatimChar"/>
        </w:rPr>
        <w:t xml:space="preserve">Lots.LotPause_Resume(@LotId, @LocationId, @ResumedByUserId, @ResumedRemarks NVARCHAR(500) = NULL)</w:t>
      </w:r>
      <w:r>
        <w:t xml:space="preserve"> </w:t>
      </w:r>
      <w:r>
        <w:t xml:space="preserve">— closes the open pause; rejects if no open pause exists.</w:t>
      </w:r>
      <w:r>
        <w:t xml:space="preserve"> </w:t>
      </w:r>
      <w:r>
        <w:t xml:space="preserve">-</w:t>
      </w:r>
      <w:r>
        <w:t xml:space="preserve"> </w:t>
      </w: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r>
        <w:t xml:space="preserve"> </w:t>
      </w:r>
      <w:r>
        <w:t xml:space="preserve">-</w:t>
      </w:r>
      <w:r>
        <w:t xml:space="preserve"> </w:t>
      </w: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BodyText"/>
      </w:pPr>
      <w:r>
        <w:t xml:space="preserve">All four procs follow the FDS-11-011 single-result-set convention. Mutations write to</w:t>
      </w:r>
      <w:r>
        <w:t xml:space="preserve"> </w:t>
      </w:r>
      <w:r>
        <w:rPr>
          <w:rStyle w:val="VerbatimChar"/>
        </w:rPr>
        <w:t xml:space="preserve">Audit.OperationLog</w:t>
      </w:r>
      <w:r>
        <w:t xml:space="preserve">; the new</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in the Arc 2 Phase 1 migration.</w:t>
      </w:r>
    </w:p>
    <w:p>
      <w:pPr>
        <w:pStyle w:val="BodyText"/>
      </w:pPr>
      <w:r>
        <w:rPr>
          <w:b/>
          <w:bCs/>
        </w:rPr>
        <w:t xml:space="preserve">Implementation deferred.</w:t>
      </w:r>
      <w:r>
        <w:t xml:space="preserve"> </w:t>
      </w:r>
      <w:r>
        <w:t xml:space="preserve">Like the rest of the Lots schema,</w:t>
      </w:r>
      <w:r>
        <w:t xml:space="preserve"> </w:t>
      </w:r>
      <w:r>
        <w:rPr>
          <w:rStyle w:val="VerbatimChar"/>
        </w:rPr>
        <w:t xml:space="preserve">Lots.PauseEvent</w:t>
      </w:r>
      <w:r>
        <w:t xml:space="preserve"> </w:t>
      </w:r>
      <w:r>
        <w:t xml:space="preserve">and its procs CREATE in Arc 2 Phase 1 — they do not exist in the Phase 1–8 codebase. Data model contract: §3 PauseEvent.</w:t>
      </w:r>
    </w:p>
    <w:bookmarkEnd w:id="118"/>
    <w:bookmarkEnd w:id="119"/>
    <w:bookmarkStart w:id="126" w:name="sub-lot-splitting"/>
    <w:p>
      <w:pPr>
        <w:pStyle w:val="Heading3"/>
      </w:pPr>
      <w:r>
        <w:t xml:space="preserve">5.4 Sub-LOT Splitting</w:t>
      </w:r>
    </w:p>
    <w:p>
      <w:pPr>
        <w:pStyle w:val="BlockText"/>
      </w:pPr>
      <w:r>
        <w:t xml:space="preserve">✅</w:t>
      </w:r>
      <w:r>
        <w:t xml:space="preserve"> </w:t>
      </w:r>
      <w:r>
        <w:rPr>
          <w:b/>
          <w:bCs/>
        </w:rPr>
        <w:t xml:space="preserve">REVISED — OI-09 closed (2026-04-23):</w:t>
      </w:r>
      <w:r>
        <w:t xml:space="preserve"> </w:t>
      </w:r>
      <w:r>
        <w:t xml:space="preserve">The 2026-04-20 addenda conflated two distinct workflows. Restated in v0.11:</w:t>
      </w:r>
      <w:r>
        <w:t xml:space="preserve"> </w:t>
      </w:r>
      <w:r>
        <w:t xml:space="preserve">-</w:t>
      </w:r>
      <w:r>
        <w:t xml:space="preserve"> </w:t>
      </w: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closes independently. No parent/child FK between cavity peers. One LTT barcode per LOT. Genealogy is flat at Die Cast. See §5.2 FDS-05-004 for creation flow.</w:t>
      </w:r>
      <w:r>
        <w:t xml:space="preserve"> </w:t>
      </w:r>
      <w:r>
        <w:t xml:space="preserve">-</w:t>
      </w:r>
      <w:r>
        <w:t xml:space="preserve"> </w:t>
      </w:r>
      <w:r>
        <w:rPr>
          <w:b/>
          <w:bCs/>
        </w:rPr>
        <w:t xml:space="preserve">Machining sub-LOT split IS a sublot pattern.</w:t>
      </w:r>
      <w:r>
        <w:t xml:space="preserve"> </w:t>
      </w:r>
      <w:r>
        <w:t xml:space="preserve">The workflow below (FDS-05-022, -024, -009..011) remains authoritative for Machining OUT. Parent FK + split genealogy + sublot labels.</w:t>
      </w:r>
      <w:r>
        <w:t xml:space="preserve"> </w:t>
      </w:r>
      <w:r>
        <w:t xml:space="preserve">-</w:t>
      </w:r>
      <w:r>
        <w:t xml:space="preserve"> </w:t>
      </w:r>
      <w:r>
        <w:rPr>
          <w:b/>
          <w:bCs/>
        </w:rPr>
        <w:t xml:space="preserve">Basket-level sublots</w:t>
      </w:r>
      <w:r>
        <w:t xml:space="preserve"> </w:t>
      </w:r>
      <w:r>
        <w:t xml:space="preserve">from the 2026-04-20 addenda are absorbed by the Die Cast cavity-parallel-LOT model (one basket = one LOT = one label) or by the Machining sub-LOT split below.</w:t>
      </w:r>
    </w:p>
    <w:bookmarkStart w:id="120"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20"/>
    <w:bookmarkStart w:id="121" w:name="fds-05-023-superseded-v0.11"/>
    <w:p>
      <w:pPr>
        <w:pStyle w:val="Heading4"/>
      </w:pPr>
      <w:r>
        <w:t xml:space="preserve">FDS-05-023 — [Superseded v0.11]</w:t>
      </w:r>
    </w:p>
    <w:p>
      <w:pPr>
        <w:pStyle w:val="FirstParagraph"/>
      </w:pPr>
      <w:r>
        <w:rPr>
          <w:strike/>
        </w:rPr>
        <w:t xml:space="preserve">Per-cavity sublots at Die Cast</w:t>
      </w:r>
      <w:r>
        <w:t xml:space="preserve"> </w:t>
      </w:r>
      <w:r>
        <w:t xml:space="preserve">— superseded by the cavity-parallel-LOT-as-peer pattern. Each cavity produces a first-class LOT with its own</w:t>
      </w:r>
      <w:r>
        <w:t xml:space="preserve"> </w:t>
      </w:r>
      <w:r>
        <w:rPr>
          <w:rStyle w:val="VerbatimChar"/>
        </w:rPr>
        <w:t xml:space="preserve">ToolId</w:t>
      </w:r>
      <w:r>
        <w:t xml:space="preserve">/</w:t>
      </w:r>
      <w:r>
        <w:rPr>
          <w:rStyle w:val="VerbatimChar"/>
        </w:rPr>
        <w:t xml:space="preserve">ToolCavityId</w:t>
      </w:r>
      <w:r>
        <w:t xml:space="preserve"> </w:t>
      </w:r>
      <w:r>
        <w:t xml:space="preserve">per FDS-05-034. See §5.2 FDS-05-004 for creation. This requirement slot is retained empty to avoid renumbering downstream requirements.</w:t>
      </w:r>
    </w:p>
    <w:bookmarkEnd w:id="121"/>
    <w:bookmarkStart w:id="122"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2"/>
    <w:bookmarkStart w:id="123" w:name="fds-05-009-machining-auto-split-workflow"/>
    <w:p>
      <w:pPr>
        <w:pStyle w:val="Heading4"/>
      </w:pPr>
      <w:r>
        <w:t xml:space="preserve">FDS-05-009 — Machining Auto-Split Workflow</w:t>
      </w:r>
    </w:p>
    <w:p>
      <w:pPr>
        <w:pStyle w:val="BlockText"/>
      </w:pPr>
      <w:r>
        <w:t xml:space="preserve">🔶</w:t>
      </w:r>
      <w:r>
        <w:t xml:space="preserve"> </w:t>
      </w:r>
      <w:r>
        <w:rPr>
          <w:b/>
          <w:bCs/>
        </w:rPr>
        <w:t xml:space="preserve">PENDING INTERNAL REVIEW — UJ-03:</w:t>
      </w:r>
      <w:r>
        <w:t xml:space="preserve"> </w:t>
      </w:r>
      <w:r>
        <w:t xml:space="preserve">Reconciled with OI-09 sublot pattern per FDS-05-022 — the auto-split at Machining IN is one specific case of the broader sublot pattern. Still needs review with Ben on the even-split default vs. alternative defaults.</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per FDS-05-022 (sublot pattern),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w:t>
      </w:r>
      <w:r>
        <w:t xml:space="preserve"> </w:t>
      </w:r>
      <w:r>
        <w:rPr>
          <w:rStyle w:val="VerbatimChar"/>
        </w:rPr>
        <w:t xml:space="preserve">Closed</w:t>
      </w:r>
      <w:r>
        <w:t xml:space="preserve"> </w:t>
      </w:r>
      <w:r>
        <w:t xml:space="preserve">6. Write</w:t>
      </w:r>
      <w:r>
        <w:t xml:space="preserve"> </w:t>
      </w:r>
      <w:r>
        <w:rPr>
          <w:rStyle w:val="VerbatimChar"/>
        </w:rPr>
        <w:t xml:space="preserve">LotGenealogy</w:t>
      </w:r>
      <w:r>
        <w:t xml:space="preserve"> </w:t>
      </w:r>
      <w:r>
        <w:t xml:space="preserve">records with relationship type</w:t>
      </w:r>
      <w:r>
        <w:t xml:space="preserve"> </w:t>
      </w:r>
      <w:r>
        <w:rPr>
          <w:rStyle w:val="VerbatimChar"/>
        </w:rPr>
        <w:t xml:space="preserve">Split</w:t>
      </w:r>
      <w:r>
        <w:t xml:space="preserve"> </w:t>
      </w:r>
      <w:r>
        <w:t xml:space="preserve">for each parent→child link</w:t>
      </w:r>
      <w:r>
        <w:t xml:space="preserve"> </w:t>
      </w:r>
      <w:r>
        <w:t xml:space="preserve">7. Print LTT labels for each child sublot — labels follow the FDS-05-024 parent-reference rule</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23"/>
    <w:bookmarkStart w:id="124"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4"/>
    <w:bookmarkStart w:id="125"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5"/>
    <w:bookmarkEnd w:id="126"/>
    <w:bookmarkStart w:id="134" w:name="lot-merging-mvp"/>
    <w:p>
      <w:pPr>
        <w:pStyle w:val="Heading3"/>
      </w:pPr>
      <w:r>
        <w:t xml:space="preserve">5.5 LOT Merging —</w:t>
      </w:r>
      <w:r>
        <w:t xml:space="preserve"> </w:t>
      </w:r>
      <w:r>
        <w:rPr>
          <w:rStyle w:val="VerbatimChar"/>
        </w:rPr>
        <w:t xml:space="preserve">MVP</w:t>
      </w:r>
    </w:p>
    <w:p>
      <w:pPr>
        <w:pStyle w:val="BlockText"/>
      </w:pPr>
      <w:r>
        <w:t xml:space="preserve">🔶</w:t>
      </w:r>
      <w:r>
        <w:t xml:space="preserve"> </w:t>
      </w:r>
      <w:r>
        <w:rPr>
          <w:b/>
          <w:bCs/>
        </w:rPr>
        <w:t xml:space="preserve">REVISED — OI-05 (2026-04-20):</w:t>
      </w:r>
      <w:r>
        <w:t xml:space="preserve"> </w:t>
      </w:r>
      <w:r>
        <w:t xml:space="preserve">MPP delivered concrete merge rules at the 2026-04-20 review:</w:t>
      </w:r>
      <w:r>
        <w:t xml:space="preserve"> </w:t>
      </w:r>
      <w:r>
        <w:t xml:space="preserve">- Merges SHALL be allowed only</w:t>
      </w:r>
      <w:r>
        <w:t xml:space="preserve"> </w:t>
      </w:r>
      <w:r>
        <w:rPr>
          <w:b/>
          <w:bCs/>
        </w:rPr>
        <w:t xml:space="preserve">after sort is complete</w:t>
      </w:r>
      <w:r>
        <w:t xml:space="preserve"> </w:t>
      </w:r>
      <w:r>
        <w:t xml:space="preserve">(post-inspection stage; Sort Cage output merges are not permitted — see FDS-07-019).</w:t>
      </w:r>
      <w:r>
        <w:t xml:space="preserve"> </w:t>
      </w:r>
      <w:r>
        <w:t xml:space="preserve">- Same</w:t>
      </w:r>
      <w:r>
        <w:t xml:space="preserve"> </w:t>
      </w:r>
      <w:r>
        <w:rPr>
          <w:b/>
          <w:bCs/>
        </w:rPr>
        <w:t xml:space="preserve">part number</w:t>
      </w:r>
      <w:r>
        <w:t xml:space="preserve"> </w:t>
      </w:r>
      <w:r>
        <w:t xml:space="preserve">SHALL be required.</w:t>
      </w:r>
      <w:r>
        <w:t xml:space="preserve"> </w:t>
      </w:r>
      <w:r>
        <w:t xml:space="preserve">- Same</w:t>
      </w:r>
      <w:r>
        <w:t xml:space="preserve"> </w:t>
      </w:r>
      <w:r>
        <w:rPr>
          <w:b/>
          <w:bCs/>
        </w:rPr>
        <w:t xml:space="preserve">die</w:t>
      </w:r>
      <w:r>
        <w:t xml:space="preserve"> </w:t>
      </w:r>
      <w:r>
        <w:t xml:space="preserve">→ merge proceeds.</w:t>
      </w:r>
      <w:r>
        <w:t xml:space="preserve"> </w:t>
      </w:r>
      <w:r>
        <w:t xml:space="preserve">- Different dies → merge proceeds only when the pair’s rank is compatible per</w:t>
      </w:r>
      <w:r>
        <w:t xml:space="preserve"> </w:t>
      </w:r>
      <w:r>
        <w:rPr>
          <w:rStyle w:val="VerbatimChar"/>
        </w:rPr>
        <w:t xml:space="preserve">Tools.DieRankCompatibility</w:t>
      </w:r>
      <w:r>
        <w:t xml:space="preserve"> </w:t>
      </w:r>
      <w:r>
        <w:t xml:space="preserve">(Phase B Tools schema).</w:t>
      </w:r>
      <w:r>
        <w:t xml:space="preserve"> </w:t>
      </w:r>
      <w:r>
        <w:t xml:space="preserve">-</w:t>
      </w:r>
      <w:r>
        <w:t xml:space="preserve"> </w:t>
      </w:r>
      <w:r>
        <w:rPr>
          <w:b/>
          <w:bCs/>
        </w:rPr>
        <w:t xml:space="preserve">Machining</w:t>
      </w:r>
      <w:r>
        <w:t xml:space="preserve"> </w:t>
      </w:r>
      <w:r>
        <w:t xml:space="preserve">is FIFO-by-cavity — not a merge operation.</w:t>
      </w:r>
      <w:r>
        <w:t xml:space="preserve"> </w:t>
      </w:r>
      <w:r>
        <w:t xml:space="preserve">- 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r>
        <w:t xml:space="preserve"> </w:t>
      </w:r>
      <w:r>
        <w:t xml:space="preserve">- Piece counts SHALL be additive; merged LOTs SHALL NOT be un-mergeable.</w:t>
      </w:r>
    </w:p>
    <w:p>
      <w:pPr>
        <w:pStyle w:val="BlockText"/>
      </w:pPr>
      <w:r>
        <w:t xml:space="preserve">Supervisor AD elevation (FDS-04-007) unlocks merges that would otherwise be rejected. Full die-rank compatibility matrix is still owed by MPP Quality — until delivered, cross-die merges are rejected with a clear message and the supervisor override is the only path.</w:t>
      </w:r>
    </w:p>
    <w:bookmarkStart w:id="127"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7"/>
    <w:bookmarkStart w:id="128"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(OI-05 revised; FRS 3.13.1)</w:t>
      </w:r>
    </w:p>
    <w:bookmarkEnd w:id="128"/>
    <w:bookmarkStart w:id="129"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(OI-05 revised; FRS 3.9.13)</w:t>
      </w:r>
    </w:p>
    <w:bookmarkEnd w:id="129"/>
    <w:bookmarkStart w:id="130"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16"/>
        </w:numPr>
      </w:pPr>
      <w:r>
        <w:t xml:space="preserve">Resolve each source LOT’s die via the</w:t>
      </w:r>
      <w:r>
        <w:t xml:space="preserve"> </w:t>
      </w:r>
      <w:r>
        <w:rPr>
          <w:rStyle w:val="VerbatimChar"/>
        </w:rPr>
        <w:t xml:space="preserve">DieIdentifier</w:t>
      </w:r>
      <w:r>
        <w:t xml:space="preserve"> </w:t>
      </w:r>
      <w:r>
        <w:t xml:space="preserve">captured on the originating</w:t>
      </w:r>
      <w:r>
        <w:t xml:space="preserve"> </w:t>
      </w:r>
      <w:r>
        <w:rPr>
          <w:rStyle w:val="VerbatimChar"/>
        </w:rPr>
        <w:t xml:space="preserve">Workorder.ProductionEvent</w:t>
      </w:r>
      <w:r>
        <w:t xml:space="preserve"> </w:t>
      </w:r>
      <w:r>
        <w:t xml:space="preserve">(optionally joined to</w:t>
      </w:r>
      <w:r>
        <w:t xml:space="preserve"> </w:t>
      </w:r>
      <w:r>
        <w:rPr>
          <w:rStyle w:val="VerbatimChar"/>
        </w:rPr>
        <w:t xml:space="preserve">Tools.Tool</w:t>
      </w:r>
      <w:r>
        <w:t xml:space="preserve"> </w:t>
      </w:r>
      <w:r>
        <w:t xml:space="preserve">once the analytics FK is added — see Data Model v1.7 §7 cross-references).</w:t>
      </w:r>
    </w:p>
    <w:p>
      <w:pPr>
        <w:pStyle w:val="Compact"/>
        <w:numPr>
          <w:ilvl w:val="0"/>
          <w:numId w:val="1016"/>
        </w:numPr>
      </w:pPr>
      <w:r>
        <w:t xml:space="preserve">If all source LOTs share the same die, the compatibility check is bypassed; proceed to FDS-05-028 (Quality Status Gating).</w:t>
      </w:r>
    </w:p>
    <w:p>
      <w:pPr>
        <w:pStyle w:val="Compact"/>
        <w:numPr>
          <w:ilvl w:val="0"/>
          <w:numId w:val="1016"/>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16"/>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16"/>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 (OI-05 revised; couples to Phase B Tools schema.)</w:t>
      </w:r>
    </w:p>
    <w:bookmarkEnd w:id="130"/>
    <w:bookmarkStart w:id="131"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 (OI-05 revised)</w:t>
      </w:r>
    </w:p>
    <w:bookmarkEnd w:id="131"/>
    <w:bookmarkStart w:id="132"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(OI-05 revised; FRS 3.13.1)</w:t>
      </w:r>
    </w:p>
    <w:bookmarkEnd w:id="132"/>
    <w:bookmarkStart w:id="133" w:name="X4c22408620640bebb2a6f7f6c656d8632a09ad6"/>
    <w:p>
      <w:pPr>
        <w:pStyle w:val="Heading4"/>
      </w:pPr>
      <w:r>
        <w:t xml:space="preserve">FDS-05-030 — Post-Merge LOT Has NULL Tool / Cavity —</w:t>
      </w:r>
      <w:r>
        <w:t xml:space="preserve"> </w:t>
      </w:r>
      <w:r>
        <w:rPr>
          <w:rStyle w:val="VerbatimChar"/>
        </w:rPr>
        <w:t xml:space="preserve">MVP</w:t>
      </w:r>
      <w:r>
        <w:t xml:space="preserve"> </w:t>
      </w:r>
      <w:r>
        <w:t xml:space="preserve">(v0.11)</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 (OI-09 closed; Decision 10)</w:t>
      </w:r>
    </w:p>
    <w:bookmarkEnd w:id="133"/>
    <w:bookmarkEnd w:id="134"/>
    <w:bookmarkStart w:id="138" w:name="lot-status-transitions"/>
    <w:p>
      <w:pPr>
        <w:pStyle w:val="Heading3"/>
      </w:pPr>
      <w:r>
        <w:t xml:space="preserve">5.6 LOT Status Transitions</w:t>
      </w:r>
    </w:p>
    <w:bookmarkStart w:id="135"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5"/>
    <w:bookmarkStart w:id="136"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6"/>
    <w:bookmarkStart w:id="137"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7"/>
    <w:bookmarkEnd w:id="138"/>
    <w:bookmarkStart w:id="142" w:name="genealogy"/>
    <w:p>
      <w:pPr>
        <w:pStyle w:val="Heading3"/>
      </w:pPr>
      <w:r>
        <w:t xml:space="preserve">5.7 Genealogy</w:t>
      </w:r>
    </w:p>
    <w:bookmarkStart w:id="139"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9"/>
    <w:bookmarkStart w:id="140"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40"/>
    <w:bookmarkStart w:id="141"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1"/>
    <w:bookmarkEnd w:id="142"/>
    <w:bookmarkStart w:id="145" w:name="lot-label-management"/>
    <w:p>
      <w:pPr>
        <w:pStyle w:val="Heading3"/>
      </w:pPr>
      <w:r>
        <w:t xml:space="preserve">5.8 LOT Label Management</w:t>
      </w:r>
    </w:p>
    <w:bookmarkStart w:id="143"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3"/>
    <w:bookmarkStart w:id="144"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44"/>
    <w:bookmarkEnd w:id="145"/>
    <w:bookmarkStart w:id="147" w:name="lot-attribute-auditing"/>
    <w:p>
      <w:pPr>
        <w:pStyle w:val="Heading3"/>
      </w:pPr>
      <w:r>
        <w:t xml:space="preserve">5.9 LOT Attribute Auditing</w:t>
      </w:r>
    </w:p>
    <w:bookmarkStart w:id="146"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6"/>
    <w:bookmarkEnd w:id="147"/>
    <w:bookmarkStart w:id="149" w:name="X9e39d4a51cf9e37af1a886a6bd8ac244950b737"/>
    <w:p>
      <w:pPr>
        <w:pStyle w:val="Heading3"/>
      </w:pPr>
      <w:r>
        <w:t xml:space="preserve">5.10 Part Identity Change — Casting to Trim —</w:t>
      </w:r>
      <w:r>
        <w:t xml:space="preserve"> </w:t>
      </w:r>
      <w:r>
        <w:rPr>
          <w:rStyle w:val="VerbatimChar"/>
        </w:rPr>
        <w:t xml:space="preserve">MVP</w:t>
      </w:r>
      <w:r>
        <w:t xml:space="preserve"> </w:t>
      </w:r>
      <w:r>
        <w:t xml:space="preserve">(OI-11 resolved 2026-04-22)</w:t>
      </w:r>
    </w:p>
    <w:p>
      <w:pPr>
        <w:pStyle w:val="FirstParagraph"/>
      </w:pPr>
      <w:r>
        <w:t xml:space="preserve">Per MPP Engineering (2026-04-20 meeting): a part</w:t>
      </w:r>
      <w:r>
        <w:t xml:space="preserve"> </w:t>
      </w:r>
      <w:r>
        <w:rPr>
          <w:b/>
          <w:bCs/>
        </w:rPr>
        <w:t xml:space="preserve">changes identity</w:t>
      </w:r>
      <w:r>
        <w:t xml:space="preserve"> </w:t>
      </w:r>
      <w:r>
        <w:t xml:space="preserve">as it crosses from Casting into the Trim Shop — the physical piece is the same but carries a different part number on each side of the boundary. Honda genealogy queries MUST resolve across this rename so a shipped part traces back to its cast origin.</w:t>
      </w:r>
    </w:p>
    <w:p>
      <w:pPr>
        <w:pStyle w:val="BlockText"/>
      </w:pPr>
      <w:r>
        <w:rPr>
          <w:b/>
          <w:bCs/>
        </w:rPr>
        <w:t xml:space="preserve">OI-11 resolution (2026-04-22):</w:t>
      </w:r>
      <w:r>
        <w:t xml:space="preserve"> </w:t>
      </w:r>
      <w:r>
        <w:t xml:space="preserve">The v0.10 draft initially added a dedicated</w:t>
      </w:r>
      <w:r>
        <w:t xml:space="preserve"> </w:t>
      </w:r>
      <w:r>
        <w:rPr>
          <w:rStyle w:val="VerbatimChar"/>
        </w:rPr>
        <w:t xml:space="preserve">Parts.ItemTransform</w:t>
      </w:r>
      <w:r>
        <w:t xml:space="preserve"> </w:t>
      </w:r>
      <w:r>
        <w:t xml:space="preserve">table + FDS-05-033..035 to bridge the rename. On review the table was redundant — every column duplicated</w:t>
      </w:r>
      <w:r>
        <w:t xml:space="preserve"> </w:t>
      </w:r>
      <w:r>
        <w:rPr>
          <w:rStyle w:val="VerbatimChar"/>
        </w:rPr>
        <w:t xml:space="preserve">Workorder.ConsumptionEvent</w:t>
      </w:r>
      <w:r>
        <w:t xml:space="preserve">, and the Casting → Trim boundary is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FDS-05-033..035 retired; the single requirement below replaces them.</w:t>
      </w:r>
    </w:p>
    <w:bookmarkStart w:id="148" w:name="X516a63e08869424adf879b1274872b236184c80"/>
    <w:p>
      <w:pPr>
        <w:pStyle w:val="Heading4"/>
      </w:pPr>
      <w:r>
        <w:t xml:space="preserve">FDS-05-033 — Casting → Trim Rename via 1-Line BOM —</w:t>
      </w:r>
      <w:r>
        <w:t xml:space="preserve"> </w:t>
      </w:r>
      <w:r>
        <w:rPr>
          <w:rStyle w:val="VerbatimChar"/>
        </w:rPr>
        <w:t xml:space="preserve">MVP</w:t>
      </w:r>
    </w:p>
    <w:p>
      <w:pPr>
        <w:pStyle w:val="FirstParagraph"/>
      </w:pPr>
      <w:r>
        <w:t xml:space="preserve">The trim-side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cast-side</w:t>
      </w:r>
      <w:r>
        <w:t xml:space="preserve"> </w:t>
      </w:r>
      <w:r>
        <w:rPr>
          <w:rStyle w:val="VerbatimChar"/>
        </w:rPr>
        <w:t xml:space="preserve">Item</w:t>
      </w:r>
      <w:r>
        <w:t xml:space="preserve"> </w:t>
      </w:r>
      <w:r>
        <w:t xml:space="preserve">at</w:t>
      </w:r>
      <w:r>
        <w:t xml:space="preserve"> </w:t>
      </w:r>
      <w:r>
        <w:rPr>
          <w:rStyle w:val="VerbatimChar"/>
        </w:rPr>
        <w:t xml:space="preserve">QtyPer = 1</w:t>
      </w:r>
      <w:r>
        <w:t xml:space="preserve">. At the first Trim Shop Cell, when an operator scans a cast-side LOT into the Cell, the MES SHALL:</w:t>
      </w:r>
    </w:p>
    <w:p>
      <w:pPr>
        <w:pStyle w:val="Compact"/>
        <w:numPr>
          <w:ilvl w:val="0"/>
          <w:numId w:val="1017"/>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17"/>
        </w:numPr>
      </w:pPr>
      <w:r>
        <w:t xml:space="preserve">For each such item, check whether its BOM’s single line references the scanned LOT’s Item. The matching finished item is the destination part.</w:t>
      </w:r>
    </w:p>
    <w:p>
      <w:pPr>
        <w:pStyle w:val="Compact"/>
        <w:numPr>
          <w:ilvl w:val="0"/>
          <w:numId w:val="1017"/>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17"/>
        </w:numPr>
      </w:pPr>
      <w:r>
        <w:t xml:space="preserve">On</w:t>
      </w:r>
      <w:r>
        <w:t xml:space="preserve"> </w:t>
      </w:r>
      <w:r>
        <w:rPr>
          <w:b/>
          <w:bCs/>
        </w:rPr>
        <w:t xml:space="preserve">Yes</w:t>
      </w:r>
      <w:r>
        <w:t xml:space="preserve">: create a new destination LOT under the trim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cast</w:t>
      </w:r>
      <w:r>
        <w:t xml:space="preserve">,</w:t>
      </w:r>
      <w:r>
        <w:t xml:space="preserve"> </w:t>
      </w:r>
      <w:r>
        <w:rPr>
          <w:rStyle w:val="VerbatimChar"/>
        </w:rPr>
        <w:t xml:space="preserve">ProducedItemId = trim</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17"/>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the shipped trim LOT recovers the cast LOT via the</w:t>
      </w:r>
      <w:r>
        <w:t xml:space="preserve"> </w:t>
      </w:r>
      <w:r>
        <w:rPr>
          <w:rStyle w:val="VerbatimChar"/>
        </w:rPr>
        <w:t xml:space="preserve">Consumption</w:t>
      </w:r>
      <w:r>
        <w:t xml:space="preserve"> </w:t>
      </w:r>
      <w:r>
        <w:t xml:space="preserve">edge, then onwards to the cast machine / die / cavity / operator / timestamp. No special join or ItemTransform lookup — trace works exactly as for any assembly consumption.</w:t>
      </w:r>
    </w:p>
    <w:p>
      <w:pPr>
        <w:pStyle w:val="BodyText"/>
      </w:pPr>
      <w:r>
        <w:rPr>
          <w:b/>
          <w:bCs/>
        </w:rPr>
        <w:t xml:space="preserve">Why this is enough:</w:t>
      </w:r>
      <w:r>
        <w:t xml:space="preserve"> </w:t>
      </w:r>
      <w:r>
        <w:t xml:space="preserve">the trim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8"/>
    <w:bookmarkEnd w:id="149"/>
    <w:bookmarkEnd w:id="150"/>
    <w:bookmarkStart w:id="191" w:name="production-execution-mvp-expanded"/>
    <w:p>
      <w:pPr>
        <w:pStyle w:val="Heading2"/>
      </w:pPr>
      <w:r>
        <w:t xml:space="preserve">6. Production Execution —</w:t>
      </w:r>
      <w:r>
        <w:t xml:space="preserve"> </w:t>
      </w:r>
      <w:r>
        <w:rPr>
          <w:rStyle w:val="VerbatimChar"/>
        </w:rPr>
        <w:t xml:space="preserve">MVP-EXPANDED</w:t>
      </w:r>
    </w:p>
    <w:bookmarkStart w:id="151"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1"/>
    <w:bookmarkStart w:id="155" w:name="die-cast-workflow"/>
    <w:p>
      <w:pPr>
        <w:pStyle w:val="Heading3"/>
      </w:pPr>
      <w:r>
        <w:t xml:space="preserve">6.2 Die Cast Workflow</w:t>
      </w:r>
    </w:p>
    <w:bookmarkStart w:id="152"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2"/>
    <w:bookmarkStart w:id="153"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3"/>
    <w:bookmarkStart w:id="154" w:name="X36ebb4ae91860c810f39527622372060bd70014"/>
    <w:p>
      <w:pPr>
        <w:pStyle w:val="Heading4"/>
      </w:pPr>
      <w:r>
        <w:t xml:space="preserve">FDS-06-003 — Die Cast Production Event — revised v0.11 (checkpoint shape)</w:t>
      </w:r>
    </w:p>
    <w:p>
      <w:pPr>
        <w:pStyle w:val="FirstParagraph"/>
      </w:pPr>
      <w:r>
        <w:t xml:space="preserve">On operator submission at a Die Cast checkpoint (e.g., basket close, end-of-shift handoff, scrap-from-location action), the system SHALL (per FDS-03-017a, in one transaction):</w:t>
      </w:r>
      <w:r>
        <w:t xml:space="preserve"> </w:t>
      </w:r>
      <w:r>
        <w:t xml:space="preserve">1. 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t xml:space="preserve">2. 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r>
        <w:t xml:space="preserve"> </w:t>
      </w:r>
      <w:r>
        <w:t xml:space="preserve">3. 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r>
        <w:t xml:space="preserve"> </w:t>
      </w:r>
      <w:r>
        <w:t xml:space="preserve">4. Log to</w:t>
      </w:r>
      <w:r>
        <w:t xml:space="preserve"> </w:t>
      </w:r>
      <w:r>
        <w:rPr>
          <w:rStyle w:val="VerbatimChar"/>
        </w:rPr>
        <w:t xml:space="preserve">Audit.OperationLog</w:t>
      </w:r>
      <w:r>
        <w:t xml:space="preserve">.</w:t>
      </w:r>
    </w:p>
    <w:p>
      <w:pPr>
        <w:pStyle w:val="BodyText"/>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54"/>
    <w:bookmarkEnd w:id="155"/>
    <w:bookmarkStart w:id="159" w:name="trim-shop-workflow"/>
    <w:p>
      <w:pPr>
        <w:pStyle w:val="Heading3"/>
      </w:pPr>
      <w:r>
        <w:t xml:space="preserve">6.3 Trim Shop Workflow</w:t>
      </w:r>
    </w:p>
    <w:bookmarkStart w:id="156"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56"/>
    <w:bookmarkStart w:id="157"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57"/>
    <w:bookmarkStart w:id="158"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58"/>
    <w:bookmarkEnd w:id="159"/>
    <w:bookmarkStart w:id="163" w:name="machining-workflow"/>
    <w:p>
      <w:pPr>
        <w:pStyle w:val="Heading3"/>
      </w:pPr>
      <w:r>
        <w:t xml:space="preserve">6.4 Machining Workflow</w:t>
      </w:r>
    </w:p>
    <w:bookmarkStart w:id="160"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60"/>
    <w:bookmarkStart w:id="161"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61"/>
    <w:bookmarkStart w:id="162"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2"/>
    <w:bookmarkEnd w:id="163"/>
    <w:bookmarkStart w:id="167" w:name="assembly-workflow-serialized-lines"/>
    <w:p>
      <w:pPr>
        <w:pStyle w:val="Heading3"/>
      </w:pPr>
      <w:r>
        <w:t xml:space="preserve">6.5 Assembly Workflow — Serialized Lines</w:t>
      </w:r>
    </w:p>
    <w:bookmarkStart w:id="164"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64"/>
    <w:bookmarkStart w:id="165"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65"/>
    <w:bookmarkStart w:id="166"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66"/>
    <w:bookmarkEnd w:id="167"/>
    <w:bookmarkStart w:id="170" w:name="assembly-workflow-non-serialized-lines"/>
    <w:p>
      <w:pPr>
        <w:pStyle w:val="Heading3"/>
      </w:pPr>
      <w:r>
        <w:t xml:space="preserve">6.6 Assembly Workflow — Non-Serialized Lines</w:t>
      </w:r>
    </w:p>
    <w:bookmarkStart w:id="168"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68"/>
    <w:bookmarkStart w:id="169"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69"/>
    <w:bookmarkEnd w:id="170"/>
    <w:bookmarkStart w:id="173" w:name="production-events"/>
    <w:p>
      <w:pPr>
        <w:pStyle w:val="Heading3"/>
      </w:pPr>
      <w:r>
        <w:t xml:space="preserve">6.7 Production Events</w:t>
      </w:r>
    </w:p>
    <w:bookmarkStart w:id="171"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1"/>
    <w:bookmarkStart w:id="172"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2"/>
    <w:bookmarkEnd w:id="173"/>
    <w:bookmarkStart w:id="178" w:name="reject-events-and-scrap-handling"/>
    <w:p>
      <w:pPr>
        <w:pStyle w:val="Heading3"/>
      </w:pPr>
      <w:r>
        <w:t xml:space="preserve">6.8 Reject Events and Scrap Handling</w:t>
      </w:r>
    </w:p>
    <w:bookmarkStart w:id="174"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4"/>
    <w:bookmarkStart w:id="175"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5"/>
    <w:bookmarkStart w:id="176"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18"/>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18"/>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19"/>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19"/>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6"/>
    <w:bookmarkStart w:id="177"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rPr>
          <w:b/>
          <w:bCs/>
        </w:rPr>
        <w:t xml:space="preserve">OI-20 (new v0.10):</w:t>
      </w:r>
      <w:r>
        <w:t xml:space="preserve"> </w:t>
      </w: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20"/>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20"/>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7"/>
    <w:bookmarkEnd w:id="178"/>
    <w:bookmarkStart w:id="181" w:name="consumption-events"/>
    <w:p>
      <w:pPr>
        <w:pStyle w:val="Heading3"/>
      </w:pPr>
      <w:r>
        <w:t xml:space="preserve">6.9 Consumption Events</w:t>
      </w:r>
    </w:p>
    <w:bookmarkStart w:id="179"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9"/>
    <w:bookmarkStart w:id="180"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80"/>
    <w:bookmarkEnd w:id="181"/>
    <w:bookmarkStart w:id="190"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BlockText"/>
      </w:pPr>
      <w:r>
        <w:t xml:space="preserve">🔶</w:t>
      </w:r>
      <w:r>
        <w:t xml:space="preserve"> </w:t>
      </w:r>
      <w:r>
        <w:rPr>
          <w:b/>
          <w:bCs/>
        </w:rPr>
        <w:t xml:space="preserve">REVISED — OI-07 (2026-04-24 correction of 2026-04-20):</w:t>
      </w:r>
      <w:r>
        <w:t xml:space="preserve"> </w:t>
      </w: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preserving the 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not a separate type. Under MPP’s actual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future WO types — neither is being built in this project. The</w:t>
      </w:r>
      <w:r>
        <w:t xml:space="preserve"> </w:t>
      </w:r>
      <w:r>
        <w:rPr>
          <w:rStyle w:val="VerbatimChar"/>
        </w:rPr>
        <w:t xml:space="preserve">Workorder.WorkOrderType</w:t>
      </w:r>
      <w:r>
        <w:t xml:space="preserve"> </w:t>
      </w:r>
      <w:r>
        <w:t xml:space="preserve">code table remains as a future hook so the maintenance 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remains as the Maintenance-targets-a-tool hook. FDS-06-027 Recipe has been</w:t>
      </w:r>
      <w:r>
        <w:t xml:space="preserve"> </w:t>
      </w:r>
      <w:r>
        <w:rPr>
          <w:b/>
          <w:bCs/>
        </w:rPr>
        <w:t xml:space="preserve">deleted</w:t>
      </w:r>
      <w:r>
        <w:t xml:space="preserve"> </w:t>
      </w:r>
      <w:r>
        <w:t xml:space="preserve">— there is no such concept.</w:t>
      </w:r>
    </w:p>
    <w:bookmarkStart w:id="182"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Auto-generation semantics are unchanged from the pre-v0.9 MVP-Lite design.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2"/>
    <w:bookmarkStart w:id="183"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21"/>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21"/>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21"/>
        </w:numPr>
      </w:pPr>
      <w:r>
        <w:rPr>
          <w:rStyle w:val="VerbatimChar"/>
        </w:rPr>
        <w:t xml:space="preserve">RouteTemplateId</w:t>
      </w:r>
      <w:r>
        <w:t xml:space="preserve"> </w:t>
      </w:r>
      <w:r>
        <w:t xml:space="preserve">— FK to the route template version active at creation</w:t>
      </w:r>
    </w:p>
    <w:p>
      <w:pPr>
        <w:pStyle w:val="Compact"/>
        <w:numPr>
          <w:ilvl w:val="0"/>
          <w:numId w:val="1021"/>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21"/>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3"/>
    <w:bookmarkStart w:id="184"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84"/>
    <w:bookmarkStart w:id="185"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Production</w:t>
      </w:r>
      <w:r>
        <w:t xml:space="preserve">. Create-proc defaults SHALL set</w:t>
      </w:r>
      <w:r>
        <w:t xml:space="preserve"> </w:t>
      </w:r>
      <w:r>
        <w:rPr>
          <w:rStyle w:val="VerbatimChar"/>
        </w:rPr>
        <w:t xml:space="preserve">WorkOrderTypeId = Production</w:t>
      </w:r>
      <w:r>
        <w:t xml:space="preserve"> </w:t>
      </w:r>
      <w:r>
        <w:t xml:space="preserve">so Phase 1–8 callers keep working unchanged.</w:t>
      </w:r>
    </w:p>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the</w:t>
      </w:r>
      <w:r>
        <w:t xml:space="preserve"> </w:t>
      </w:r>
      <w:r>
        <w:rPr>
          <w:rStyle w:val="VerbatimChar"/>
        </w:rPr>
        <w:t xml:space="preserve">WorkOrderType</w:t>
      </w:r>
      <w:r>
        <w:t xml:space="preserve"> </w:t>
      </w:r>
      <w:r>
        <w:t xml:space="preserve">seed with 3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SHALL rename Id=1</w:t>
      </w:r>
      <w:r>
        <w:t xml:space="preserve"> </w:t>
      </w:r>
      <w:r>
        <w:rPr>
          <w:rStyle w:val="VerbatimChar"/>
        </w:rPr>
        <w:t xml:space="preserve">Demand</w:t>
      </w:r>
      <w:r>
        <w:t xml:space="preserve">→</w:t>
      </w:r>
      <w:r>
        <w:rPr>
          <w:rStyle w:val="VerbatimChar"/>
        </w:rPr>
        <w:t xml:space="preserve">Production</w:t>
      </w:r>
      <w:r>
        <w:t xml:space="preserve">, DELETE Id=2 (</w:t>
      </w:r>
      <w:r>
        <w:rPr>
          <w:rStyle w:val="VerbatimChar"/>
        </w:rPr>
        <w:t xml:space="preserve">Maintenance</w:t>
      </w:r>
      <w:r>
        <w:t xml:space="preserve">) and Id=3 (</w:t>
      </w:r>
      <w:r>
        <w:rPr>
          <w:rStyle w:val="VerbatimChar"/>
        </w:rPr>
        <w:t xml:space="preserve">Recipe</w:t>
      </w:r>
      <w:r>
        <w:t xml:space="preserve">), and correct the test in</w:t>
      </w:r>
      <w:r>
        <w:t xml:space="preserve"> </w:t>
      </w:r>
      <w:r>
        <w:rPr>
          <w:rStyle w:val="VerbatimChar"/>
        </w:rPr>
        <w:t xml:space="preserve">sql/tests/0019_Parts_ConsumptionMetadata_And_ScrapSource/010_Phase_E_additives.sql</w:t>
      </w:r>
      <w:r>
        <w:t xml:space="preserve"> </w:t>
      </w:r>
      <w:r>
        <w:t xml:space="preserve">(currently asserts 3 rows + Code=</w:t>
      </w:r>
      <w:r>
        <w:t xml:space="preserve">‘Demand’</w:t>
      </w:r>
      <w:r>
        <w:t xml:space="preserve">). Not executed this turn; tracked in OIR OI-07.</w:t>
      </w:r>
    </w:p>
    <w:bookmarkEnd w:id="185"/>
    <w:bookmarkStart w:id="186"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22"/>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22"/>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p>
      <w:pPr>
        <w:pStyle w:val="BodyText"/>
      </w:pPr>
      <w:r>
        <w:rPr>
          <w:i/>
          <w:iCs/>
        </w:rPr>
        <w:t xml:space="preserve">(FDS-06-027 Recipe Work Orders —</w:t>
      </w:r>
      <w:r>
        <w:rPr>
          <w:i/>
          <w:iCs/>
        </w:rPr>
        <w:t xml:space="preserve"> </w:t>
      </w:r>
      <w:r>
        <w:rPr>
          <w:b/>
          <w:bCs/>
          <w:i/>
          <w:iCs/>
        </w:rPr>
        <w:t xml:space="preserve">DELETED 2026-04-24</w:t>
      </w:r>
      <w:r>
        <w:rPr>
          <w:i/>
          <w:iCs/>
        </w:rPr>
        <w:t xml:space="preserve"> </w:t>
      </w:r>
      <w:r>
        <w:rPr>
          <w:i/>
          <w:iCs/>
        </w:rPr>
        <w:t xml:space="preserve">per OI-07 correction. The 2026-04-20 meeting note was mis-recorded; there is no Recipe WO concept. Requirement slot left vacant to avoid renumbering.)</w:t>
      </w:r>
    </w:p>
    <w:bookmarkEnd w:id="186"/>
    <w:bookmarkStart w:id="187" w:name="X28af8f132e1d57f9bbd54bc5c048a761ded9c44"/>
    <w:p>
      <w:pPr>
        <w:pStyle w:val="Heading4"/>
      </w:pPr>
      <w:r>
        <w:t xml:space="preserve">FDS-06-028 — Auto-Finish on Target (Camera / Scale) —</w:t>
      </w:r>
      <w:r>
        <w:t xml:space="preserve"> </w:t>
      </w:r>
      <w:r>
        <w:rPr>
          <w:rStyle w:val="VerbatimChar"/>
        </w:rPr>
        <w:t xml:space="preserve">MVP</w:t>
      </w:r>
      <w:r>
        <w:t xml:space="preserve"> </w:t>
      </w:r>
      <w:r>
        <w:t xml:space="preserve">(extended v0.11g)</w:t>
      </w:r>
    </w:p>
    <w:p>
      <w:pPr>
        <w:pStyle w:val="FirstParagraph"/>
      </w:pPr>
      <w:r>
        <w:rPr>
          <w:b/>
          <w:bCs/>
        </w:rPr>
        <w:t xml:space="preserve">OI-16 (Jacques additions, 2026-04-24):</w:t>
      </w:r>
      <w:r>
        <w:t xml:space="preserve"> </w:t>
      </w:r>
      <w:r>
        <w:t xml:space="preserve">Production Work Orders SHALL support two automatic-finish modes, configurable per WO:</w:t>
      </w:r>
    </w:p>
    <w:p>
      <w:pPr>
        <w:pStyle w:val="Compact"/>
        <w:numPr>
          <w:ilvl w:val="0"/>
          <w:numId w:val="1023"/>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23"/>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Dedicated terminals (FDS-02-010) — Shared terminals always require operator interaction per their mode.</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87"/>
    <w:bookmarkStart w:id="188"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rPr>
          <w:b/>
          <w:bCs/>
        </w:rPr>
        <w:t xml:space="preserve">OI-17 (new v0.10):</w:t>
      </w:r>
      <w:r>
        <w:t xml:space="preserve"> </w:t>
      </w: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lockText"/>
      </w:pPr>
      <w:r>
        <w:rPr>
          <w:b/>
          <w:bCs/>
        </w:rPr>
        <w:t xml:space="preserve">Note (v0.11):</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(via</w:t>
      </w:r>
      <w:r>
        <w:t xml:space="preserve"> </w:t>
      </w:r>
      <w:r>
        <w:rPr>
          <w:rStyle w:val="VerbatimChar"/>
        </w:rPr>
        <w:t xml:space="preserve">WorkOrderOperationId</w:t>
      </w:r>
      <w:r>
        <w:t xml:space="preserve"> </w:t>
      </w:r>
      <w:r>
        <w:t xml:space="preserve">or, when that is NULL, via LOT-WO matching on</w:t>
      </w:r>
      <w:r>
        <w:t xml:space="preserve"> </w:t>
      </w:r>
      <w:r>
        <w:rPr>
          <w:rStyle w:val="VerbatimChar"/>
        </w:rPr>
        <w:t xml:space="preserve">ItemId</w:t>
      </w:r>
      <w:r>
        <w:t xml:space="preserve"> </w:t>
      </w:r>
      <w:r>
        <w:t xml:space="preserve">+ time window). The v0.11 ProductionEvent reshape removed the per-event</w:t>
      </w:r>
      <w:r>
        <w:t xml:space="preserve"> </w:t>
      </w:r>
      <w:r>
        <w:rPr>
          <w:rStyle w:val="VerbatimChar"/>
        </w:rPr>
        <w:t xml:space="preserve">GoodCount</w:t>
      </w:r>
      <w:r>
        <w:t xml:space="preserve"> </w:t>
      </w:r>
      <w:r>
        <w:t xml:space="preserve">column — it is derived from the cumulative counters.</w:t>
      </w:r>
    </w:p>
    <w:bookmarkEnd w:id="188"/>
    <w:bookmarkStart w:id="189" w:name="X8d3927962f03373d5e06cc865960781ff82ab65"/>
    <w:p>
      <w:pPr>
        <w:pStyle w:val="Heading4"/>
      </w:pPr>
      <w:r>
        <w:t xml:space="preserve">FDS-06-030 — WorkOrder BIT-Flag Enumeration at Phase 0 —</w:t>
      </w:r>
      <w:r>
        <w:t xml:space="preserve"> </w:t>
      </w:r>
      <w:r>
        <w:rPr>
          <w:rStyle w:val="VerbatimChar"/>
        </w:rPr>
        <w:t xml:space="preserve">MVP</w:t>
      </w:r>
      <w:r>
        <w:t xml:space="preserve"> </w:t>
      </w:r>
      <w:r>
        <w:t xml:space="preserve">(Arc 2 Phase 0 input, v0.11)</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Arc 2 Phase 0 SHALL confirm with MPP which of the following are live in production; live flags become columns on</w:t>
      </w:r>
      <w:r>
        <w:t xml:space="preserve"> </w:t>
      </w:r>
      <w:r>
        <w:rPr>
          <w:rStyle w:val="VerbatimChar"/>
        </w:rPr>
        <w:t xml:space="preserve">Workorder.WorkOrder</w:t>
      </w:r>
      <w:r>
        <w:t xml:space="preserve"> </w:t>
      </w:r>
      <w:r>
        <w:t xml:space="preserve">at the Arc 2 Phase 1</w:t>
      </w:r>
      <w:r>
        <w:t xml:space="preserve"> </w:t>
      </w:r>
      <w:r>
        <w:rPr>
          <w:rStyle w:val="VerbatimChar"/>
        </w:rPr>
        <w:t xml:space="preserve">CREATE</w:t>
      </w:r>
      <w:r>
        <w:t xml:space="preserve">;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89"/>
    <w:bookmarkEnd w:id="190"/>
    <w:bookmarkEnd w:id="191"/>
    <w:bookmarkStart w:id="221" w:name="container-management-shipping-mvp"/>
    <w:p>
      <w:pPr>
        <w:pStyle w:val="Heading2"/>
      </w:pPr>
      <w:r>
        <w:t xml:space="preserve">7. Container Management &amp; Shipping —</w:t>
      </w:r>
      <w:r>
        <w:t xml:space="preserve"> </w:t>
      </w:r>
      <w:r>
        <w:rPr>
          <w:rStyle w:val="VerbatimChar"/>
        </w:rPr>
        <w:t xml:space="preserve">MVP</w:t>
      </w:r>
    </w:p>
    <w:bookmarkStart w:id="192"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2"/>
    <w:bookmarkStart w:id="198" w:name="container-lifecycle"/>
    <w:p>
      <w:pPr>
        <w:pStyle w:val="Heading3"/>
      </w:pPr>
      <w:r>
        <w:t xml:space="preserve">7.2 Container Lifecycle</w:t>
      </w:r>
    </w:p>
    <w:bookmarkStart w:id="193"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3"/>
    <w:bookmarkStart w:id="194"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4"/>
    <w:bookmarkStart w:id="195"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95"/>
    <w:bookmarkStart w:id="196"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96"/>
    <w:bookmarkStart w:id="197" w:name="X4008380834e3f3259df3bad309e2fed8c6bcfc1"/>
    <w:p>
      <w:pPr>
        <w:pStyle w:val="Heading4"/>
      </w:pPr>
      <w:r>
        <w:t xml:space="preserve">FDS-07-005 — Container Closure — revised v0.11i (UJ-04)</w:t>
      </w:r>
    </w:p>
    <w:p>
      <w:pPr>
        <w:pStyle w:val="FirstParagraph"/>
      </w:pPr>
      <w:r>
        <w:t xml:space="preserve">When a container reaches capacity, the system SHALL, in</w:t>
      </w:r>
      <w:r>
        <w:t xml:space="preserve"> </w:t>
      </w:r>
      <w:r>
        <w:rPr>
          <w:b/>
          <w:bCs/>
        </w:rPr>
        <w:t xml:space="preserve">one synchronous transaction</w:t>
      </w:r>
      <w:r>
        <w:t xml:space="preserve">:</w:t>
      </w:r>
      <w:r>
        <w:t xml:space="preserve"> </w:t>
      </w:r>
      <w:r>
        <w:t xml:space="preserve">1. Set container status to COMPLETE.</w:t>
      </w:r>
      <w:r>
        <w:t xml:space="preserve"> </w:t>
      </w:r>
      <w:r>
        <w:t xml:space="preserve">2. Atomically claim the next FIFO available AIM Shipper ID from</w:t>
      </w:r>
      <w:r>
        <w:t xml:space="preserve"> </w:t>
      </w:r>
      <w:r>
        <w:rPr>
          <w:rStyle w:val="VerbatimChar"/>
        </w:rPr>
        <w:t xml:space="preserve">Lots.AimShipperIdPool</w:t>
      </w:r>
      <w:r>
        <w:t xml:space="preserve"> </w:t>
      </w:r>
      <w:r>
        <w:t xml:space="preserve">via</w:t>
      </w:r>
      <w:r>
        <w:t xml:space="preserve"> </w:t>
      </w:r>
      <w:r>
        <w:rPr>
          <w:rStyle w:val="VerbatimChar"/>
        </w:rPr>
        <w:t xml:space="preserve">Lots.AimShipperIdPool_Claim @ContainerId, @AppUserId</w:t>
      </w:r>
      <w:r>
        <w:t xml:space="preserve">. This is a sub-millisecond local DB operation — it SHALL NOT call AIM inline. (See FDS-07-010 for the pool model and FDS-07-010a for empty-pool behavior.)</w:t>
      </w:r>
      <w:r>
        <w:t xml:space="preserve"> </w:t>
      </w:r>
      <w:r>
        <w:t xml:space="preserve">3. Store the claimed</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(No</w:t>
      </w:r>
      <w:r>
        <w:t xml:space="preserve"> </w:t>
      </w:r>
      <w:r>
        <w:rPr>
          <w:rStyle w:val="VerbatimChar"/>
        </w:rPr>
        <w:t xml:space="preserve">Audit.InterfaceLog</w:t>
      </w:r>
      <w:r>
        <w:t xml:space="preserve"> </w:t>
      </w:r>
      <w:r>
        <w:t xml:space="preserve">write here — the AIM call that issued this ID was logged at topup time, and</w:t>
      </w:r>
      <w:r>
        <w:t xml:space="preserve"> </w:t>
      </w:r>
      <w:r>
        <w:rPr>
          <w:rStyle w:val="VerbatimChar"/>
        </w:rPr>
        <w:t xml:space="preserve">AimShipperIdPool.FetchedInterfaceLogId</w:t>
      </w:r>
      <w:r>
        <w:t xml:space="preserve"> </w:t>
      </w:r>
      <w:r>
        <w:t xml:space="preserve">carries the FK back to that record for end-to-end provenance.)</w:t>
      </w:r>
    </w:p>
    <w:p>
      <w:pPr>
        <w:pStyle w:val="BodyText"/>
      </w:pPr>
      <w:r>
        <w:t xml:space="preserve">The entire close transaction succeeds or fails atomically — there is no in-between state where a container is COMPLETE without an</w:t>
      </w:r>
      <w:r>
        <w:t xml:space="preserve"> </w:t>
      </w:r>
      <w:r>
        <w:rPr>
          <w:rStyle w:val="VerbatimChar"/>
        </w:rPr>
        <w:t xml:space="preserve">AimShipperId</w:t>
      </w:r>
      <w:r>
        <w:t xml:space="preserve">. The synchronous claim model means container closure has zero AIM latency in the steady state.</w:t>
      </w:r>
    </w:p>
    <w:bookmarkEnd w:id="197"/>
    <w:bookmarkEnd w:id="198"/>
    <w:bookmarkStart w:id="203" w:name="shipping-labels"/>
    <w:p>
      <w:pPr>
        <w:pStyle w:val="Heading3"/>
      </w:pPr>
      <w:r>
        <w:t xml:space="preserve">7.3 Shipping Labels</w:t>
      </w:r>
    </w:p>
    <w:bookmarkStart w:id="199"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9"/>
    <w:bookmarkStart w:id="200"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00"/>
    <w:bookmarkStart w:id="201" w:name="X2b853052753a10d16569222b5916e044356986e"/>
    <w:p>
      <w:pPr>
        <w:pStyle w:val="Heading4"/>
      </w:pPr>
      <w:r>
        <w:t xml:space="preserve">FDS-07-008 — Shipping Label Void — amended v0.11i (UJ-04)</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p>
      <w:pPr>
        <w:pStyle w:val="BodyText"/>
      </w:pPr>
      <w:r>
        <w:rPr>
          <w:b/>
          <w:bCs/>
        </w:rPr>
        <w:t xml:space="preserve">ID lifecycle on void (UJ-04 lock).</w:t>
      </w:r>
      <w:r>
        <w:t xml:space="preserve"> </w:t>
      </w:r>
      <w:r>
        <w:t xml:space="preserve">A voided AIM Shipper ID SHALL NOT return to the</w:t>
      </w:r>
      <w:r>
        <w:t xml:space="preserve"> </w:t>
      </w:r>
      <w:r>
        <w:rPr>
          <w:rStyle w:val="VerbatimChar"/>
        </w:rPr>
        <w:t xml:space="preserve">AimShipperIdPool</w:t>
      </w:r>
      <w:r>
        <w:t xml:space="preserve"> </w:t>
      </w:r>
      <w:r>
        <w:t xml:space="preserve">as available. Honda treats every issued ID as permanently consumed regardless of downstream void / re-pack. The</w:t>
      </w:r>
      <w:r>
        <w:t xml:space="preserve"> </w:t>
      </w:r>
      <w:r>
        <w:rPr>
          <w:rStyle w:val="VerbatimChar"/>
        </w:rPr>
        <w:t xml:space="preserve">Lots.AimShipperIdPool</w:t>
      </w:r>
      <w:r>
        <w:t xml:space="preserve"> </w:t>
      </w:r>
      <w:r>
        <w:t xml:space="preserve">row remains terminal (</w:t>
      </w:r>
      <w:r>
        <w:rPr>
          <w:rStyle w:val="VerbatimChar"/>
        </w:rPr>
        <w:t xml:space="preserve">ConsumedAt</w:t>
      </w:r>
      <w:r>
        <w:t xml:space="preserve"> </w:t>
      </w:r>
      <w:r>
        <w:t xml:space="preserve">set, pointing at the original consuming</w:t>
      </w:r>
      <w:r>
        <w:t xml:space="preserve"> </w:t>
      </w:r>
      <w:r>
        <w:rPr>
          <w:rStyle w:val="VerbatimChar"/>
        </w:rPr>
        <w:t xml:space="preserve">Container</w:t>
      </w:r>
      <w:r>
        <w:t xml:space="preserve">). When a re-packed container is closed, it draws a fresh ID from the pool via FDS-07-005’s synchronous</w:t>
      </w:r>
      <w:r>
        <w:t xml:space="preserve"> </w:t>
      </w:r>
      <w:r>
        <w:rPr>
          <w:rStyle w:val="VerbatimChar"/>
        </w:rPr>
        <w:t xml:space="preserve">_Claim</w:t>
      </w:r>
      <w:r>
        <w:t xml:space="preserve">.</w:t>
      </w:r>
    </w:p>
    <w:bookmarkEnd w:id="201"/>
    <w:bookmarkStart w:id="202"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2"/>
    <w:bookmarkEnd w:id="203"/>
    <w:bookmarkStart w:id="210" w:name="aim-integration"/>
    <w:p>
      <w:pPr>
        <w:pStyle w:val="Heading3"/>
      </w:pPr>
      <w:r>
        <w:t xml:space="preserve">7.4 AIM Integration</w:t>
      </w:r>
    </w:p>
    <w:bookmarkStart w:id="204" w:name="Xfb06b06aaac0e514759e8bc20551b998d333128"/>
    <w:p>
      <w:pPr>
        <w:pStyle w:val="Heading4"/>
      </w:pPr>
      <w:r>
        <w:t xml:space="preserve">FDS-07-010 — AIM Shipper ID Local Pool — revised v0.11i (UJ-04)</w:t>
      </w:r>
    </w:p>
    <w:p>
      <w:pPr>
        <w:pStyle w:val="FirstParagraph"/>
      </w:pPr>
      <w:r>
        <w:t xml:space="preserve">The MES SHALL maintain a local pool of pre-fetched AIM Shipper IDs (</w:t>
      </w:r>
      <w:r>
        <w:rPr>
          <w:rStyle w:val="VerbatimChar"/>
        </w:rPr>
        <w:t xml:space="preserve">Lots.AimShipperIdPool</w:t>
      </w:r>
      <w:r>
        <w:t xml:space="preserve">) so that container closure (FDS-07-005) is</w:t>
      </w:r>
      <w:r>
        <w:t xml:space="preserve"> </w:t>
      </w:r>
      <w:r>
        <w:rPr>
          <w:b/>
          <w:bCs/>
        </w:rPr>
        <w:t xml:space="preserve">synchronous and zero-latency</w:t>
      </w:r>
      <w:r>
        <w:t xml:space="preserve"> </w:t>
      </w:r>
      <w:r>
        <w:t xml:space="preserve">with respect to AIM availability. AIM Shipper IDs SHALL be pre-fetched in advance and consumed FIFO at container-close time.</w:t>
      </w:r>
    </w:p>
    <w:p>
      <w:pPr>
        <w:pStyle w:val="BodyText"/>
      </w:pPr>
      <w:r>
        <w:rPr>
          <w:b/>
          <w:bCs/>
        </w:rPr>
        <w:t xml:space="preserve">Pool model.</w:t>
      </w:r>
      <w:r>
        <w:t xml:space="preserve"> </w:t>
      </w:r>
      <w:r>
        <w:t xml:space="preserve">Each</w:t>
      </w:r>
      <w:r>
        <w:t xml:space="preserve"> </w:t>
      </w:r>
      <w:r>
        <w:rPr>
          <w:rStyle w:val="VerbatimChar"/>
        </w:rPr>
        <w:t xml:space="preserve">Lots.AimShipperIdPool</w:t>
      </w:r>
      <w:r>
        <w:t xml:space="preserve"> </w:t>
      </w:r>
      <w:r>
        <w:t xml:space="preserve">row represents one AIM-issued Shipper ID. A row’s lifecycle is binary:</w:t>
      </w:r>
      <w:r>
        <w:t xml:space="preserve"> </w:t>
      </w:r>
      <w:r>
        <w:rPr>
          <w:b/>
          <w:bCs/>
        </w:rPr>
        <w:t xml:space="preserve">available</w:t>
      </w:r>
      <w:r>
        <w:t xml:space="preserve"> </w:t>
      </w:r>
      <w:r>
        <w:t xml:space="preserve">(</w:t>
      </w:r>
      <w:r>
        <w:rPr>
          <w:rStyle w:val="VerbatimChar"/>
        </w:rPr>
        <w:t xml:space="preserve">ConsumedAt IS NULL</w:t>
      </w:r>
      <w:r>
        <w:t xml:space="preserve">) or</w:t>
      </w:r>
      <w:r>
        <w:t xml:space="preserve"> </w:t>
      </w:r>
      <w:r>
        <w:rPr>
          <w:b/>
          <w:bCs/>
        </w:rPr>
        <w:t xml:space="preserve">consumed</w:t>
      </w:r>
      <w:r>
        <w:t xml:space="preserve"> </w:t>
      </w:r>
      <w:r>
        <w:t xml:space="preserve">(</w:t>
      </w:r>
      <w:r>
        <w:rPr>
          <w:rStyle w:val="VerbatimChar"/>
        </w:rPr>
        <w:t xml:space="preserve">ConsumedAt IS NOT NULL</w:t>
      </w:r>
      <w:r>
        <w:t xml:space="preserve">). Once consumed, the row is terminal — see FDS-07-008’s amendment for the no-reuse-on-void rule.</w:t>
      </w:r>
    </w:p>
    <w:p>
      <w:pPr>
        <w:pStyle w:val="BodyText"/>
      </w:pPr>
      <w:r>
        <w:rPr>
          <w:b/>
          <w:bCs/>
        </w:rPr>
        <w:t xml:space="preserve">Topup loop — Gateway timer script.</w:t>
      </w:r>
      <w:r>
        <w:t xml:space="preserve"> </w:t>
      </w:r>
      <w:r>
        <w:t xml:space="preserve">A background Ignition Gateway timer script SHALL run on a fixed cadence (recommended: every 30 seconds; cadence MAY be tuned without spec change) and SHALL:</w:t>
      </w:r>
    </w:p>
    <w:p>
      <w:pPr>
        <w:pStyle w:val="Compact"/>
        <w:numPr>
          <w:ilvl w:val="0"/>
          <w:numId w:val="1024"/>
        </w:numPr>
      </w:pPr>
      <w:r>
        <w:t xml:space="preserve">Read pool depth via</w:t>
      </w:r>
      <w:r>
        <w:t xml:space="preserve"> </w:t>
      </w:r>
      <w:r>
        <w:rPr>
          <w:rStyle w:val="VerbatimChar"/>
        </w:rPr>
        <w:t xml:space="preserve">Lots.AimShipperIdPool_GetDepth</w:t>
      </w:r>
      <w:r>
        <w:t xml:space="preserve"> </w:t>
      </w:r>
      <w:r>
        <w:t xml:space="preserve">returning</w:t>
      </w:r>
      <w:r>
        <w:t xml:space="preserve"> </w:t>
      </w:r>
      <w:r>
        <w:rPr>
          <w:rStyle w:val="VerbatimChar"/>
        </w:rPr>
        <w:t xml:space="preserve">(AvailableCount, OldestAvailableAt)</w:t>
      </w:r>
      <w:r>
        <w:t xml:space="preserve">.</w:t>
      </w:r>
    </w:p>
    <w:p>
      <w:pPr>
        <w:pStyle w:val="Compact"/>
        <w:numPr>
          <w:ilvl w:val="0"/>
          <w:numId w:val="1024"/>
        </w:numPr>
      </w:pPr>
      <w:r>
        <w:t xml:space="preserve">Read configured thresholds via</w:t>
      </w:r>
      <w:r>
        <w:t xml:space="preserve"> </w:t>
      </w:r>
      <w:r>
        <w:rPr>
          <w:rStyle w:val="VerbatimChar"/>
        </w:rPr>
        <w:t xml:space="preserve">Lots.AimPoolConfig_Get</w:t>
      </w:r>
      <w:r>
        <w:t xml:space="preserve"> </w:t>
      </w:r>
      <w:r>
        <w:t xml:space="preserve">returning</w:t>
      </w:r>
      <w:r>
        <w:t xml:space="preserve"> </w:t>
      </w:r>
      <w:r>
        <w:rPr>
          <w:rStyle w:val="VerbatimChar"/>
        </w:rPr>
        <w:t xml:space="preserve">(TargetBufferDepth, TopupThreshold, AlarmWarningDepth, AlarmCriticalDepth)</w:t>
      </w:r>
      <w:r>
        <w:t xml:space="preserve">.</w:t>
      </w:r>
    </w:p>
    <w:p>
      <w:pPr>
        <w:pStyle w:val="Compact"/>
        <w:numPr>
          <w:ilvl w:val="0"/>
          <w:numId w:val="1024"/>
        </w:numPr>
      </w:pPr>
      <w:r>
        <w:t xml:space="preserve">If</w:t>
      </w:r>
      <w:r>
        <w:t xml:space="preserve"> </w:t>
      </w:r>
      <w:r>
        <w:rPr>
          <w:rStyle w:val="VerbatimChar"/>
        </w:rPr>
        <w:t xml:space="preserve">AvailableCount &lt; TopupThreshold</w:t>
      </w:r>
      <w:r>
        <w:t xml:space="preserve">, repeatedly call</w:t>
      </w:r>
      <w:r>
        <w:t xml:space="preserve"> </w:t>
      </w:r>
      <w:r>
        <w:rPr>
          <w:rStyle w:val="VerbatimChar"/>
        </w:rPr>
        <w:t xml:space="preserve">AIM.GetNextNumber</w:t>
      </w:r>
      <w:r>
        <w:t xml:space="preserve"> </w:t>
      </w:r>
      <w:r>
        <w:t xml:space="preserve">until</w:t>
      </w:r>
      <w:r>
        <w:t xml:space="preserve"> </w:t>
      </w:r>
      <w:r>
        <w:rPr>
          <w:rStyle w:val="VerbatimChar"/>
        </w:rPr>
        <w:t xml:space="preserve">AvailableCount</w:t>
      </w:r>
      <w:r>
        <w:t xml:space="preserve"> </w:t>
      </w:r>
      <w:r>
        <w:t xml:space="preserve">reaches</w:t>
      </w:r>
      <w:r>
        <w:t xml:space="preserve"> </w:t>
      </w:r>
      <w:r>
        <w:rPr>
          <w:rStyle w:val="VerbatimChar"/>
        </w:rPr>
        <w:t xml:space="preserve">TargetBufferDepth</w:t>
      </w:r>
      <w:r>
        <w:t xml:space="preserve">. For each AIM call:</w:t>
      </w:r>
    </w:p>
    <w:p>
      <w:pPr>
        <w:pStyle w:val="Compact"/>
        <w:numPr>
          <w:ilvl w:val="1"/>
          <w:numId w:val="1025"/>
        </w:numPr>
      </w:pPr>
      <w:r>
        <w:t xml:space="preserve">Write the request/response to</w:t>
      </w:r>
      <w:r>
        <w:t xml:space="preserve"> </w:t>
      </w:r>
      <w:r>
        <w:rPr>
          <w:rStyle w:val="VerbatimChar"/>
        </w:rPr>
        <w:t xml:space="preserve">Audit.InterfaceLog</w:t>
      </w:r>
      <w:r>
        <w:t xml:space="preserve"> </w:t>
      </w:r>
      <w:r>
        <w:t xml:space="preserve">via</w:t>
      </w:r>
      <w:r>
        <w:t xml:space="preserve"> </w:t>
      </w:r>
      <w:r>
        <w:rPr>
          <w:rStyle w:val="VerbatimChar"/>
        </w:rPr>
        <w:t xml:space="preserve">Audit_LogInterfaceCall</w:t>
      </w:r>
      <w:r>
        <w:t xml:space="preserve"> </w:t>
      </w:r>
      <w:r>
        <w:t xml:space="preserve">and capture the resulting</w:t>
      </w:r>
      <w:r>
        <w:t xml:space="preserve"> </w:t>
      </w:r>
      <w:r>
        <w:rPr>
          <w:rStyle w:val="VerbatimChar"/>
        </w:rPr>
        <w:t xml:space="preserve">InterfaceLogId</w:t>
      </w:r>
      <w:r>
        <w:t xml:space="preserve">.</w:t>
      </w:r>
    </w:p>
    <w:p>
      <w:pPr>
        <w:pStyle w:val="Compact"/>
        <w:numPr>
          <w:ilvl w:val="1"/>
          <w:numId w:val="1025"/>
        </w:numPr>
      </w:pPr>
      <w:r>
        <w:t xml:space="preserve">INSERT a new pool row via</w:t>
      </w:r>
      <w:r>
        <w:t xml:space="preserve"> </w:t>
      </w:r>
      <w:r>
        <w:rPr>
          <w:rStyle w:val="VerbatimChar"/>
        </w:rPr>
        <w:t xml:space="preserve">Lots.AimShipperIdPool_Topup @AimShipperId, @InterfaceLogId</w:t>
      </w:r>
      <w:r>
        <w:t xml:space="preserve">.</w:t>
      </w:r>
    </w:p>
    <w:p>
      <w:pPr>
        <w:pStyle w:val="Compact"/>
        <w:numPr>
          <w:ilvl w:val="1"/>
          <w:numId w:val="1025"/>
        </w:numPr>
      </w:pPr>
      <w:r>
        <w:t xml:space="preserve">If the AIM call fails, log the failure to</w:t>
      </w:r>
      <w:r>
        <w:t xml:space="preserve"> </w:t>
      </w:r>
      <w:r>
        <w:rPr>
          <w:rStyle w:val="VerbatimChar"/>
        </w:rPr>
        <w:t xml:space="preserve">Audit.InterfaceLog</w:t>
      </w:r>
      <w:r>
        <w:t xml:space="preserve">, abandon the topup pass for this cycle, and retry next tick (no backoff; the script re-evaluates depth every cycle).</w:t>
      </w:r>
    </w:p>
    <w:p>
      <w:pPr>
        <w:pStyle w:val="FirstParagraph"/>
      </w:pPr>
      <w:r>
        <w:rPr>
          <w:b/>
          <w:bCs/>
        </w:rPr>
        <w:t xml:space="preserve">Claim ordering.</w:t>
      </w:r>
      <w:r>
        <w:t xml:space="preserve"> </w:t>
      </w:r>
      <w:r>
        <w:rPr>
          <w:rStyle w:val="VerbatimChar"/>
        </w:rPr>
        <w:t xml:space="preserve">Lots.AimShipperIdPool_Claim</w:t>
      </w:r>
      <w:r>
        <w:t xml:space="preserve"> </w:t>
      </w:r>
      <w:r>
        <w:t xml:space="preserve">SHALL select the oldest available row by</w:t>
      </w:r>
      <w:r>
        <w:t xml:space="preserve"> </w:t>
      </w:r>
      <w:r>
        <w:rPr>
          <w:rStyle w:val="VerbatimChar"/>
        </w:rPr>
        <w:t xml:space="preserve">FetchedAt ASC</w:t>
      </w:r>
      <w:r>
        <w:t xml:space="preserve"> </w:t>
      </w:r>
      <w:r>
        <w:t xml:space="preserve">using</w:t>
      </w:r>
      <w:r>
        <w:t xml:space="preserve"> </w:t>
      </w:r>
      <w:r>
        <w:rPr>
          <w:rStyle w:val="VerbatimChar"/>
        </w:rPr>
        <w:t xml:space="preserve">UPDATE TOP (1) WITH (UPDLOCK, READPAST, ROWLOCK) ... OUTPUT inserted.AimShipperId</w:t>
      </w:r>
      <w:r>
        <w:t xml:space="preserve">. The</w:t>
      </w:r>
      <w:r>
        <w:t xml:space="preserve"> </w:t>
      </w:r>
      <w:r>
        <w:rPr>
          <w:rStyle w:val="VerbatimChar"/>
        </w:rPr>
        <w:t xml:space="preserve">READPAST</w:t>
      </w:r>
      <w:r>
        <w:t xml:space="preserve"> </w:t>
      </w:r>
      <w:r>
        <w:t xml:space="preserve">hint allows concurrent claims to skip in-flight locks instead of blocking — two simultaneous container-closes return two distinct IDs without contention.</w:t>
      </w:r>
    </w:p>
    <w:p>
      <w:pPr>
        <w:pStyle w:val="BodyText"/>
      </w:pPr>
      <w:r>
        <w:rPr>
          <w:b/>
          <w:bCs/>
        </w:rPr>
        <w:t xml:space="preserve">End-to-end provenance.</w:t>
      </w:r>
      <w:r>
        <w:t xml:space="preserve"> </w:t>
      </w:r>
      <w:r>
        <w:t xml:space="preserve">Every consumed pool row links back to the originating AIM call via</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Audit queries can trace an</w:t>
      </w:r>
      <w:r>
        <w:t xml:space="preserve"> </w:t>
      </w:r>
      <w:r>
        <w:rPr>
          <w:rStyle w:val="VerbatimChar"/>
        </w:rPr>
        <w:t xml:space="preserve">AimShipperId</w:t>
      </w:r>
      <w:r>
        <w:t xml:space="preserve"> </w:t>
      </w:r>
      <w:r>
        <w:t xml:space="preserve">from the</w:t>
      </w:r>
      <w:r>
        <w:t xml:space="preserve"> </w:t>
      </w:r>
      <w:r>
        <w:rPr>
          <w:rStyle w:val="VerbatimChar"/>
        </w:rPr>
        <w:t xml:space="preserve">Container</w:t>
      </w:r>
      <w:r>
        <w:t xml:space="preserve"> </w:t>
      </w:r>
      <w:r>
        <w:t xml:space="preserve">row, through the</w:t>
      </w:r>
      <w:r>
        <w:t xml:space="preserve"> </w:t>
      </w:r>
      <w:r>
        <w:rPr>
          <w:rStyle w:val="VerbatimChar"/>
        </w:rPr>
        <w:t xml:space="preserve">AimShipperIdPool</w:t>
      </w:r>
      <w:r>
        <w:t xml:space="preserve"> </w:t>
      </w:r>
      <w:r>
        <w:t xml:space="preserve">consumption, back to the precise AIM</w:t>
      </w:r>
      <w:r>
        <w:t xml:space="preserve"> </w:t>
      </w:r>
      <w:r>
        <w:rPr>
          <w:rStyle w:val="VerbatimChar"/>
        </w:rPr>
        <w:t xml:space="preserve">GetNextNumber</w:t>
      </w:r>
      <w:r>
        <w:t xml:space="preserve"> </w:t>
      </w:r>
      <w:r>
        <w:t xml:space="preserve">call that issued it.</w:t>
      </w:r>
    </w:p>
    <w:bookmarkEnd w:id="204"/>
    <w:bookmarkStart w:id="205" w:name="X16bd0e0f979c563869eee1471d8ddad0ac5b4a6"/>
    <w:p>
      <w:pPr>
        <w:pStyle w:val="Heading4"/>
      </w:pPr>
      <w:r>
        <w:t xml:space="preserve">FDS-07-010a — Empty Pool Hard Fail —</w:t>
      </w:r>
      <w:r>
        <w:t xml:space="preserve"> </w:t>
      </w:r>
      <w:r>
        <w:rPr>
          <w:rStyle w:val="VerbatimChar"/>
        </w:rPr>
        <w:t xml:space="preserve">MVP</w:t>
      </w:r>
      <w:r>
        <w:t xml:space="preserve"> </w:t>
      </w:r>
      <w:r>
        <w:t xml:space="preserve">(v0.11i, UJ-04)</w:t>
      </w:r>
    </w:p>
    <w:p>
      <w:pPr>
        <w:pStyle w:val="FirstParagraph"/>
      </w:pPr>
      <w:r>
        <w:t xml:space="preserve">If the pool is empty when</w:t>
      </w:r>
      <w:r>
        <w:t xml:space="preserve"> </w:t>
      </w:r>
      <w:r>
        <w:rPr>
          <w:rStyle w:val="VerbatimChar"/>
        </w:rPr>
        <w:t xml:space="preserve">Container_Complete</w:t>
      </w:r>
      <w:r>
        <w:t xml:space="preserve"> </w:t>
      </w:r>
      <w:r>
        <w:t xml:space="preserve">attempts to claim,</w:t>
      </w:r>
      <w:r>
        <w:t xml:space="preserve"> </w:t>
      </w:r>
      <w:r>
        <w:rPr>
          <w:rStyle w:val="VerbatimChar"/>
        </w:rPr>
        <w:t xml:space="preserve">Lots.AimShipperIdPool_Claim</w:t>
      </w:r>
      <w:r>
        <w:t xml:space="preserve"> </w:t>
      </w:r>
      <w:r>
        <w:t xml:space="preserve">SHALL raise an error and the entire close transaction SHALL roll back. The container SHALL remain in its prior pre-close state (typically OPEN); no</w:t>
      </w:r>
      <w:r>
        <w:t xml:space="preserve"> </w:t>
      </w:r>
      <w:r>
        <w:rPr>
          <w:rStyle w:val="VerbatimChar"/>
        </w:rPr>
        <w:t xml:space="preserve">Container.AimShipperId</w:t>
      </w:r>
      <w:r>
        <w:t xml:space="preserve"> </w:t>
      </w:r>
      <w:r>
        <w:t xml:space="preserve">is set; no</w:t>
      </w:r>
      <w:r>
        <w:t xml:space="preserve"> </w:t>
      </w:r>
      <w:r>
        <w:rPr>
          <w:rStyle w:val="VerbatimChar"/>
        </w:rPr>
        <w:t xml:space="preserve">ShippingLabel</w:t>
      </w:r>
      <w:r>
        <w:t xml:space="preserve"> </w:t>
      </w:r>
      <w:r>
        <w:t xml:space="preserve">row is written. The operator SHALL see a clear error message indicating that the AIM Shipper ID pool is exhausted and that the line is blocked from completing further containers until the pool refills.</w:t>
      </w:r>
    </w:p>
    <w:p>
      <w:pPr>
        <w:pStyle w:val="BodyText"/>
      </w:pPr>
      <w:r>
        <w:t xml:space="preserve">This is a</w:t>
      </w:r>
      <w:r>
        <w:t xml:space="preserve"> </w:t>
      </w:r>
      <w:r>
        <w:rPr>
          <w:b/>
          <w:bCs/>
        </w:rPr>
        <w:t xml:space="preserve">deliberate hard-fail design</w:t>
      </w:r>
      <w:r>
        <w:t xml:space="preserve"> </w:t>
      </w:r>
      <w:r>
        <w:t xml:space="preserve">(not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bookmarkEnd w:id="205"/>
    <w:bookmarkStart w:id="206" w:name="X67519dcb194017da1236790c598688c25b867e5"/>
    <w:p>
      <w:pPr>
        <w:pStyle w:val="Heading4"/>
      </w:pPr>
      <w:r>
        <w:t xml:space="preserve">FDS-07-010b — Pool Depth Alarms —</w:t>
      </w:r>
      <w:r>
        <w:t xml:space="preserve"> </w:t>
      </w:r>
      <w:r>
        <w:rPr>
          <w:rStyle w:val="VerbatimChar"/>
        </w:rPr>
        <w:t xml:space="preserve">MVP</w:t>
      </w:r>
      <w:r>
        <w:t xml:space="preserve"> </w:t>
      </w:r>
      <w:r>
        <w:t xml:space="preserve">(v0.11i, UJ-04)</w:t>
      </w:r>
    </w:p>
    <w:p>
      <w:pPr>
        <w:pStyle w:val="FirstParagraph"/>
      </w:pPr>
      <w:r>
        <w:t xml:space="preserve">The Gateway timer script (or a sibling alarm-evaluation script) SHALL evaluate pool depth on every tick against</w:t>
      </w:r>
      <w:r>
        <w:t xml:space="preserve"> </w:t>
      </w:r>
      <w:r>
        <w:rPr>
          <w:rStyle w:val="VerbatimChar"/>
        </w:rPr>
        <w:t xml:space="preserve">Lots.AimPoolConfig</w:t>
      </w:r>
      <w:r>
        <w:t xml:space="preserve"> </w:t>
      </w:r>
      <w:r>
        <w:t xml:space="preserve">thresholds:</w:t>
      </w:r>
    </w:p>
    <w:p>
      <w:pPr>
        <w:pStyle w:val="Compact"/>
        <w:numPr>
          <w:ilvl w:val="0"/>
          <w:numId w:val="1026"/>
        </w:numPr>
      </w:pPr>
      <w:r>
        <w:rPr>
          <w:rStyle w:val="VerbatimChar"/>
          <w:b/>
          <w:bCs/>
        </w:rPr>
        <w:t xml:space="preserve">AvailableCount &lt; AlarmWarningDepth</w:t>
      </w:r>
      <w:r>
        <w:t xml:space="preserve"> </w:t>
      </w:r>
      <w:r>
        <w:t xml:space="preserve">(default 20) → SHALL update a supervisor wallboard tile to a Warning state showing</w:t>
      </w:r>
      <w:r>
        <w:t xml:space="preserve"> </w:t>
      </w:r>
      <w:r>
        <w:rPr>
          <w:rStyle w:val="VerbatimChar"/>
        </w:rPr>
        <w:t xml:space="preserve">AvailableCount</w:t>
      </w:r>
      <w:r>
        <w:t xml:space="preserve"> </w:t>
      </w:r>
      <w:r>
        <w:t xml:space="preserve">and</w:t>
      </w:r>
      <w:r>
        <w:t xml:space="preserve"> </w:t>
      </w:r>
      <w:r>
        <w:rPr>
          <w:rStyle w:val="VerbatimChar"/>
        </w:rPr>
        <w:t xml:space="preserve">OldestAvailableAt</w:t>
      </w:r>
      <w:r>
        <w:t xml:space="preserve">. No external notification.</w:t>
      </w:r>
    </w:p>
    <w:p>
      <w:pPr>
        <w:pStyle w:val="Compact"/>
        <w:numPr>
          <w:ilvl w:val="0"/>
          <w:numId w:val="1026"/>
        </w:numPr>
      </w:pPr>
      <w:r>
        <w:rPr>
          <w:rStyle w:val="VerbatimChar"/>
          <w:b/>
          <w:bCs/>
        </w:rPr>
        <w:t xml:space="preserve">AvailableCount &lt; AlarmCriticalDepth</w:t>
      </w:r>
      <w:r>
        <w:t xml:space="preserve"> </w:t>
      </w:r>
      <w:r>
        <w:t xml:space="preserve">(default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if any.</w:t>
      </w:r>
    </w:p>
    <w:p>
      <w:pPr>
        <w:pStyle w:val="Compact"/>
        <w:numPr>
          <w:ilvl w:val="0"/>
          <w:numId w:val="1026"/>
        </w:numPr>
      </w:pPr>
      <w:r>
        <w:rPr>
          <w:b/>
          <w:bCs/>
        </w:rPr>
        <w:t xml:space="preserve">Pool empty (</w:t>
      </w:r>
      <w:r>
        <w:rPr>
          <w:rStyle w:val="VerbatimChar"/>
          <w:b/>
          <w:bCs/>
        </w:rPr>
        <w:t xml:space="preserve">AvailableCount = 0</w:t>
      </w:r>
      <w:r>
        <w:rPr>
          <w:b/>
          <w:bCs/>
        </w:rPr>
        <w:t xml:space="preserve">)</w:t>
      </w:r>
      <w:r>
        <w:t xml:space="preserve"> </w:t>
      </w:r>
      <w:r>
        <w:t xml:space="preserve">→ IT notification SHALL upgrade to</w:t>
      </w:r>
      <w:r>
        <w:t xml:space="preserve"> </w:t>
      </w:r>
      <w:r>
        <w:t xml:space="preserve">“POOL EXHAUSTED — line stops imminent”</w:t>
      </w:r>
      <w:r>
        <w:t xml:space="preserve"> </w:t>
      </w:r>
      <w:r>
        <w:t xml:space="preserve">severity. Combined with FDS-07-010a’s hard-fail behavior, this is the operational signal that production has stopped or is about to stop.</w:t>
      </w:r>
    </w:p>
    <w:p>
      <w:pPr>
        <w:pStyle w:val="FirstParagraph"/>
      </w:pPr>
      <w:r>
        <w:t xml:space="preserve">Both alarm levels SHALL automatically clear when depth recovers above the corresponding threshold (the wallboard tile returns to Healthy / yellow; the IT notification logs a recovery event).</w:t>
      </w:r>
    </w:p>
    <w:bookmarkEnd w:id="206"/>
    <w:bookmarkStart w:id="207" w:name="X88cb8c41df6dffb8adac23a287c6e418a3eebf3"/>
    <w:p>
      <w:pPr>
        <w:pStyle w:val="Heading4"/>
      </w:pPr>
      <w:r>
        <w:t xml:space="preserve">FDS-07-010c — Pool Configuration via Configuration Tool —</w:t>
      </w:r>
      <w:r>
        <w:t xml:space="preserve"> </w:t>
      </w:r>
      <w:r>
        <w:rPr>
          <w:rStyle w:val="VerbatimChar"/>
        </w:rPr>
        <w:t xml:space="preserve">MVP</w:t>
      </w:r>
      <w:r>
        <w:t xml:space="preserve"> </w:t>
      </w:r>
      <w:r>
        <w:t xml:space="preserve">(v0.11i, UJ-04)</w:t>
      </w:r>
    </w:p>
    <w:p>
      <w:pPr>
        <w:pStyle w:val="FirstParagraph"/>
      </w:pPr>
      <w:r>
        <w:rPr>
          <w:rStyle w:val="VerbatimChar"/>
        </w:rPr>
        <w:t xml:space="preserve">Lots.AimPoolConfig</w:t>
      </w:r>
      <w:r>
        <w:t xml:space="preserve"> </w:t>
      </w:r>
      <w:r>
        <w:t xml:space="preserve">SHALL be operator-editable via the Configuration Tool (Admin-elevated per FDS-04-007). The Config Tool SHALL surface:</w:t>
      </w:r>
    </w:p>
    <w:p>
      <w:pPr>
        <w:pStyle w:val="Compact"/>
        <w:numPr>
          <w:ilvl w:val="0"/>
          <w:numId w:val="1027"/>
        </w:numPr>
      </w:pPr>
      <w:r>
        <w:rPr>
          <w:rStyle w:val="VerbatimChar"/>
        </w:rPr>
        <w:t xml:space="preserve">TargetBufferDepth</w:t>
      </w:r>
      <w:r>
        <w:t xml:space="preserve"> </w:t>
      </w:r>
      <w:r>
        <w:t xml:space="preserve">(default 50) — the buffer size the topup script aims for.</w:t>
      </w:r>
    </w:p>
    <w:p>
      <w:pPr>
        <w:pStyle w:val="Compact"/>
        <w:numPr>
          <w:ilvl w:val="0"/>
          <w:numId w:val="1027"/>
        </w:numPr>
      </w:pPr>
      <w:r>
        <w:rPr>
          <w:rStyle w:val="VerbatimChar"/>
        </w:rPr>
        <w:t xml:space="preserve">TopupThreshold</w:t>
      </w:r>
      <w:r>
        <w:t xml:space="preserve"> </w:t>
      </w:r>
      <w:r>
        <w:t xml:space="preserve">(default 30) — the trigger for topup runs.</w:t>
      </w:r>
    </w:p>
    <w:p>
      <w:pPr>
        <w:pStyle w:val="Compact"/>
        <w:numPr>
          <w:ilvl w:val="0"/>
          <w:numId w:val="1027"/>
        </w:numPr>
      </w:pPr>
      <w:r>
        <w:rPr>
          <w:rStyle w:val="VerbatimChar"/>
        </w:rPr>
        <w:t xml:space="preserve">AlarmWarningDepth</w:t>
      </w:r>
      <w:r>
        <w:t xml:space="preserve"> </w:t>
      </w:r>
      <w:r>
        <w:t xml:space="preserve">(default 20).</w:t>
      </w:r>
    </w:p>
    <w:p>
      <w:pPr>
        <w:pStyle w:val="Compact"/>
        <w:numPr>
          <w:ilvl w:val="0"/>
          <w:numId w:val="1027"/>
        </w:numPr>
      </w:pPr>
      <w:r>
        <w:rPr>
          <w:rStyle w:val="VerbatimChar"/>
        </w:rPr>
        <w:t xml:space="preserve">AlarmCriticalDepth</w:t>
      </w:r>
      <w:r>
        <w:t xml:space="preserve"> </w:t>
      </w:r>
      <w:r>
        <w:t xml:space="preserve">(default 10).</w:t>
      </w:r>
    </w:p>
    <w:p>
      <w:pPr>
        <w:pStyle w:val="FirstParagraph"/>
      </w:pPr>
      <w:r>
        <w:t xml:space="preserve">Validation: the four values SHALL satisfy</w:t>
      </w:r>
      <w:r>
        <w:t xml:space="preserve"> </w:t>
      </w:r>
      <w:r>
        <w:rPr>
          <w:rStyle w:val="VerbatimChar"/>
        </w:rPr>
        <w:t xml:space="preserve">AlarmCriticalDepth &lt; AlarmWarningDepth &lt; TopupThreshold &lt; TargetBufferDepth</w:t>
      </w:r>
      <w:r>
        <w:t xml:space="preserve"> </w:t>
      </w:r>
      <w:r>
        <w:t xml:space="preserve">(CHECK constraints enforce this at the DB level —</w:t>
      </w:r>
      <w:r>
        <w:t xml:space="preserve"> </w:t>
      </w:r>
      <w:r>
        <w:rPr>
          <w:rStyle w:val="VerbatimChar"/>
        </w:rPr>
        <w:t xml:space="preserve">_Update</w:t>
      </w:r>
      <w:r>
        <w:t xml:space="preserve"> </w:t>
      </w:r>
      <w:r>
        <w:t xml:space="preserve">rejects invalid combinations). Updates SHALL be audited via</w:t>
      </w:r>
      <w:r>
        <w:t xml:space="preserve"> </w:t>
      </w:r>
      <w:r>
        <w:rPr>
          <w:rStyle w:val="VerbatimChar"/>
        </w:rPr>
        <w:t xml:space="preserve">Audit.ConfigLog</w:t>
      </w:r>
      <w:r>
        <w:t xml:space="preserve">.</w:t>
      </w:r>
    </w:p>
    <w:p>
      <w:pPr>
        <w:pStyle w:val="BodyText"/>
      </w:pPr>
      <w:r>
        <w:t xml:space="preserve">The four defaults (50 / 30 / 20 / 10) ship in the Arc 2 Phase 7 migration seed and reflect Jacques’s initial sizing target — they are tunable post-deployment based on actual peak container throughput and observed AIM responsiveness.</w:t>
      </w:r>
    </w:p>
    <w:bookmarkEnd w:id="207"/>
    <w:bookmarkStart w:id="208"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08"/>
    <w:bookmarkStart w:id="209"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09"/>
    <w:bookmarkEnd w:id="210"/>
    <w:bookmarkStart w:id="213" w:name="shipping-dock-workflow"/>
    <w:p>
      <w:pPr>
        <w:pStyle w:val="Heading3"/>
      </w:pPr>
      <w:r>
        <w:t xml:space="preserve">7.5 Shipping Dock Workflow</w:t>
      </w:r>
    </w:p>
    <w:bookmarkStart w:id="211"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11"/>
    <w:bookmarkStart w:id="212"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212"/>
    <w:bookmarkEnd w:id="213"/>
    <w:bookmarkStart w:id="216" w:name="container-holds"/>
    <w:p>
      <w:pPr>
        <w:pStyle w:val="Heading3"/>
      </w:pPr>
      <w:r>
        <w:t xml:space="preserve">7.6 Container Holds</w:t>
      </w:r>
    </w:p>
    <w:bookmarkStart w:id="214"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214"/>
    <w:bookmarkStart w:id="215"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215"/>
    <w:bookmarkEnd w:id="216"/>
    <w:bookmarkStart w:id="220" w:name="sort-cage-mvp-expanded"/>
    <w:p>
      <w:pPr>
        <w:pStyle w:val="Heading3"/>
      </w:pPr>
      <w:r>
        <w:t xml:space="preserve">7.7 Sort Cage —</w:t>
      </w:r>
      <w:r>
        <w:t xml:space="preserve"> </w:t>
      </w:r>
      <w:r>
        <w:rPr>
          <w:rStyle w:val="VerbatimChar"/>
        </w:rPr>
        <w:t xml:space="preserve">MVP-EXPANDED</w:t>
      </w:r>
    </w:p>
    <w:bookmarkStart w:id="217"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217"/>
    <w:bookmarkStart w:id="218"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18"/>
    <w:bookmarkStart w:id="219"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28"/>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28"/>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28"/>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19"/>
    <w:bookmarkEnd w:id="220"/>
    <w:bookmarkEnd w:id="221"/>
    <w:bookmarkStart w:id="247" w:name="quality-hold-management-mixed-scope"/>
    <w:p>
      <w:pPr>
        <w:pStyle w:val="Heading2"/>
      </w:pPr>
      <w:r>
        <w:t xml:space="preserve">8. Quality &amp; Hold Management — MIXED SCOPE</w:t>
      </w:r>
    </w:p>
    <w:bookmarkStart w:id="222"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22"/>
    <w:bookmarkStart w:id="231" w:name="hold-management-mvp-expanded"/>
    <w:p>
      <w:pPr>
        <w:pStyle w:val="Heading3"/>
      </w:pPr>
      <w:r>
        <w:t xml:space="preserve">8.2 Hold Management —</w:t>
      </w:r>
      <w:r>
        <w:t xml:space="preserve"> </w:t>
      </w:r>
      <w:r>
        <w:rPr>
          <w:rStyle w:val="VerbatimChar"/>
        </w:rPr>
        <w:t xml:space="preserve">MVP-EXPANDED</w:t>
      </w:r>
    </w:p>
    <w:bookmarkStart w:id="223"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23"/>
    <w:bookmarkStart w:id="224"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4"/>
    <w:bookmarkStart w:id="225"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5"/>
    <w:bookmarkStart w:id="226"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6"/>
    <w:bookmarkStart w:id="227"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27"/>
    <w:bookmarkStart w:id="228"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28"/>
    <w:bookmarkStart w:id="229"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29"/>
    <w:bookmarkStart w:id="230"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rPr>
          <w:b/>
          <w:bCs/>
        </w:rPr>
        <w:t xml:space="preserve">OI-22 (new v0.10):</w:t>
      </w:r>
      <w:r>
        <w:t xml:space="preserve"> </w:t>
      </w: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29"/>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29"/>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29"/>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29"/>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29"/>
        </w:numPr>
      </w:pPr>
      <w:r>
        <w:rPr>
          <w:b/>
          <w:bCs/>
        </w:rPr>
        <w:t xml:space="preserve">Bulk Hold / Bulk Release</w:t>
      </w:r>
      <w:r>
        <w:t xml:space="preserve"> </w:t>
      </w:r>
      <w:r>
        <w:t xml:space="preserve">— follows FDS-08-006 search + multi-select semantics.</w:t>
      </w:r>
    </w:p>
    <w:p>
      <w:pPr>
        <w:pStyle w:val="Compact"/>
        <w:numPr>
          <w:ilvl w:val="0"/>
          <w:numId w:val="1029"/>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30"/>
    <w:bookmarkEnd w:id="231"/>
    <w:bookmarkStart w:id="238" w:name="inspections-mvp"/>
    <w:p>
      <w:pPr>
        <w:pStyle w:val="Heading3"/>
      </w:pPr>
      <w:r>
        <w:t xml:space="preserve">8.3 Inspections —</w:t>
      </w:r>
      <w:r>
        <w:t xml:space="preserve"> </w:t>
      </w:r>
      <w:r>
        <w:rPr>
          <w:rStyle w:val="VerbatimChar"/>
        </w:rPr>
        <w:t xml:space="preserve">MVP</w:t>
      </w:r>
    </w:p>
    <w:bookmarkStart w:id="232"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32"/>
    <w:bookmarkStart w:id="233"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33"/>
    <w:bookmarkStart w:id="234"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4"/>
    <w:bookmarkStart w:id="235"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235"/>
    <w:bookmarkStart w:id="236"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6"/>
    <w:bookmarkStart w:id="237"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37"/>
    <w:bookmarkEnd w:id="238"/>
    <w:bookmarkStart w:id="241" w:name="sampling-workflows-conditional"/>
    <w:p>
      <w:pPr>
        <w:pStyle w:val="Heading3"/>
      </w:pPr>
      <w:r>
        <w:t xml:space="preserve">8.4 Sampling Workflows —</w:t>
      </w:r>
      <w:r>
        <w:t xml:space="preserve"> </w:t>
      </w:r>
      <w:r>
        <w:rPr>
          <w:rStyle w:val="VerbatimChar"/>
        </w:rPr>
        <w:t xml:space="preserve">CONDITIONAL</w:t>
      </w:r>
    </w:p>
    <w:bookmarkStart w:id="239"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39"/>
    <w:bookmarkStart w:id="240"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40"/>
    <w:bookmarkEnd w:id="241"/>
    <w:bookmarkStart w:id="244" w:name="defect-codes-mvp"/>
    <w:p>
      <w:pPr>
        <w:pStyle w:val="Heading3"/>
      </w:pPr>
      <w:r>
        <w:t xml:space="preserve">8.5 Defect Codes —</w:t>
      </w:r>
      <w:r>
        <w:t xml:space="preserve"> </w:t>
      </w:r>
      <w:r>
        <w:rPr>
          <w:rStyle w:val="VerbatimChar"/>
        </w:rPr>
        <w:t xml:space="preserve">MVP</w:t>
      </w:r>
    </w:p>
    <w:bookmarkStart w:id="242"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42"/>
    <w:bookmarkStart w:id="243"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43"/>
    <w:bookmarkEnd w:id="244"/>
    <w:bookmarkStart w:id="246" w:name="non-conformance-management-future"/>
    <w:p>
      <w:pPr>
        <w:pStyle w:val="Heading3"/>
      </w:pPr>
      <w:r>
        <w:t xml:space="preserve">8.6 Non-Conformance Management —</w:t>
      </w:r>
      <w:r>
        <w:t xml:space="preserve"> </w:t>
      </w:r>
      <w:r>
        <w:rPr>
          <w:rStyle w:val="VerbatimChar"/>
        </w:rPr>
        <w:t xml:space="preserve">FUTURE</w:t>
      </w:r>
    </w:p>
    <w:bookmarkStart w:id="245"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5"/>
    <w:bookmarkEnd w:id="246"/>
    <w:bookmarkEnd w:id="247"/>
    <w:bookmarkStart w:id="267" w:name="downtime-tracking-mixed-scope"/>
    <w:p>
      <w:pPr>
        <w:pStyle w:val="Heading2"/>
      </w:pPr>
      <w:r>
        <w:t xml:space="preserve">9. Downtime Tracking — MIXED SCOPE</w:t>
      </w:r>
    </w:p>
    <w:bookmarkStart w:id="248"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48"/>
    <w:bookmarkStart w:id="254" w:name="downtime-events-mvp"/>
    <w:p>
      <w:pPr>
        <w:pStyle w:val="Heading3"/>
      </w:pPr>
      <w:r>
        <w:t xml:space="preserve">9.2 Downtime Events —</w:t>
      </w:r>
      <w:r>
        <w:t xml:space="preserve"> </w:t>
      </w:r>
      <w:r>
        <w:rPr>
          <w:rStyle w:val="VerbatimChar"/>
        </w:rPr>
        <w:t xml:space="preserve">MVP</w:t>
      </w:r>
    </w:p>
    <w:bookmarkStart w:id="249"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49"/>
    <w:bookmarkStart w:id="250"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50"/>
    <w:bookmarkStart w:id="251"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51"/>
    <w:bookmarkStart w:id="252"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52"/>
    <w:bookmarkStart w:id="253"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53"/>
    <w:bookmarkEnd w:id="254"/>
    <w:bookmarkStart w:id="257" w:name="downtime-reason-codes-mvp"/>
    <w:p>
      <w:pPr>
        <w:pStyle w:val="Heading3"/>
      </w:pPr>
      <w:r>
        <w:t xml:space="preserve">9.3 Downtime Reason Codes —</w:t>
      </w:r>
      <w:r>
        <w:t xml:space="preserve"> </w:t>
      </w:r>
      <w:r>
        <w:rPr>
          <w:rStyle w:val="VerbatimChar"/>
        </w:rPr>
        <w:t xml:space="preserve">MVP</w:t>
      </w:r>
    </w:p>
    <w:bookmarkStart w:id="255"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5"/>
    <w:bookmarkStart w:id="256"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6"/>
    <w:bookmarkEnd w:id="257"/>
    <w:bookmarkStart w:id="264" w:name="shift-management-mvp"/>
    <w:p>
      <w:pPr>
        <w:pStyle w:val="Heading3"/>
      </w:pPr>
      <w:r>
        <w:t xml:space="preserve">9.4 Shift Management —</w:t>
      </w:r>
      <w:r>
        <w:t xml:space="preserve"> </w:t>
      </w:r>
      <w:r>
        <w:rPr>
          <w:rStyle w:val="VerbatimChar"/>
        </w:rPr>
        <w:t xml:space="preserve">MVP</w:t>
      </w:r>
    </w:p>
    <w:p>
      <w:pPr>
        <w:pStyle w:val="BlockText"/>
      </w:pPr>
      <w:r>
        <w:t xml:space="preserve">✅</w:t>
      </w:r>
      <w:r>
        <w:t xml:space="preserve"> </w:t>
      </w:r>
      <w:r>
        <w:rPr>
          <w:b/>
          <w:bCs/>
        </w:rPr>
        <w:t xml:space="preserve">RESOLVED — OI-03 (2026-04-20):</w:t>
      </w:r>
      <w:r>
        <w:t xml:space="preserve"> </w:t>
      </w: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MPP owes the spreadsheet template. Shifts run Monday–Friday at consistent start times; lines run different durations. Early starts automatically increase availability because events drive runtime. Operators log breaks once at end-of-shift via a single uptime/downtime categorisation — no live per-break entry.</w:t>
      </w:r>
    </w:p>
    <w:bookmarkStart w:id="258"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58"/>
    <w:bookmarkStart w:id="259"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30"/>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30"/>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30"/>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59"/>
    <w:bookmarkStart w:id="260"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60"/>
    <w:bookmarkStart w:id="261"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61"/>
    <w:bookmarkStart w:id="262" w:name="fds-09-013-break-logging"/>
    <w:p>
      <w:pPr>
        <w:pStyle w:val="Heading4"/>
      </w:pPr>
      <w:r>
        <w:t xml:space="preserve">FDS-09-013 — Break Logging</w:t>
      </w:r>
    </w:p>
    <w:p>
      <w:pPr>
        <w:pStyle w:val="FirstParagraph"/>
      </w:pPr>
      <w:r>
        <w:t xml:space="preserve">Operators SHALL NOT log breaks live during a shift. At end-of-shift (or at the operator’s choosing), a single end-of-shift view SHALL let the operator categorise the shift’s idle spans as</w:t>
      </w:r>
      <w:r>
        <w:t xml:space="preserve"> </w:t>
      </w:r>
      <w:r>
        <w:rPr>
          <w:rStyle w:val="VerbatimChar"/>
        </w:rPr>
        <w:t xml:space="preserve">Break</w:t>
      </w:r>
      <w:r>
        <w:t xml:space="preserve"> </w:t>
      </w:r>
      <w:r>
        <w:t xml:space="preserve">/</w:t>
      </w:r>
      <w:r>
        <w:t xml:space="preserve"> </w:t>
      </w:r>
      <w:r>
        <w:rPr>
          <w:rStyle w:val="VerbatimChar"/>
        </w:rPr>
        <w:t xml:space="preserve">Lunch</w:t>
      </w:r>
      <w:r>
        <w:t xml:space="preserve"> </w:t>
      </w:r>
      <w:r>
        <w:t xml:space="preserve">/</w:t>
      </w:r>
      <w:r>
        <w:t xml:space="preserve"> </w:t>
      </w:r>
      <w:r>
        <w:rPr>
          <w:rStyle w:val="VerbatimChar"/>
        </w:rPr>
        <w:t xml:space="preserve">Downtime</w:t>
      </w:r>
      <w:r>
        <w:t xml:space="preserve"> </w:t>
      </w:r>
      <w:r>
        <w:t xml:space="preserve">/</w:t>
      </w:r>
      <w:r>
        <w:t xml:space="preserve"> </w:t>
      </w:r>
      <w:r>
        <w:rPr>
          <w:rStyle w:val="VerbatimChar"/>
        </w:rPr>
        <w:t xml:space="preserve">Changeover</w:t>
      </w:r>
      <w:r>
        <w:t xml:space="preserve">. The categorisation writes</w:t>
      </w:r>
      <w:r>
        <w:t xml:space="preserve"> </w:t>
      </w:r>
      <w:r>
        <w:rPr>
          <w:rStyle w:val="VerbatimChar"/>
        </w:rPr>
        <w:t xml:space="preserve">Oee.DowntimeEvent</w:t>
      </w:r>
      <w:r>
        <w:t xml:space="preserve"> </w:t>
      </w:r>
      <w:r>
        <w:t xml:space="preserve">rows with appropriate</w:t>
      </w:r>
      <w:r>
        <w:t xml:space="preserve"> </w:t>
      </w:r>
      <w:r>
        <w:rPr>
          <w:rStyle w:val="VerbatimChar"/>
        </w:rPr>
        <w:t xml:space="preserve">DowntimeReasonCode</w:t>
      </w:r>
      <w:r>
        <w:t xml:space="preserve"> </w:t>
      </w:r>
      <w:r>
        <w:t xml:space="preserve">values spanning the identified idle time. This design avoids the paper-form-era friction of per-break entry while preserving the downtime classification Honda needs for OEE reporting. (OI-03 resolution; FRS 3.15.2)</w:t>
      </w:r>
    </w:p>
    <w:bookmarkEnd w:id="262"/>
    <w:bookmarkStart w:id="263"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63"/>
    <w:bookmarkEnd w:id="264"/>
    <w:bookmarkStart w:id="266" w:name="oee-future"/>
    <w:p>
      <w:pPr>
        <w:pStyle w:val="Heading3"/>
      </w:pPr>
      <w:r>
        <w:t xml:space="preserve">9.5 OEE —</w:t>
      </w:r>
      <w:r>
        <w:t xml:space="preserve"> </w:t>
      </w:r>
      <w:r>
        <w:rPr>
          <w:rStyle w:val="VerbatimChar"/>
        </w:rPr>
        <w:t xml:space="preserve">FUTURE</w:t>
      </w:r>
    </w:p>
    <w:bookmarkStart w:id="265"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5"/>
    <w:bookmarkEnd w:id="266"/>
    <w:bookmarkEnd w:id="267"/>
    <w:bookmarkStart w:id="285" w:name="plcopc-integration-mvp"/>
    <w:p>
      <w:pPr>
        <w:pStyle w:val="Heading2"/>
      </w:pPr>
      <w:r>
        <w:t xml:space="preserve">10. PLC/OPC Integration —</w:t>
      </w:r>
      <w:r>
        <w:t xml:space="preserve"> </w:t>
      </w:r>
      <w:r>
        <w:rPr>
          <w:rStyle w:val="VerbatimChar"/>
        </w:rPr>
        <w:t xml:space="preserve">MVP</w:t>
      </w:r>
    </w:p>
    <w:bookmarkStart w:id="268"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68"/>
    <w:bookmarkStart w:id="272" w:name="mip-handshake-protocol-serialized-lines"/>
    <w:p>
      <w:pPr>
        <w:pStyle w:val="Heading3"/>
      </w:pPr>
      <w:r>
        <w:t xml:space="preserve">10.2 MIP Handshake Protocol — Serialized Lines</w:t>
      </w:r>
    </w:p>
    <w:bookmarkStart w:id="269"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69"/>
    <w:bookmarkStart w:id="270"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70"/>
    <w:bookmarkStart w:id="271"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71"/>
    <w:bookmarkEnd w:id="272"/>
    <w:bookmarkStart w:id="279" w:name="non-serialized-line-integration"/>
    <w:p>
      <w:pPr>
        <w:pStyle w:val="Heading3"/>
      </w:pPr>
      <w:r>
        <w:t xml:space="preserve">10.3 Non-Serialized Line Integration</w:t>
      </w:r>
    </w:p>
    <w:p>
      <w:pPr>
        <w:pStyle w:val="BlockText"/>
      </w:pPr>
      <w:r>
        <w:t xml:space="preserve">🔶</w:t>
      </w:r>
      <w:r>
        <w:t xml:space="preserve"> </w:t>
      </w:r>
      <w:r>
        <w:rPr>
          <w:b/>
          <w:bCs/>
        </w:rPr>
        <w:t xml:space="preserve">REVISED — OI-04 (2026-04-20):</w:t>
      </w:r>
      <w:r>
        <w:t xml:space="preserve"> </w:t>
      </w:r>
      <w:r>
        <w:t xml:space="preserve">MPP rejected the earlier</w:t>
      </w:r>
      <w:r>
        <w:t xml:space="preserve"> </w:t>
      </w:r>
      <w:r>
        <w:t xml:space="preserve">“auto-hold LOT + supervisor override”</w:t>
      </w:r>
      <w:r>
        <w:t xml:space="preserve"> </w:t>
      </w:r>
      <w:r>
        <w:t xml:space="preserve">direction at the 2026-04-20 review. The revised model stops the operation,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 (no PIN).</w:t>
      </w:r>
    </w:p>
    <w:bookmarkStart w:id="273"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73"/>
    <w:bookmarkStart w:id="274"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31"/>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31"/>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31"/>
        </w:numPr>
      </w:pPr>
      <w:r>
        <w:t xml:space="preserve">Route to escalation per FDS-10-009 / FDS-10-010 based on failure count and failure type.</w:t>
      </w:r>
    </w:p>
    <w:p>
      <w:pPr>
        <w:pStyle w:val="Compact"/>
        <w:numPr>
          <w:ilvl w:val="0"/>
          <w:numId w:val="1031"/>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31"/>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(OI-04 revised; FRS 3.16.10 semantics retained at the event level.)</w:t>
      </w:r>
    </w:p>
    <w:bookmarkEnd w:id="274"/>
    <w:bookmarkStart w:id="275"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32"/>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32"/>
        </w:numPr>
      </w:pPr>
      <w:r>
        <w:t xml:space="preserve">Require supervisor AD elevation (FDS-04-007) before production can resume on that cell.</w:t>
      </w:r>
    </w:p>
    <w:p>
      <w:pPr>
        <w:pStyle w:val="Compact"/>
        <w:numPr>
          <w:ilvl w:val="0"/>
          <w:numId w:val="1032"/>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5"/>
    <w:bookmarkStart w:id="276"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(OI-04 direction: this is a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SHALL be configurable per defect type via</w:t>
      </w:r>
      <w:r>
        <w:t xml:space="preserve"> </w:t>
      </w:r>
      <w:r>
        <w:rPr>
          <w:rStyle w:val="VerbatimChar"/>
        </w:rPr>
        <w:t xml:space="preserve">Quality.DefectCode.LeaderFlagOnFirstOccurrence BIT</w:t>
      </w:r>
      <w:r>
        <w:t xml:space="preserve"> </w:t>
      </w:r>
      <w:r>
        <w:t xml:space="preserve">(new column, nullable — NULL means</w:t>
      </w:r>
      <w:r>
        <w:t xml:space="preserve"> </w:t>
      </w:r>
      <w:r>
        <w:t xml:space="preserve">“no immediate flag, use FDS-10-009 threshold”</w:t>
      </w:r>
      <w:r>
        <w:t xml:space="preserve">). Seed data sets wrong-part defect codes to</w:t>
      </w:r>
      <w:r>
        <w:t xml:space="preserve"> </w:t>
      </w:r>
      <w:r>
        <w:rPr>
          <w:rStyle w:val="VerbatimChar"/>
        </w:rPr>
        <w:t xml:space="preserve">1</w:t>
      </w:r>
      <w:r>
        <w:t xml:space="preserve">; orientation and disposition codes to</w:t>
      </w:r>
      <w:r>
        <w:t xml:space="preserve"> </w:t>
      </w:r>
      <w:r>
        <w:rPr>
          <w:rStyle w:val="VerbatimChar"/>
        </w:rPr>
        <w:t xml:space="preserve">0</w:t>
      </w:r>
      <w:r>
        <w:t xml:space="preserve"> </w:t>
      </w:r>
      <w:r>
        <w:t xml:space="preserve">or NULL.</w:t>
      </w:r>
    </w:p>
    <w:bookmarkEnd w:id="276"/>
    <w:bookmarkStart w:id="277"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33"/>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33"/>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(OI-04 revised; FRS 3.16.10)</w:t>
      </w:r>
    </w:p>
    <w:bookmarkEnd w:id="277"/>
    <w:bookmarkStart w:id="278"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34"/>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34"/>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34"/>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34"/>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34"/>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addenda in Phase E) — this FDS requirement captures the PLC-side and escalation-side behaviour only. (OI-04 revised; FRS 3.16.10 + MPP 2026-04-20</w:t>
      </w:r>
      <w:r>
        <w:t xml:space="preserve"> </w:t>
      </w:r>
      <w:r>
        <w:t xml:space="preserve">“CRT = 200% inspect”</w:t>
      </w:r>
      <w:r>
        <w:t xml:space="preserve">)</w:t>
      </w:r>
    </w:p>
    <w:bookmarkEnd w:id="278"/>
    <w:bookmarkEnd w:id="279"/>
    <w:bookmarkStart w:id="281" w:name="scale-integration"/>
    <w:p>
      <w:pPr>
        <w:pStyle w:val="Heading3"/>
      </w:pPr>
      <w:r>
        <w:t xml:space="preserve">10.4 Scale Integration</w:t>
      </w:r>
    </w:p>
    <w:bookmarkStart w:id="280"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80"/>
    <w:bookmarkEnd w:id="281"/>
    <w:bookmarkStart w:id="284" w:name="barcode-integration"/>
    <w:p>
      <w:pPr>
        <w:pStyle w:val="Heading3"/>
      </w:pPr>
      <w:r>
        <w:t xml:space="preserve">10.5 Barcode Integration</w:t>
      </w:r>
    </w:p>
    <w:bookmarkStart w:id="282"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82"/>
    <w:bookmarkStart w:id="283"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83"/>
    <w:bookmarkEnd w:id="284"/>
    <w:bookmarkEnd w:id="285"/>
    <w:bookmarkStart w:id="301" w:name="audit-logging-mvp"/>
    <w:p>
      <w:pPr>
        <w:pStyle w:val="Heading2"/>
      </w:pPr>
      <w:r>
        <w:t xml:space="preserve">11. Audit &amp; Logging —</w:t>
      </w:r>
      <w:r>
        <w:t xml:space="preserve"> </w:t>
      </w:r>
      <w:r>
        <w:rPr>
          <w:rStyle w:val="VerbatimChar"/>
        </w:rPr>
        <w:t xml:space="preserve">MVP</w:t>
      </w:r>
    </w:p>
    <w:bookmarkStart w:id="286"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86"/>
    <w:bookmarkStart w:id="292" w:name="log-types"/>
    <w:p>
      <w:pPr>
        <w:pStyle w:val="Heading3"/>
      </w:pPr>
      <w:r>
        <w:t xml:space="preserve">11.2 Log Types</w:t>
      </w:r>
    </w:p>
    <w:bookmarkStart w:id="287"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87"/>
    <w:bookmarkStart w:id="288"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88"/>
    <w:bookmarkStart w:id="289"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89"/>
    <w:bookmarkStart w:id="290"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90"/>
    <w:bookmarkStart w:id="291"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91"/>
    <w:bookmarkEnd w:id="292"/>
    <w:bookmarkStart w:id="297" w:name="normalized-vocabularies"/>
    <w:p>
      <w:pPr>
        <w:pStyle w:val="Heading3"/>
      </w:pPr>
      <w:r>
        <w:t xml:space="preserve">11.3 Normalized Vocabularies</w:t>
      </w:r>
    </w:p>
    <w:bookmarkStart w:id="293"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93"/>
    <w:bookmarkStart w:id="294"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4"/>
    <w:bookmarkStart w:id="295"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95"/>
    <w:bookmarkStart w:id="296"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35"/>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35"/>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35"/>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35"/>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296"/>
    <w:bookmarkEnd w:id="297"/>
    <w:bookmarkStart w:id="300" w:name="data-retention"/>
    <w:p>
      <w:pPr>
        <w:pStyle w:val="Heading3"/>
      </w:pPr>
      <w:r>
        <w:t xml:space="preserve">11.4 Data Retention</w:t>
      </w:r>
    </w:p>
    <w:bookmarkStart w:id="298"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98"/>
    <w:bookmarkStart w:id="299"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99"/>
    <w:bookmarkEnd w:id="300"/>
    <w:bookmarkEnd w:id="301"/>
    <w:bookmarkStart w:id="321" w:name="reporting-mvp"/>
    <w:p>
      <w:pPr>
        <w:pStyle w:val="Heading2"/>
      </w:pPr>
      <w:r>
        <w:t xml:space="preserve">12. Reporting —</w:t>
      </w:r>
      <w:r>
        <w:t xml:space="preserve"> </w:t>
      </w:r>
      <w:r>
        <w:rPr>
          <w:rStyle w:val="VerbatimChar"/>
        </w:rPr>
        <w:t xml:space="preserve">MVP</w:t>
      </w:r>
    </w:p>
    <w:bookmarkStart w:id="302"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302"/>
    <w:bookmarkStart w:id="307" w:name="traceability-reports"/>
    <w:p>
      <w:pPr>
        <w:pStyle w:val="Heading3"/>
      </w:pPr>
      <w:r>
        <w:t xml:space="preserve">12.2 Traceability Reports</w:t>
      </w:r>
    </w:p>
    <w:bookmarkStart w:id="303"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03"/>
    <w:bookmarkStart w:id="304"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4"/>
    <w:bookmarkStart w:id="305"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05"/>
    <w:bookmarkStart w:id="306"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06"/>
    <w:bookmarkEnd w:id="307"/>
    <w:bookmarkStart w:id="312" w:name="X20e5703298e30073c8ffa1040c87c727e57d853"/>
    <w:p>
      <w:pPr>
        <w:pStyle w:val="Heading3"/>
      </w:pPr>
      <w:r>
        <w:t xml:space="preserve">12.3 Production Reports (Replacing Productivity DB)</w:t>
      </w:r>
    </w:p>
    <w:bookmarkStart w:id="308"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08"/>
    <w:bookmarkStart w:id="309"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09"/>
    <w:bookmarkStart w:id="310"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10"/>
    <w:bookmarkStart w:id="311"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11"/>
    <w:bookmarkEnd w:id="312"/>
    <w:bookmarkStart w:id="316" w:name="operational-reports"/>
    <w:p>
      <w:pPr>
        <w:pStyle w:val="Heading3"/>
      </w:pPr>
      <w:r>
        <w:t xml:space="preserve">12.4 Operational Reports</w:t>
      </w:r>
    </w:p>
    <w:bookmarkStart w:id="313"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13"/>
    <w:bookmarkStart w:id="314"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4"/>
    <w:bookmarkStart w:id="315"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15"/>
    <w:bookmarkEnd w:id="316"/>
    <w:bookmarkStart w:id="320" w:name="global-trace-tool-mvp-new-in-v0.10-oi-15"/>
    <w:p>
      <w:pPr>
        <w:pStyle w:val="Heading3"/>
      </w:pPr>
      <w:r>
        <w:t xml:space="preserve">12.5 Global Trace Tool —</w:t>
      </w:r>
      <w:r>
        <w:t xml:space="preserve"> </w:t>
      </w:r>
      <w:r>
        <w:rPr>
          <w:rStyle w:val="VerbatimChar"/>
        </w:rPr>
        <w:t xml:space="preserve">MVP</w:t>
      </w:r>
      <w:r>
        <w:t xml:space="preserve"> </w:t>
      </w:r>
      <w:r>
        <w:t xml:space="preserve">(new in v0.10, OI-15)</w:t>
      </w:r>
    </w:p>
    <w:bookmarkStart w:id="317"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17"/>
    <w:bookmarkStart w:id="318"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36"/>
        </w:numPr>
      </w:pPr>
      <w:r>
        <w:t xml:space="preserve">LOT</w:t>
      </w:r>
      <w:r>
        <w:t xml:space="preserve"> </w:t>
      </w:r>
      <w:r>
        <w:rPr>
          <w:rStyle w:val="VerbatimChar"/>
        </w:rPr>
        <w:t xml:space="preserve">LotName</w:t>
      </w:r>
      <w:r>
        <w:t xml:space="preserve"> </w:t>
      </w:r>
      <w:r>
        <w:t xml:space="preserve">(LTT barcode)</w:t>
      </w:r>
    </w:p>
    <w:p>
      <w:pPr>
        <w:pStyle w:val="Compact"/>
        <w:numPr>
          <w:ilvl w:val="0"/>
          <w:numId w:val="1036"/>
        </w:numPr>
      </w:pPr>
      <w:r>
        <w:t xml:space="preserve">Sub-LOT</w:t>
      </w:r>
      <w:r>
        <w:t xml:space="preserve"> </w:t>
      </w:r>
      <w:r>
        <w:rPr>
          <w:rStyle w:val="VerbatimChar"/>
        </w:rPr>
        <w:t xml:space="preserve">LotName</w:t>
      </w:r>
    </w:p>
    <w:p>
      <w:pPr>
        <w:pStyle w:val="Compact"/>
        <w:numPr>
          <w:ilvl w:val="0"/>
          <w:numId w:val="1036"/>
        </w:numPr>
      </w:pPr>
      <w:r>
        <w:t xml:space="preserve">Serialized part serial number (</w:t>
      </w:r>
      <w:r>
        <w:rPr>
          <w:rStyle w:val="VerbatimChar"/>
        </w:rPr>
        <w:t xml:space="preserve">SerializedPart.SerialNumber</w:t>
      </w:r>
      <w:r>
        <w:t xml:space="preserve">)</w:t>
      </w:r>
    </w:p>
    <w:p>
      <w:pPr>
        <w:pStyle w:val="Compact"/>
        <w:numPr>
          <w:ilvl w:val="0"/>
          <w:numId w:val="1036"/>
        </w:numPr>
      </w:pPr>
      <w:r>
        <w:t xml:space="preserve">Container</w:t>
      </w:r>
      <w:r>
        <w:t xml:space="preserve"> </w:t>
      </w:r>
      <w:r>
        <w:rPr>
          <w:rStyle w:val="VerbatimChar"/>
        </w:rPr>
        <w:t xml:space="preserve">ContainerName</w:t>
      </w:r>
    </w:p>
    <w:p>
      <w:pPr>
        <w:pStyle w:val="Compact"/>
        <w:numPr>
          <w:ilvl w:val="0"/>
          <w:numId w:val="1036"/>
        </w:numPr>
      </w:pPr>
      <w:r>
        <w:t xml:space="preserve">AIM shipper ID (</w:t>
      </w:r>
      <w:r>
        <w:rPr>
          <w:rStyle w:val="VerbatimChar"/>
        </w:rPr>
        <w:t xml:space="preserve">ContainerShippingLabel.ShipperId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18"/>
    <w:bookmarkStart w:id="319"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37"/>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37"/>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37"/>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37"/>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37"/>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37"/>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19"/>
    <w:bookmarkEnd w:id="320"/>
    <w:bookmarkEnd w:id="321"/>
    <w:bookmarkStart w:id="332" w:name="external-system-interfaces-mixed-scope"/>
    <w:p>
      <w:pPr>
        <w:pStyle w:val="Heading2"/>
      </w:pPr>
      <w:r>
        <w:t xml:space="preserve">13. External System Interfaces — MIXED SCOPE</w:t>
      </w:r>
    </w:p>
    <w:bookmarkStart w:id="325" w:name="aim-honda-edi-mvp"/>
    <w:p>
      <w:pPr>
        <w:pStyle w:val="Heading3"/>
      </w:pPr>
      <w:r>
        <w:t xml:space="preserve">13.1 AIM (Honda EDI) —</w:t>
      </w:r>
      <w:r>
        <w:t xml:space="preserve"> </w:t>
      </w:r>
      <w:r>
        <w:rPr>
          <w:rStyle w:val="VerbatimChar"/>
        </w:rPr>
        <w:t xml:space="preserve">MVP</w:t>
      </w:r>
    </w:p>
    <w:bookmarkStart w:id="322"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22"/>
    <w:bookmarkStart w:id="323"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323"/>
    <w:bookmarkStart w:id="324"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24"/>
    <w:bookmarkEnd w:id="325"/>
    <w:bookmarkStart w:id="327" w:name="macola-erp-future"/>
    <w:p>
      <w:pPr>
        <w:pStyle w:val="Heading3"/>
      </w:pPr>
      <w:r>
        <w:t xml:space="preserve">13.2 Macola ERP —</w:t>
      </w:r>
      <w:r>
        <w:t xml:space="preserve"> </w:t>
      </w:r>
      <w:r>
        <w:rPr>
          <w:rStyle w:val="VerbatimChar"/>
        </w:rPr>
        <w:t xml:space="preserve">FUTURE</w:t>
      </w:r>
    </w:p>
    <w:bookmarkStart w:id="326"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26"/>
    <w:bookmarkEnd w:id="327"/>
    <w:bookmarkStart w:id="329" w:name="intelex-quality-management-future"/>
    <w:p>
      <w:pPr>
        <w:pStyle w:val="Heading3"/>
      </w:pPr>
      <w:r>
        <w:t xml:space="preserve">13.3 Intelex (Quality Management) —</w:t>
      </w:r>
      <w:r>
        <w:t xml:space="preserve"> </w:t>
      </w:r>
      <w:r>
        <w:rPr>
          <w:rStyle w:val="VerbatimChar"/>
        </w:rPr>
        <w:t xml:space="preserve">FUTURE</w:t>
      </w:r>
    </w:p>
    <w:bookmarkStart w:id="328"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28"/>
    <w:bookmarkEnd w:id="329"/>
    <w:bookmarkStart w:id="331" w:name="scada-process-dashboards-future"/>
    <w:p>
      <w:pPr>
        <w:pStyle w:val="Heading3"/>
      </w:pPr>
      <w:r>
        <w:t xml:space="preserve">13.4 SCADA / Process Dashboards —</w:t>
      </w:r>
      <w:r>
        <w:t xml:space="preserve"> </w:t>
      </w:r>
      <w:r>
        <w:rPr>
          <w:rStyle w:val="VerbatimChar"/>
        </w:rPr>
        <w:t xml:space="preserve">FUTURE</w:t>
      </w:r>
    </w:p>
    <w:bookmarkStart w:id="330"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30"/>
    <w:bookmarkEnd w:id="331"/>
    <w:bookmarkEnd w:id="332"/>
    <w:bookmarkStart w:id="339" w:name="data-migration-conditional"/>
    <w:p>
      <w:pPr>
        <w:pStyle w:val="Heading2"/>
      </w:pPr>
      <w:r>
        <w:t xml:space="preserve">14. Data Migration —</w:t>
      </w:r>
      <w:r>
        <w:t xml:space="preserve"> </w:t>
      </w:r>
      <w:r>
        <w:rPr>
          <w:rStyle w:val="VerbatimChar"/>
        </w:rPr>
        <w:t xml:space="preserve">CONDITIONAL</w:t>
      </w:r>
    </w:p>
    <w:bookmarkStart w:id="338"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33"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33"/>
    <w:bookmarkStart w:id="334"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34"/>
    <w:bookmarkStart w:id="335"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35"/>
    <w:bookmarkStart w:id="336"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36"/>
    <w:bookmarkStart w:id="337" w:name="fds-14-005-flexware-bom-import-oi-13-mvp"/>
    <w:p>
      <w:pPr>
        <w:pStyle w:val="Heading4"/>
      </w:pPr>
      <w:r>
        <w:t xml:space="preserve">FDS-14-005 — Flexware BOM Import (OI-13) —</w:t>
      </w:r>
      <w:r>
        <w:t xml:space="preserve"> </w:t>
      </w:r>
      <w:r>
        <w:rPr>
          <w:rStyle w:val="VerbatimChar"/>
        </w:rPr>
        <w:t xml:space="preserve">MVP</w:t>
      </w:r>
    </w:p>
    <w:p>
      <w:pPr>
        <w:pStyle w:val="FirstParagraph"/>
      </w:pPr>
      <w:r>
        <w:rPr>
          <w:b/>
          <w:bCs/>
        </w:rPr>
        <w:t xml:space="preserve">OI-13 (new v0.10):</w:t>
      </w:r>
      <w:r>
        <w:t xml:space="preserve"> </w:t>
      </w: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38"/>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38"/>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38"/>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38"/>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37"/>
    <w:bookmarkEnd w:id="338"/>
    <w:bookmarkEnd w:id="339"/>
    <w:bookmarkStart w:id="350" w:name="deployment-commissioning-mvp"/>
    <w:p>
      <w:pPr>
        <w:pStyle w:val="Heading2"/>
      </w:pPr>
      <w:r>
        <w:t xml:space="preserve">15. Deployment &amp; Commissioning —</w:t>
      </w:r>
      <w:r>
        <w:t xml:space="preserve"> </w:t>
      </w:r>
      <w:r>
        <w:rPr>
          <w:rStyle w:val="VerbatimChar"/>
        </w:rPr>
        <w:t xml:space="preserve">MVP</w:t>
      </w:r>
    </w:p>
    <w:bookmarkStart w:id="346" w:name="deployment-approach"/>
    <w:p>
      <w:pPr>
        <w:pStyle w:val="Heading3"/>
      </w:pPr>
      <w:r>
        <w:t xml:space="preserve">15.1 Deployment Approach</w:t>
      </w:r>
    </w:p>
    <w:bookmarkStart w:id="340"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40"/>
    <w:bookmarkStart w:id="341"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41"/>
    <w:bookmarkStart w:id="342"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42"/>
    <w:bookmarkStart w:id="343"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43"/>
    <w:bookmarkStart w:id="344"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44"/>
    <w:bookmarkStart w:id="345"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45"/>
    <w:bookmarkEnd w:id="346"/>
    <w:bookmarkStart w:id="349" w:name="change-management"/>
    <w:p>
      <w:pPr>
        <w:pStyle w:val="Heading3"/>
      </w:pPr>
      <w:r>
        <w:t xml:space="preserve">15.2 Change Management</w:t>
      </w:r>
    </w:p>
    <w:bookmarkStart w:id="347"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47"/>
    <w:bookmarkStart w:id="348"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48"/>
    <w:bookmarkEnd w:id="349"/>
    <w:bookmarkEnd w:id="350"/>
    <w:bookmarkStart w:id="354" w:name="X8a16a0183f1595dd9617c9a3941ffd7274aecd0"/>
    <w:p>
      <w:pPr>
        <w:pStyle w:val="Heading2"/>
      </w:pPr>
      <w:r>
        <w:t xml:space="preserve">16. Identifier Sequences —</w:t>
      </w:r>
      <w:r>
        <w:t xml:space="preserve"> </w:t>
      </w:r>
      <w:r>
        <w:rPr>
          <w:rStyle w:val="VerbatimChar"/>
        </w:rPr>
        <w:t xml:space="preserve">MVP</w:t>
      </w:r>
      <w:r>
        <w:t xml:space="preserve"> </w:t>
      </w:r>
      <w:r>
        <w:t xml:space="preserve">(new in v0.11, OI-31)</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51"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51"/>
    <w:bookmarkStart w:id="352"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39"/>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39"/>
        </w:numPr>
      </w:pPr>
      <w:r>
        <w:t xml:space="preserve">Raise a business-rule error if no rows match (</w:t>
      </w:r>
      <w:r>
        <w:rPr>
          <w:rStyle w:val="VerbatimChar"/>
        </w:rPr>
        <w:t xml:space="preserve">@Code</w:t>
      </w:r>
      <w:r>
        <w:t xml:space="preserve"> </w:t>
      </w:r>
      <w:r>
        <w:t xml:space="preserve">unknown).</w:t>
      </w:r>
    </w:p>
    <w:p>
      <w:pPr>
        <w:pStyle w:val="Compact"/>
        <w:numPr>
          <w:ilvl w:val="0"/>
          <w:numId w:val="1039"/>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39"/>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39"/>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52"/>
    <w:bookmarkStart w:id="353" w:name="fds-16-003-cutover-day-seeding"/>
    <w:p>
      <w:pPr>
        <w:pStyle w:val="Heading4"/>
      </w:pPr>
      <w:r>
        <w:t xml:space="preserve">FDS-16-003 — Cutover-Day Seeding</w:t>
      </w:r>
    </w:p>
    <w:p>
      <w:pPr>
        <w:pStyle w:val="FirstParagraph"/>
      </w:pPr>
      <w:r>
        <w:t xml:space="preserve">The Arc 2 Phase 1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b/>
          <w:bCs/>
        </w:rPr>
        <w:t xml:space="preserve">or above</w:t>
      </w:r>
      <w:r>
        <w:t xml:space="preserve"> </w:t>
      </w:r>
      <w:r>
        <w:t xml:space="preserve">the Flexware value for each sequence, preventing LTT collisions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items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prefixes in the replacement MES?), reset policy (currently none in Flexware; any line/shift-specific rules MPP wants honored going forward?), rollover policy at 9,999,999 (~30+ years at current burn rate for Lots).</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53"/>
    <w:bookmarkEnd w:id="354"/>
    <w:bookmarkStart w:id="363" w:name="appendices"/>
    <w:p>
      <w:pPr>
        <w:pStyle w:val="Heading2"/>
      </w:pPr>
      <w:r>
        <w:t xml:space="preserve">Appendices</w:t>
      </w:r>
    </w:p>
    <w:bookmarkStart w:id="355"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55"/>
    <w:bookmarkStart w:id="356"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56"/>
    <w:bookmarkStart w:id="357"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57"/>
    <w:bookmarkStart w:id="358"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58"/>
    <w:bookmarkStart w:id="359"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59"/>
    <w:bookmarkStart w:id="360"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60"/>
    <w:bookmarkStart w:id="361"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61"/>
    <w:bookmarkStart w:id="362"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62"/>
    <w:bookmarkEnd w:id="363"/>
    <w:bookmarkStart w:id="364" w:name="open-items-register"/>
    <w:p>
      <w:pPr>
        <w:pStyle w:val="Heading2"/>
      </w:pPr>
      <w:r>
        <w:t xml:space="preserve">Open Items Register</w:t>
      </w:r>
    </w:p>
    <w:p>
      <w:pPr>
        <w:pStyle w:val="BlockText"/>
      </w:pPr>
      <w:r>
        <w:t xml:space="preserve">This grid is a status summary. Full per-item design rationale, options considered, and revised-decision text live in</w:t>
      </w:r>
      <w:r>
        <w:t xml:space="preserve"> </w:t>
      </w:r>
      <w:r>
        <w:rPr>
          <w:rStyle w:val="VerbatimChar"/>
        </w:rPr>
        <w:t xml:space="preserve">MPP_MES_Open_Issues_Register.md</w:t>
      </w:r>
      <w:r>
        <w:t xml:space="preserve"> </w:t>
      </w:r>
      <w:r>
        <w:t xml:space="preserve">v2.4 — the authoritative source regenerated after the 2026-04-20 MPP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 (</w:t>
            </w:r>
            <w:r>
              <w:rPr>
                <w:rStyle w:val="VerbatimChar"/>
              </w:rPr>
              <w:t xml:space="preserve">ClosureMethod</w:t>
            </w:r>
            <w:r>
              <w:t xml:space="preserve">,</w:t>
            </w:r>
            <w:r>
              <w:t xml:space="preserve"> </w:t>
            </w:r>
            <w:r>
              <w:rPr>
                <w:rStyle w:val="VerbatimChar"/>
              </w:rPr>
              <w:t xml:space="preserve">TargetWeight</w:t>
            </w:r>
            <w:r>
              <w:t xml:space="preserve"> </w:t>
            </w:r>
            <w:r>
              <w:t xml:space="preserve">nullable on</w:t>
            </w:r>
            <w:r>
              <w:t xml:space="preserve"> </w:t>
            </w:r>
            <w:r>
              <w:rPr>
                <w:rStyle w:val="VerbatimChar"/>
              </w:rPr>
              <w:t xml:space="preserve">ContainerConfig</w:t>
            </w:r>
            <w:r>
              <w:t xml:space="preserve"> </w:t>
            </w:r>
            <w:r>
              <w:t xml:space="preserve">pending customer validation)</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w:t>
            </w:r>
            <w:r>
              <w:t xml:space="preserve"> </w:t>
            </w:r>
            <w:r>
              <w:rPr>
                <w:b/>
                <w:bCs/>
              </w:rPr>
              <w:t xml:space="preserve">Resolved 2026-04-20:</w:t>
            </w:r>
            <w:r>
              <w:t xml:space="preserve"> </w:t>
            </w:r>
            <w:r>
              <w:t xml:space="preserve">availability derived from events, no minute adjustments, schedule import from MPP spreadsheet</w:t>
            </w:r>
          </w:p>
        </w:tc>
        <w:tc>
          <w:tcPr/>
          <w:p>
            <w:pPr>
              <w:pStyle w:val="Compact"/>
            </w:pPr>
            <w:r>
              <w:t xml:space="preserve">MPP Production Control</w:t>
            </w:r>
          </w:p>
        </w:tc>
        <w:tc>
          <w:tcPr/>
          <w:p>
            <w:pPr>
              <w:pStyle w:val="Compact"/>
            </w:pPr>
            <w:r>
              <w:t xml:space="preserve">✅ Resolved</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 operator conflict —</w:t>
            </w:r>
            <w:r>
              <w:t xml:space="preserve"> </w:t>
            </w:r>
            <w:r>
              <w:rPr>
                <w:b/>
                <w:bCs/>
              </w:rPr>
              <w:t xml:space="preserve">Revised 2026-04-20:</w:t>
            </w:r>
            <w:r>
              <w:t xml:space="preserve"> </w:t>
            </w:r>
            <w:r>
              <w:t xml:space="preserve">line-stop (not LOT-hold), 10-consecutive-fail escalation, branch by failure type, CRT 200%-inspect release</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Revised — In Review</w:t>
            </w:r>
          </w:p>
        </w:tc>
      </w:tr>
      <w:tr>
        <w:tc>
          <w:tcPr/>
          <w:p>
            <w:pPr>
              <w:pStyle w:val="Compact"/>
            </w:pPr>
            <w:r>
              <w:rPr>
                <w:b/>
                <w:bCs/>
              </w:rPr>
              <w:t xml:space="preserve">OI-05</w:t>
            </w:r>
          </w:p>
        </w:tc>
        <w:tc>
          <w:tcPr/>
          <w:p>
            <w:pPr>
              <w:pStyle w:val="Compact"/>
            </w:pPr>
            <w:r>
              <w:t xml:space="preserve">5.5</w:t>
            </w:r>
          </w:p>
        </w:tc>
        <w:tc>
          <w:tcPr/>
          <w:p>
            <w:pPr>
              <w:pStyle w:val="Compact"/>
            </w:pPr>
            <w:r>
              <w:t xml:space="preserve">LOT merge rules —</w:t>
            </w:r>
            <w:r>
              <w:t xml:space="preserve"> </w:t>
            </w:r>
            <w:r>
              <w:rPr>
                <w:b/>
                <w:bCs/>
              </w:rPr>
              <w:t xml:space="preserve">Revised 2026-04-20:</w:t>
            </w:r>
            <w:r>
              <w:t xml:space="preserve"> </w:t>
            </w:r>
            <w:r>
              <w:t xml:space="preserve">post-sort only, same part, cross-die gated by</w:t>
            </w:r>
            <w:r>
              <w:t xml:space="preserve"> </w:t>
            </w:r>
            <w:r>
              <w:rPr>
                <w:rStyle w:val="VerbatimChar"/>
              </w:rPr>
              <w:t xml:space="preserve">Tools.DieRankCompatibility</w:t>
            </w:r>
            <w:r>
              <w:t xml:space="preserve"> </w:t>
            </w:r>
            <w:r>
              <w:t xml:space="preserve">(matrix empty pending MPP Quality), FIFO-by-cavity on machining</w:t>
            </w:r>
          </w:p>
        </w:tc>
        <w:tc>
          <w:tcPr/>
          <w:p>
            <w:pPr>
              <w:pStyle w:val="Compact"/>
            </w:pPr>
            <w:r>
              <w:t xml:space="preserve">MPP Production Control / Quality</w:t>
            </w:r>
          </w:p>
        </w:tc>
        <w:tc>
          <w:tcPr/>
          <w:p>
            <w:pPr>
              <w:pStyle w:val="Compact"/>
            </w:pPr>
            <w:r>
              <w:t xml:space="preserve">🔶 Revised — Matrix pending</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 (entire)</w:t>
            </w:r>
          </w:p>
        </w:tc>
        <w:tc>
          <w:tcPr>
            <w:shd w:val="clear" w:color="auto" w:fill="F2F2F2"/>
          </w:tcPr>
          <w:tcPr/>
          <w:p>
            <w:pPr>
              <w:pStyle w:val="Compact"/>
            </w:pPr>
            <w:r>
              <w:t xml:space="preserve">Operator identity —</w:t>
            </w:r>
            <w:r>
              <w:t xml:space="preserve"> </w:t>
            </w:r>
            <w:r>
              <w:rPr>
                <w:b/>
                <w:bCs/>
              </w:rPr>
              <w:t xml:space="preserve">Resolved 2026-04-21 (Phase C):</w:t>
            </w:r>
            <w:r>
              <w:t xml:space="preserve"> </w:t>
            </w:r>
            <w:r>
              <w:t xml:space="preserve">initials-only operator presence, per-action AD elevation for interactive users, no PIN/clock number</w:t>
            </w:r>
          </w:p>
        </w:tc>
        <w:tc>
          <w:tcPr>
            <w:shd w:val="clear" w:color="auto" w:fill="F2F2F2"/>
          </w:tcPr>
          <w:tcPr/>
          <w:p>
            <w:pPr>
              <w:pStyle w:val="Compact"/>
            </w:pPr>
            <w:r>
              <w:t xml:space="preserve">MPP Operations</w:t>
            </w:r>
          </w:p>
        </w:tc>
        <w:tc>
          <w:tcPr>
            <w:shd w:val="clear" w:color="auto" w:fill="F2F2F2"/>
          </w:tcPr>
          <w:tcPr/>
          <w:p>
            <w:pPr>
              <w:pStyle w:val="Compact"/>
            </w:pPr>
            <w:r>
              <w:t xml:space="preserve">✅ Resolved</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w:t>
            </w:r>
            <w:r>
              <w:t xml:space="preserve"> </w:t>
            </w:r>
            <w:r>
              <w:rPr>
                <w:b/>
                <w:bCs/>
              </w:rPr>
              <w:t xml:space="preserve">Revised 2026-04-20:</w:t>
            </w:r>
            <w:r>
              <w:t xml:space="preserve"> </w:t>
            </w:r>
            <w:r>
              <w:t xml:space="preserve">three WO types (Demand / Maintenance / Recipe), Maintenance flow FUTURE (schema hook only), Ben owes maintenance-engine scope</w:t>
            </w:r>
          </w:p>
        </w:tc>
        <w:tc>
          <w:tcPr/>
          <w:p>
            <w:pPr>
              <w:pStyle w:val="Compact"/>
            </w:pPr>
            <w:r>
              <w:t xml:space="preserve">MPP / Ben (MPP)</w:t>
            </w:r>
          </w:p>
        </w:tc>
        <w:tc>
          <w:tcPr/>
          <w:p>
            <w:pPr>
              <w:pStyle w:val="Compact"/>
            </w:pPr>
            <w:r>
              <w:t xml:space="preserve">🔶 Revised — Ben owes scope</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w:t>
            </w:r>
            <w:r>
              <w:t xml:space="preserve"> </w:t>
            </w:r>
            <w:r>
              <w:rPr>
                <w:b/>
                <w:bCs/>
              </w:rPr>
              <w:t xml:space="preserve">Closed 2026-04-24:</w:t>
            </w:r>
            <w:r>
              <w:t xml:space="preserve"> </w:t>
            </w:r>
            <w:r>
              <w:t xml:space="preserve">dedicated vs shared derived from Terminal’s parent Location tier (WorkCenter/Cell → Dedicated; Area → Shared); machine-context lock; part↔machine validity via</w:t>
            </w:r>
            <w:r>
              <w:t xml:space="preserve"> </w:t>
            </w:r>
            <w:r>
              <w:rPr>
                <w:rStyle w:val="VerbatimChar"/>
              </w:rPr>
              <w:t xml:space="preserve">Parts.ItemLocation</w:t>
            </w:r>
            <w:r>
              <w:t xml:space="preserve">; tablets in Casting</w:t>
            </w:r>
          </w:p>
        </w:tc>
        <w:tc>
          <w:tcPr>
            <w:shd w:val="clear" w:color="auto" w:fill="F2F2F2"/>
          </w:tcPr>
          <w:tcPr/>
          <w:p>
            <w:pPr>
              <w:pStyle w:val="Compact"/>
            </w:pPr>
            <w:r>
              <w:t xml:space="preserve">MPP IT / Operations</w:t>
            </w:r>
          </w:p>
        </w:tc>
        <w:tc>
          <w:tcPr>
            <w:shd w:val="clear" w:color="auto" w:fill="F2F2F2"/>
          </w:tcPr>
          <w:tcPr/>
          <w:p>
            <w:pPr>
              <w:pStyle w:val="Compact"/>
            </w:pPr>
            <w:r>
              <w:t xml:space="preserve">✅ Closed</w:t>
            </w:r>
          </w:p>
        </w:tc>
      </w:tr>
      <w:tr>
        <w:tc>
          <w:tcPr/>
          <w:p>
            <w:pPr>
              <w:pStyle w:val="Compact"/>
            </w:pPr>
            <w:r>
              <w:rPr>
                <w:b/>
                <w:bCs/>
              </w:rPr>
              <w:t xml:space="preserve">OI-09</w:t>
            </w:r>
          </w:p>
        </w:tc>
        <w:tc>
          <w:tcPr/>
          <w:p>
            <w:pPr>
              <w:pStyle w:val="Compact"/>
            </w:pPr>
            <w:r>
              <w:t xml:space="preserve">3.6, 5.4</w:t>
            </w:r>
          </w:p>
        </w:tc>
        <w:tc>
          <w:tcPr/>
          <w:p>
            <w:pPr>
              <w:pStyle w:val="Compact"/>
            </w:pPr>
            <w:r>
              <w:t xml:space="preserve">Multi-part lines —</w:t>
            </w:r>
            <w:r>
              <w:t xml:space="preserve"> </w:t>
            </w:r>
            <w:r>
              <w:rPr>
                <w:b/>
                <w:bCs/>
              </w:rPr>
              <w:t xml:space="preserve">Revised 2026-04-20 (addenda):</w:t>
            </w:r>
            <w:r>
              <w:t xml:space="preserve"> </w:t>
            </w:r>
            <w:r>
              <w:t xml:space="preserve">sublot pattern formalised (parent FK, per-cavity concurrent sublots, label parent reference),</w:t>
            </w:r>
            <w:r>
              <w:t xml:space="preserve"> </w:t>
            </w:r>
            <w:r>
              <w:t xml:space="preserve">“one part at a time”</w:t>
            </w:r>
            <w:r>
              <w:t xml:space="preserve"> </w:t>
            </w:r>
            <w:r>
              <w:t xml:space="preserve">still holds</w:t>
            </w:r>
          </w:p>
        </w:tc>
        <w:tc>
          <w:tcPr/>
          <w:p>
            <w:pPr>
              <w:pStyle w:val="Compact"/>
            </w:pPr>
            <w:r>
              <w:t xml:space="preserve">MPP Engineering</w:t>
            </w:r>
          </w:p>
        </w:tc>
        <w:tc>
          <w:tcPr/>
          <w:p>
            <w:pPr>
              <w:pStyle w:val="Compact"/>
            </w:pPr>
            <w:r>
              <w:t xml:space="preserve">🔶 Revised — Addenda</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§7 Tools</w:t>
            </w:r>
          </w:p>
        </w:tc>
        <w:tc>
          <w:tcPr>
            <w:shd w:val="clear" w:color="auto" w:fill="F2F2F2"/>
          </w:tcPr>
          <w:tcPr/>
          <w:p>
            <w:pPr>
              <w:pStyle w:val="Compact"/>
            </w:pPr>
            <w:r>
              <w:t xml:space="preserve">Tool Life tracking —</w:t>
            </w:r>
            <w:r>
              <w:t xml:space="preserve"> </w:t>
            </w:r>
            <w:r>
              <w:rPr>
                <w:b/>
                <w:bCs/>
              </w:rPr>
              <w:t xml:space="preserve">Superseded 2026-04-21:</w:t>
            </w:r>
            <w:r>
              <w:t xml:space="preserve"> </w:t>
            </w:r>
            <w:r>
              <w:t xml:space="preserve">rolled into Phase B Tool Management design spec (Tools schema now first-class, v1.7 data model §7)</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Superseded</w:t>
            </w:r>
          </w:p>
        </w:tc>
      </w:tr>
      <w:tr>
        <w:tc>
          <w:tcPr/>
          <w:p>
            <w:pPr>
              <w:pStyle w:val="Compact"/>
            </w:pPr>
            <w:r>
              <w:rPr>
                <w:b/>
                <w:bCs/>
              </w:rPr>
              <w:t xml:space="preserve">OI-11</w:t>
            </w:r>
          </w:p>
        </w:tc>
        <w:tc>
          <w:tcPr/>
          <w:p>
            <w:pPr>
              <w:pStyle w:val="Compact"/>
            </w:pPr>
            <w:r>
              <w:t xml:space="preserve">TBD (Phase E)</w:t>
            </w:r>
          </w:p>
        </w:tc>
        <w:tc>
          <w:tcPr/>
          <w:p>
            <w:pPr>
              <w:pStyle w:val="Compact"/>
            </w:pPr>
            <w:r>
              <w:t xml:space="preserve">Part identity change at Casting → Trim Shop —</w:t>
            </w:r>
            <w:r>
              <w:t xml:space="preserve"> </w:t>
            </w:r>
            <w:r>
              <w:rPr>
                <w:b/>
                <w:bCs/>
              </w:rPr>
              <w:t xml:space="preserve">New 2026-04-20:</w:t>
            </w:r>
            <w:r>
              <w:t xml:space="preserve"> </w:t>
            </w:r>
            <w:r>
              <w:t xml:space="preserve">parts get renamed crossing that boundary; genealogy bridge via</w:t>
            </w:r>
            <w:r>
              <w:t xml:space="preserve"> </w:t>
            </w:r>
            <w:r>
              <w:rPr>
                <w:rStyle w:val="VerbatimChar"/>
              </w:rPr>
              <w:t xml:space="preserve">Parts.ItemTransform</w:t>
            </w:r>
            <w:r>
              <w:t xml:space="preserve"> </w:t>
            </w:r>
            <w:r>
              <w:t xml:space="preserve">proposed</w:t>
            </w:r>
          </w:p>
        </w:tc>
        <w:tc>
          <w:tcPr/>
          <w:p>
            <w:pPr>
              <w:pStyle w:val="Compact"/>
            </w:pPr>
            <w:r>
              <w:t xml:space="preserve">MPP Engineering / Blue Ridge</w:t>
            </w:r>
          </w:p>
        </w:tc>
        <w:tc>
          <w:tcPr/>
          <w:p>
            <w:pPr>
              <w:pStyle w:val="Compact"/>
            </w:pPr>
            <w:r>
              <w:t xml:space="preserve">⬜ Open (new)</w:t>
            </w:r>
          </w:p>
        </w:tc>
      </w:tr>
      <w:tr>
        <w:tc>
          <w:tcPr>
            <w:shd w:val="clear" w:color="auto" w:fill="F2F2F2"/>
          </w:tcPr>
          <w:tcPr/>
          <w:p>
            <w:pPr>
              <w:pStyle w:val="Compact"/>
            </w:pPr>
            <w:r>
              <w:rPr>
                <w:b/>
                <w:bCs/>
              </w:rPr>
              <w:t xml:space="preserve">OI-12</w:t>
            </w:r>
          </w:p>
        </w:tc>
        <w:tc>
          <w:tcPr>
            <w:shd w:val="clear" w:color="auto" w:fill="F2F2F2"/>
          </w:tcPr>
          <w:tcPr/>
          <w:p>
            <w:pPr>
              <w:pStyle w:val="Compact"/>
            </w:pPr>
            <w:r>
              <w:t xml:space="preserve">3 addenda (Phase E)</w:t>
            </w:r>
          </w:p>
        </w:tc>
        <w:tc>
          <w:tcPr>
            <w:shd w:val="clear" w:color="auto" w:fill="F2F2F2"/>
          </w:tcPr>
          <w:tcPr/>
          <w:p>
            <w:pPr>
              <w:pStyle w:val="Compact"/>
            </w:pPr>
            <w:r>
              <w:t xml:space="preserve">Lineside inventory caps —</w:t>
            </w:r>
            <w:r>
              <w:t xml:space="preserve"> </w:t>
            </w:r>
            <w:r>
              <w:rPr>
                <w:b/>
                <w:bCs/>
              </w:rPr>
              <w:t xml:space="preserve">New 2026-04-20:</w:t>
            </w:r>
            <w:r>
              <w:t xml:space="preserve"> </w:t>
            </w:r>
            <w:r>
              <w:t xml:space="preserve">max parts per basket (</w:t>
            </w:r>
            <w:r>
              <w:rPr>
                <w:rStyle w:val="VerbatimChar"/>
              </w:rPr>
              <w:t xml:space="preserve">ContainerConfig.MaxParts</w:t>
            </w:r>
            <w:r>
              <w:t xml:space="preserve">) + lineside quantity limit (Cell</w:t>
            </w:r>
            <w:r>
              <w:t xml:space="preserve"> </w:t>
            </w:r>
            <w:r>
              <w:rPr>
                <w:rStyle w:val="VerbatimChar"/>
              </w:rPr>
              <w:t xml:space="preserve">LocationAttribute</w:t>
            </w:r>
            <w:r>
              <w:t xml:space="preserve">)</w:t>
            </w:r>
          </w:p>
        </w:tc>
        <w:tc>
          <w:tcPr>
            <w:shd w:val="clear" w:color="auto" w:fill="F2F2F2"/>
          </w:tcPr>
          <w:tcPr/>
          <w:p>
            <w:pPr>
              <w:pStyle w:val="Compact"/>
            </w:pPr>
            <w:r>
              <w:t xml:space="preserve">MPP Operations / Blue Ridge</w:t>
            </w:r>
          </w:p>
        </w:tc>
        <w:tc>
          <w:tcPr>
            <w:shd w:val="clear" w:color="auto" w:fill="F2F2F2"/>
          </w:tcPr>
          <w:tcPr/>
          <w:p>
            <w:pPr>
              <w:pStyle w:val="Compact"/>
            </w:pPr>
            <w:r>
              <w:t xml:space="preserve">⬜ Open (new)</w:t>
            </w:r>
          </w:p>
        </w:tc>
      </w:tr>
      <w:tr>
        <w:tc>
          <w:tcPr/>
          <w:p>
            <w:pPr>
              <w:pStyle w:val="Compact"/>
            </w:pPr>
            <w:r>
              <w:rPr>
                <w:b/>
                <w:bCs/>
              </w:rPr>
              <w:t xml:space="preserve">OI-13</w:t>
            </w:r>
          </w:p>
        </w:tc>
        <w:tc>
          <w:tcPr/>
          <w:p>
            <w:pPr>
              <w:pStyle w:val="Compact"/>
            </w:pPr>
            <w:r>
              <w:t xml:space="preserve">1.4 / 3 (Phase E)</w:t>
            </w:r>
          </w:p>
        </w:tc>
        <w:tc>
          <w:tcPr/>
          <w:p>
            <w:pPr>
              <w:pStyle w:val="Compact"/>
            </w:pPr>
            <w:r>
              <w:t xml:space="preserve">BOM source —</w:t>
            </w:r>
            <w:r>
              <w:t xml:space="preserve"> </w:t>
            </w:r>
            <w:r>
              <w:rPr>
                <w:b/>
                <w:bCs/>
              </w:rPr>
              <w:t xml:space="preserve">New 2026-04-20:</w:t>
            </w:r>
            <w:r>
              <w:t xml:space="preserve"> </w:t>
            </w:r>
            <w:r>
              <w:t xml:space="preserve">authoritative BOMs live in the Flexware app at IP</w:t>
            </w:r>
            <w:r>
              <w:t xml:space="preserve"> </w:t>
            </w:r>
            <w:r>
              <w:rPr>
                <w:rStyle w:val="VerbatimChar"/>
              </w:rPr>
              <w:t xml:space="preserve">.919</w:t>
            </w:r>
            <w:r>
              <w:t xml:space="preserve">; one-shot export into</w:t>
            </w:r>
            <w:r>
              <w:t xml:space="preserve"> </w:t>
            </w:r>
            <w:r>
              <w:rPr>
                <w:rStyle w:val="VerbatimChar"/>
              </w:rPr>
              <w:t xml:space="preserve">Parts.Bom</w:t>
            </w:r>
            <w:r>
              <w:t xml:space="preserve"> </w:t>
            </w:r>
            <w:r>
              <w:t xml:space="preserve">at cutover</w:t>
            </w:r>
          </w:p>
        </w:tc>
        <w:tc>
          <w:tcPr/>
          <w:p>
            <w:pPr>
              <w:pStyle w:val="Compact"/>
            </w:pPr>
            <w:r>
              <w:t xml:space="preserve">MPP IT / Blue Ridge</w:t>
            </w:r>
          </w:p>
        </w:tc>
        <w:tc>
          <w:tcPr/>
          <w:p>
            <w:pPr>
              <w:pStyle w:val="Compact"/>
            </w:pPr>
            <w:r>
              <w:t xml:space="preserve">⬜ Open (new, HIGH)</w:t>
            </w:r>
          </w:p>
        </w:tc>
      </w:tr>
      <w:tr>
        <w:tc>
          <w:tcPr>
            <w:shd w:val="clear" w:color="auto" w:fill="F2F2F2"/>
          </w:tcPr>
          <w:tcPr/>
          <w:p>
            <w:pPr>
              <w:pStyle w:val="Compact"/>
            </w:pPr>
            <w:r>
              <w:rPr>
                <w:b/>
                <w:bCs/>
              </w:rPr>
              <w:t xml:space="preserve">OI-14</w:t>
            </w:r>
          </w:p>
        </w:tc>
        <w:tc>
          <w:tcPr>
            <w:shd w:val="clear" w:color="auto" w:fill="F2F2F2"/>
          </w:tcPr>
          <w:tcPr/>
          <w:p>
            <w:pPr>
              <w:pStyle w:val="Compact"/>
            </w:pPr>
            <w:r>
              <w:t xml:space="preserve">4.3 (elevated actions)</w:t>
            </w:r>
          </w:p>
        </w:tc>
        <w:tc>
          <w:tcPr>
            <w:shd w:val="clear" w:color="auto" w:fill="F2F2F2"/>
          </w:tcPr>
          <w:tcPr/>
          <w:p>
            <w:pPr>
              <w:pStyle w:val="Compact"/>
            </w:pPr>
            <w:r>
              <w:t xml:space="preserve">Admin remove-item capability —</w:t>
            </w:r>
            <w:r>
              <w:t xml:space="preserve"> </w:t>
            </w:r>
            <w:r>
              <w:rPr>
                <w:b/>
                <w:bCs/>
              </w:rPr>
              <w:t xml:space="preserve">New 2026-04-20:</w:t>
            </w:r>
            <w:r>
              <w:t xml:space="preserve"> </w:t>
            </w:r>
            <w:r>
              <w:t xml:space="preserve">super-user scope in Configuration Tool; detail design in Phase E</w:t>
            </w:r>
          </w:p>
        </w:tc>
        <w:tc>
          <w:tcPr>
            <w:shd w:val="clear" w:color="auto" w:fill="F2F2F2"/>
          </w:tcPr>
          <w:tcPr/>
          <w:p>
            <w:pPr>
              <w:pStyle w:val="Compact"/>
            </w:pPr>
            <w:r>
              <w:t xml:space="preserve">Blue Ridge</w:t>
            </w:r>
          </w:p>
        </w:tc>
        <w:tc>
          <w:tcPr>
            <w:shd w:val="clear" w:color="auto" w:fill="F2F2F2"/>
          </w:tcPr>
          <w:tcPr/>
          <w:p>
            <w:pPr>
              <w:pStyle w:val="Compact"/>
            </w:pPr>
            <w:r>
              <w:t xml:space="preserve">⬜ Open (new, LOW)</w:t>
            </w:r>
          </w:p>
        </w:tc>
      </w:tr>
    </w:tbl>
    <w:bookmarkEnd w:id="364"/>
    <w:bookmarkEnd w:id="3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2026-04-27T15:14:46Z</dcterms:created>
  <dcterms:modified xsi:type="dcterms:W3CDTF">2026-04-27T15:14:46Z</dcterms:modified>
</cp:coreProperties>
</file>

<file path=docProps/custom.xml><?xml version="1.0" encoding="utf-8"?>
<Properties xmlns="http://schemas.openxmlformats.org/officeDocument/2006/custom-properties" xmlns:vt="http://schemas.openxmlformats.org/officeDocument/2006/docPropsVTypes"/>
</file>