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mpp-mes-data-model-reference"/>
    <w:p>
      <w:pPr>
        <w:pStyle w:val="Heading1"/>
      </w:pPr>
      <w:r>
        <w:t xml:space="preserve">MPP MES — Data Model Reference</w:t>
      </w:r>
    </w:p>
    <w:p>
      <w:pPr>
        <w:pStyle w:val="FirstParagraph"/>
      </w:pPr>
      <w:r>
        <w:rPr>
          <w:b/>
          <w:bCs/>
        </w:rPr>
        <w:t xml:space="preserve">Version:</w:t>
      </w:r>
      <w:r>
        <w:t xml:space="preserve"> </w:t>
      </w:r>
      <w:r>
        <w:t xml:space="preserve">Working draft</w:t>
      </w:r>
      <w:r>
        <w:t xml:space="preserve"> </w:t>
      </w:r>
      <w:r>
        <w:rPr>
          <w:b/>
          <w:bCs/>
        </w:rPr>
        <w:t xml:space="preserve">Schemas:</w:t>
      </w:r>
      <w:r>
        <w:t xml:space="preserve"> </w:t>
      </w:r>
      <w:r>
        <w:t xml:space="preserve">7 |</w:t>
      </w:r>
      <w:r>
        <w:t xml:space="preserve"> </w:t>
      </w:r>
      <w:r>
        <w:rPr>
          <w:b/>
          <w:bCs/>
        </w:rPr>
        <w:t xml:space="preserve">Tables:</w:t>
      </w:r>
      <w:r>
        <w:t xml:space="preserve"> </w:t>
      </w:r>
      <w:r>
        <w:t xml:space="preserve">~50</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backed by Active Directory. Roles managed in Ignition.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r>
              <w:t xml:space="preserve">Active Directory identity</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ClockNumber</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Shop-floor identification</w:t>
            </w:r>
          </w:p>
        </w:tc>
      </w:tr>
      <w:tr>
        <w:tc>
          <w:tcPr/>
          <w:p>
            <w:pPr>
              <w:pStyle w:val="Compact"/>
            </w:pPr>
            <w:r>
              <w:t xml:space="preserve">PinHash</w:t>
            </w:r>
          </w:p>
        </w:tc>
        <w:tc>
          <w:tcPr/>
          <w:p>
            <w:pPr>
              <w:pStyle w:val="Compact"/>
            </w:pPr>
            <w:r>
              <w:t xml:space="preserve">NVARCHAR(255)</w:t>
            </w:r>
          </w:p>
        </w:tc>
        <w:tc>
          <w:tcPr/>
          <w:p>
            <w:pPr>
              <w:pStyle w:val="Compact"/>
            </w:pPr>
            <w:r>
              <w:t xml:space="preserve">NULL</w:t>
            </w:r>
          </w:p>
        </w:tc>
        <w:tc>
          <w:tcPr/>
          <w:p>
            <w:pPr>
              <w:pStyle w:val="Compact"/>
            </w:pPr>
            <w:r>
              <w:t xml:space="preserve">Hashed PIN for terminal auth</w:t>
            </w: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References Ignition’s internal role config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18"/>
    <w:bookmarkEnd w:id="19"/>
    <w:bookmarkStart w:id="33"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known-gap-tool-life-tracking"/>
    <w:p>
      <w:pPr>
        <w:pStyle w:val="Heading3"/>
      </w:pPr>
      <w:r>
        <w:t xml:space="preserve">⚠ Known Gap: Tool Life Tracking</w:t>
      </w:r>
    </w:p>
    <w:p>
      <w:pPr>
        <w:pStyle w:val="BlockText"/>
      </w:pPr>
      <w:r>
        <w:rPr>
          <w:b/>
          <w:bCs/>
        </w:rPr>
        <w:t xml:space="preserve">Scope Matrix row 26</w:t>
      </w:r>
      <w:r>
        <w:t xml:space="preserve"> </w:t>
      </w:r>
      <w:r>
        <w:t xml:space="preserve">lists Tool Life as</w:t>
      </w:r>
      <w:r>
        <w:t xml:space="preserve"> </w:t>
      </w:r>
      <w:r>
        <w:rPr>
          <w:b/>
          <w:bCs/>
        </w:rPr>
        <w:t xml:space="preserve">Included</w:t>
      </w:r>
      <w:r>
        <w:t xml:space="preserve"> </w:t>
      </w:r>
      <w:r>
        <w:t xml:space="preserve">(FRS 5.6.6), but no dedicated table exists in the current data model. Options to address:</w:t>
      </w:r>
      <w:r>
        <w:t xml:space="preserve"> </w:t>
      </w:r>
      <w:r>
        <w:t xml:space="preserve">1.</w:t>
      </w:r>
      <w:r>
        <w:t xml:space="preserve"> </w:t>
      </w:r>
      <w:r>
        <w:rPr>
          <w:rStyle w:val="VerbatimChar"/>
          <w:b/>
          <w:bCs/>
        </w:rPr>
        <w:t xml:space="preserve">LocationAttribute</w:t>
      </w:r>
      <w:r>
        <w:t xml:space="preserve"> </w:t>
      </w:r>
      <w:r>
        <w:t xml:space="preserve">— track tool shot counts and replacement thresholds as configurable attributes on Machine-type locations (leverages existing infrastructure)</w:t>
      </w:r>
      <w:r>
        <w:t xml:space="preserve"> </w:t>
      </w:r>
      <w:r>
        <w:t xml:space="preserve">2.</w:t>
      </w:r>
      <w:r>
        <w:t xml:space="preserve"> </w:t>
      </w:r>
      <w:r>
        <w:rPr>
          <w:b/>
          <w:bCs/>
        </w:rPr>
        <w:t xml:space="preserve">Dedicated</w:t>
      </w:r>
      <w:r>
        <w:rPr>
          <w:b/>
          <w:bCs/>
        </w:rPr>
        <w:t xml:space="preserve"> </w:t>
      </w:r>
      <w:r>
        <w:rPr>
          <w:rStyle w:val="VerbatimChar"/>
          <w:b/>
          <w:bCs/>
        </w:rPr>
        <w:t xml:space="preserve">ToolLife</w:t>
      </w:r>
      <w:r>
        <w:rPr>
          <w:b/>
          <w:bCs/>
        </w:rPr>
        <w:t xml:space="preserve"> </w:t>
      </w:r>
      <w:r>
        <w:rPr>
          <w:b/>
          <w:bCs/>
        </w:rPr>
        <w:t xml:space="preserve">table</w:t>
      </w:r>
      <w:r>
        <w:t xml:space="preserve"> </w:t>
      </w:r>
      <w:r>
        <w:t xml:space="preserve">— if tool life requires its own event history (install date, shot count, replacement events), a purpose-built table in the</w:t>
      </w:r>
      <w:r>
        <w:t xml:space="preserve"> </w:t>
      </w:r>
      <w:r>
        <w:rPr>
          <w:rStyle w:val="VerbatimChar"/>
        </w:rPr>
        <w:t xml:space="preserve">Parts</w:t>
      </w:r>
      <w:r>
        <w:t xml:space="preserve"> </w:t>
      </w:r>
      <w:r>
        <w:t xml:space="preserve">or</w:t>
      </w:r>
      <w:r>
        <w:t xml:space="preserve"> </w:t>
      </w:r>
      <w:r>
        <w:rPr>
          <w:rStyle w:val="VerbatimChar"/>
        </w:rPr>
        <w:t xml:space="preserve">Oee</w:t>
      </w:r>
      <w:r>
        <w:t xml:space="preserve"> </w:t>
      </w:r>
      <w:r>
        <w:t xml:space="preserve">schema would be cleaner</w:t>
      </w:r>
    </w:p>
    <w:p>
      <w:pPr>
        <w:pStyle w:val="BlockText"/>
      </w:pPr>
      <w:r>
        <w:rPr>
          <w:b/>
          <w:bCs/>
        </w:rPr>
        <w:t xml:space="preserve">Recommendation:</w:t>
      </w:r>
      <w:r>
        <w:t xml:space="preserve"> </w:t>
      </w:r>
      <w:r>
        <w:t xml:space="preserve">Gather requirements from MPP on what Tool Life tracking means operationally before deciding. If it’s just</w:t>
      </w:r>
      <w:r>
        <w:t xml:space="preserve"> </w:t>
      </w:r>
      <w:r>
        <w:t xml:space="preserve">“alert when shot count exceeds threshold,”</w:t>
      </w:r>
      <w:r>
        <w:t xml:space="preserve"> </w:t>
      </w:r>
      <w:r>
        <w:t xml:space="preserve">option 1 suffices. If it needs history and replacement workflows, option 2 is needed.</w:t>
      </w:r>
    </w:p>
    <w:p>
      <w:r>
        <w:pict>
          <v:rect style="width:0;height:1.5pt" o:hralign="center" o:hrstd="t" o:hr="t"/>
        </w:pict>
      </w:r>
    </w:p>
    <w:bookmarkEnd w:id="32"/>
    <w:bookmarkEnd w:id="33"/>
    <w:bookmarkStart w:id="51"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4"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4"/>
    <w:bookmarkStart w:id="35"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5"/>
    <w:bookmarkStart w:id="36"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6"/>
    <w:bookmarkStart w:id="37"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7"/>
    <w:bookmarkStart w:id="38"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8"/>
    <w:bookmarkStart w:id="39"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0"/>
    <w:bookmarkStart w:id="41"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1"/>
    <w:bookmarkStart w:id="42"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2"/>
    <w:bookmarkStart w:id="43"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5"/>
    <w:bookmarkStart w:id="46"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6"/>
    <w:bookmarkStart w:id="47"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7"/>
    <w:bookmarkStart w:id="48"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8"/>
    <w:bookmarkStart w:id="49"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49"/>
    <w:bookmarkStart w:id="50"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0"/>
    <w:bookmarkEnd w:id="51"/>
    <w:bookmarkStart w:id="60"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w:t>
      </w:r>
      <w:r>
        <w:t xml:space="preserve">—</w:t>
      </w:r>
      <w:r>
        <w:t xml:space="preserve"> </w:t>
      </w:r>
      <w:r>
        <w:rPr>
          <w:b/>
          <w:bCs/>
        </w:rPr>
        <w:t xml:space="preserve">MVP</w:t>
      </w:r>
      <w:r>
        <w:t xml:space="preserve"> </w:t>
      </w:r>
      <w:r>
        <w:t xml:space="preserve">(Production Data Acquisition is included and expanded)</w:t>
      </w:r>
    </w:p>
    <w:p>
      <w:pPr>
        <w:pStyle w:val="BlockText"/>
      </w:pPr>
      <w:r>
        <w:t xml:space="preserve">🔶</w:t>
      </w:r>
      <w:r>
        <w:t xml:space="preserve"> </w:t>
      </w:r>
      <w:r>
        <w:rPr>
          <w:b/>
          <w:bCs/>
        </w:rPr>
        <w:t xml:space="preserve">PENDING CUSTOMER VALIDATION — OI-07:</w:t>
      </w:r>
      <w:r>
        <w:t xml:space="preserve"> </w:t>
      </w:r>
      <w:r>
        <w:t xml:space="preserve">Work orders are included as invisible bookkeeping (auto-generated behind the scenes). Operators never see or interact with WOs.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2"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IN_PROGRESS,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2"/>
    <w:bookmarkStart w:id="53"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IN_PROGRESS,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3"/>
    <w:bookmarkStart w:id="54" w:name="workorder"/>
    <w:p>
      <w:pPr>
        <w:pStyle w:val="Heading3"/>
      </w:pPr>
      <w:r>
        <w:t xml:space="preserve">WorkOrder</w:t>
      </w:r>
    </w:p>
    <w:p>
      <w:pPr>
        <w:pStyle w:val="FirstParagraph"/>
      </w:pPr>
      <w:r>
        <w:t xml:space="preserve">Auto-generated internal work order. Operators never see this.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r>
              <w:t xml:space="preserve">The route version active at creation</w:t>
            </w:r>
          </w:p>
        </w:tc>
      </w:tr>
      <w:tr>
        <w:tc>
          <w:tcPr/>
          <w:p>
            <w:pPr>
              <w:pStyle w:val="Compact"/>
            </w:pPr>
            <w:r>
              <w:t xml:space="preserve">WorkOrderStatusId</w:t>
            </w:r>
          </w:p>
        </w:tc>
        <w:tc>
          <w:tcPr/>
          <w:p>
            <w:pPr>
              <w:pStyle w:val="Compact"/>
            </w:pPr>
            <w:r>
              <w:t xml:space="preserve">BIGINT</w:t>
            </w:r>
          </w:p>
        </w:tc>
        <w:tc>
          <w:tcPr/>
          <w:p>
            <w:pPr>
              <w:pStyle w:val="Compact"/>
            </w:pPr>
            <w:r>
              <w:t xml:space="preserve">FK → WorkOrderStatus.Id,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4"/>
    <w:bookmarkStart w:id="55"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5"/>
    <w:bookmarkStart w:id="56" w:name="productionevent"/>
    <w:p>
      <w:pPr>
        <w:pStyle w:val="Heading3"/>
      </w:pPr>
      <w:r>
        <w:t xml:space="preserve">ProductionEvent</w:t>
      </w:r>
    </w:p>
    <w:p>
      <w:pPr>
        <w:pStyle w:val="FirstParagraph"/>
      </w:pPr>
      <w:r>
        <w:t xml:space="preserve">Immutable record of production output and of the data collection required by the operation template. One row per LOT-passes-through-operation. Hot data collection fields (die, cavity, weight, counts) are typed columns on this table; any additional</w:t>
      </w:r>
      <w:r>
        <w:t xml:space="preserve"> </w:t>
      </w:r>
      <w:r>
        <w:rPr>
          <w:rStyle w:val="VerbatimChar"/>
        </w:rPr>
        <w:t xml:space="preserve">DataCollectionField</w:t>
      </w:r>
      <w:r>
        <w:t xml:space="preserve"> </w:t>
      </w:r>
      <w:r>
        <w:t xml:space="preserve">configured on the operation template is captured in child</w:t>
      </w:r>
      <w:r>
        <w:t xml:space="preserve"> </w:t>
      </w:r>
      <w:r>
        <w:rPr>
          <w:rStyle w:val="VerbatimChar"/>
        </w:rPr>
        <w:t xml:space="preserve">ProductionEventValue</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The versioned operation template this event executed under. Direct FK so events remain queryable even when work orders are absent (OI-07 background-only WOs).</w:t>
            </w: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Machine/cell where the operation ran</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GoodCount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NoGoodCount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DieIdentifier</w:t>
            </w:r>
          </w:p>
        </w:tc>
        <w:tc>
          <w:tcPr/>
          <w:p>
            <w:pPr>
              <w:pStyle w:val="Compact"/>
            </w:pPr>
            <w:r>
              <w:t xml:space="preserve">NVARCHAR(50)</w:t>
            </w:r>
          </w:p>
        </w:tc>
        <w:tc>
          <w:tcPr/>
          <w:p>
            <w:pPr>
              <w:pStyle w:val="Compact"/>
            </w:pPr>
            <w:r>
              <w:t xml:space="preserve">NULL</w:t>
            </w:r>
          </w:p>
        </w:tc>
        <w:tc>
          <w:tcPr/>
          <w:p>
            <w:pPr>
              <w:pStyle w:val="Compact"/>
            </w:pPr>
            <w:r>
              <w:t xml:space="preserve">Die name/number captured from the machine’s</w:t>
            </w:r>
            <w:r>
              <w:t xml:space="preserve"> </w:t>
            </w:r>
            <w:r>
              <w:rPr>
                <w:rStyle w:val="VerbatimChar"/>
              </w:rPr>
              <w:t xml:space="preserve">LocationAttribute</w:t>
            </w:r>
            <w:r>
              <w:t xml:space="preserve"> </w:t>
            </w:r>
            <w:r>
              <w:t xml:space="preserve">value at event time. Not an FK (dies are currently a location-attribute concept, not a first-class entity). If OI-10 resolves to a dedicated</w:t>
            </w:r>
            <w:r>
              <w:t xml:space="preserve"> </w:t>
            </w:r>
            <w:r>
              <w:rPr>
                <w:rStyle w:val="VerbatimChar"/>
              </w:rPr>
              <w:t xml:space="preserve">Die</w:t>
            </w:r>
            <w:r>
              <w:t xml:space="preserve"> </w:t>
            </w:r>
            <w:r>
              <w:t xml:space="preserve">table, a parallel</w:t>
            </w:r>
            <w:r>
              <w:t xml:space="preserve"> </w:t>
            </w:r>
            <w:r>
              <w:rPr>
                <w:rStyle w:val="VerbatimChar"/>
              </w:rPr>
              <w:t xml:space="preserve">DieId BIGINT FK</w:t>
            </w:r>
            <w:r>
              <w:t xml:space="preserve"> </w:t>
            </w:r>
            <w:r>
              <w:t xml:space="preserve">will be added — this column remains as the historical snapshot.</w:t>
            </w:r>
          </w:p>
        </w:tc>
      </w:tr>
      <w:tr>
        <w:tc>
          <w:tcPr>
            <w:shd w:val="clear" w:color="auto" w:fill="F2F2F2"/>
          </w:tcPr>
          <w:tcPr/>
          <w:p>
            <w:pPr>
              <w:pStyle w:val="Compact"/>
            </w:pPr>
            <w:r>
              <w:t xml:space="preserve">CavityNumber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Cavity captured when the operation template requires</w:t>
            </w:r>
            <w:r>
              <w:t xml:space="preserve"> </w:t>
            </w:r>
            <w:r>
              <w:rPr>
                <w:rStyle w:val="VerbatimChar"/>
              </w:rPr>
              <w:t xml:space="preserve">CavityInfo</w:t>
            </w:r>
          </w:p>
        </w:tc>
      </w:tr>
      <w:tr>
        <w:tc>
          <w:tcPr/>
          <w:p>
            <w:pPr>
              <w:pStyle w:val="Compact"/>
            </w:pPr>
            <w:r>
              <w:t xml:space="preserve">WeightValue</w:t>
            </w:r>
          </w:p>
        </w:tc>
        <w:tc>
          <w:tcPr/>
          <w:p>
            <w:pPr>
              <w:pStyle w:val="Compact"/>
            </w:pPr>
            <w:r>
              <w:t xml:space="preserve">DECIMAL(10,3)</w:t>
            </w:r>
          </w:p>
        </w:tc>
        <w:tc>
          <w:tcPr/>
          <w:p>
            <w:pPr>
              <w:pStyle w:val="Compact"/>
            </w:pPr>
            <w:r>
              <w:t xml:space="preserve">NULL</w:t>
            </w:r>
          </w:p>
        </w:tc>
        <w:tc>
          <w:tcPr/>
          <w:p>
            <w:pPr>
              <w:pStyle w:val="Compact"/>
            </w:pPr>
            <w:r>
              <w:t xml:space="preserve">Captured when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OperatorId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56"/>
    <w:bookmarkStart w:id="57"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(GoodCount, NoGoodCount, DieIdentifier, CavityNumber, WeightValue) SHALL NOT also be written to</w:t>
      </w:r>
      <w:r>
        <w:t xml:space="preserve"> </w:t>
      </w:r>
      <w:r>
        <w:rPr>
          <w:rStyle w:val="VerbatimChar"/>
        </w:rPr>
        <w:t xml:space="preserve">ProductionEventValue</w:t>
      </w:r>
      <w:r>
        <w:t xml:space="preserve">. The Phase 8 write proc enforces this.</w:t>
      </w:r>
    </w:p>
    <w:bookmarkEnd w:id="57"/>
    <w:bookmarkStart w:id="58"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8"/>
    <w:bookmarkStart w:id="59"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59"/>
    <w:bookmarkEnd w:id="60"/>
    <w:bookmarkStart w:id="74"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1"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2"/>
    <w:bookmarkStart w:id="63"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3"/>
    <w:bookmarkStart w:id="64"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4"/>
    <w:bookmarkStart w:id="65"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5"/>
    <w:bookmarkStart w:id="66"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6"/>
    <w:bookmarkStart w:id="67"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67"/>
    <w:bookmarkStart w:id="68"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8"/>
    <w:bookmarkStart w:id="69"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69"/>
    <w:bookmarkStart w:id="70"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0"/>
    <w:bookmarkStart w:id="71"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1"/>
    <w:bookmarkStart w:id="72"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2"/>
    <w:bookmarkStart w:id="73"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3"/>
    <w:bookmarkEnd w:id="74"/>
    <w:bookmarkStart w:id="82"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5"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77"/>
    <w:bookmarkStart w:id="78"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78"/>
    <w:bookmarkStart w:id="79"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0"/>
    <w:bookmarkStart w:id="81"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1"/>
    <w:bookmarkEnd w:id="82"/>
    <w:bookmarkStart w:id="90" w:name="audit-schema-mvp"/>
    <w:p>
      <w:pPr>
        <w:pStyle w:val="Heading2"/>
      </w:pPr>
      <w:r>
        <w:t xml:space="preserve">7.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8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5"/>
    <w:bookmarkStart w:id="8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6"/>
    <w:bookmarkStart w:id="8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87"/>
    <w:bookmarkStart w:id="8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88"/>
    <w:bookmarkStart w:id="8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2026-04-15T19:49:55Z</dcterms:created>
  <dcterms:modified xsi:type="dcterms:W3CDTF">2026-04-15T19:49:55Z</dcterms:modified>
</cp:coreProperties>
</file>

<file path=docProps/custom.xml><?xml version="1.0" encoding="utf-8"?>
<Properties xmlns="http://schemas.openxmlformats.org/officeDocument/2006/custom-properties" xmlns:vt="http://schemas.openxmlformats.org/officeDocument/2006/docPropsVTypes"/>
</file>