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pp-mes-seeding-registry"/>
    <w:p>
      <w:pPr>
        <w:pStyle w:val="Heading1"/>
      </w:pPr>
      <w:r>
        <w:t xml:space="preserve">MPP MES — Seeding Registry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FDS-MPP-MES-SEED-001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— Initial draft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2026-04-27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Blue Ridge Automation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Madison Precision Products, Inc. (Madison, IN)</w:t>
      </w:r>
    </w:p>
    <w:p>
      <w:pPr>
        <w:pStyle w:val="BodyText"/>
      </w:pPr>
      <w:r>
        <w:t xml:space="preserve">This registry tracks every seed-data item the MES requires from sources</w:t>
      </w:r>
      <w:r>
        <w:t xml:space="preserve"> </w:t>
      </w:r>
      <w:r>
        <w:rPr>
          <w:b/>
          <w:bCs/>
        </w:rPr>
        <w:t xml:space="preserve">external to Blue Ridge</w:t>
      </w:r>
      <w:r>
        <w:t xml:space="preserve"> </w:t>
      </w:r>
      <w:r>
        <w:t xml:space="preserve">(MPP IT, MPP Quality, MPP Engineering, Honda AIM, vendor exports). Internal code-table seeds baked into migrations are NOT tracked here — those ship with the SQL.</w:t>
      </w:r>
    </w:p>
    <w:p>
      <w:pPr>
        <w:pStyle w:val="BlockText"/>
      </w:pPr>
      <w:r>
        <w:rPr>
          <w:b/>
          <w:bCs/>
        </w:rPr>
        <w:t xml:space="preserve">Seeding items are NOT blockers for design or SQL build work.</w:t>
      </w:r>
      <w:r>
        <w:t xml:space="preserve"> </w:t>
      </w:r>
      <w:r>
        <w:t xml:space="preserve">Schemas, procs, and screens proceed in parallel; this registry exists so we collect the data alongside the build and load it during the cutover phase. An item is only a</w:t>
      </w:r>
      <w:r>
        <w:t xml:space="preserve"> </w:t>
      </w:r>
      <w:r>
        <w:t xml:space="preserve">“blocker”</w:t>
      </w:r>
      <w:r>
        <w:t xml:space="preserve"> </w:t>
      </w:r>
      <w:r>
        <w:t xml:space="preserve">if a downstream design decision genuinely requires its content (rare — flagged explicitly per item below).</w:t>
      </w:r>
    </w:p>
    <w:p>
      <w:r>
        <w:pict>
          <v:rect style="width:0;height:1.5pt" o:hralign="center" o:hrstd="t" o:hr="t"/>
        </w:pict>
      </w:r>
    </w:p>
    <w:bookmarkStart w:id="9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Version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Author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Change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2026-04-27</w:t>
            </w:r>
          </w:p>
        </w:tc>
        <w:tc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/>
          <w:p>
            <w:pPr>
              <w:pStyle w:val="Compact"/>
            </w:pPr>
            <w:r>
              <w:t xml:space="preserve">Initial registry. Catalogues 11 external-source seed items extracted from CLAUDE.md</w:t>
            </w:r>
            <w:r>
              <w:t xml:space="preserve"> </w:t>
            </w:r>
            <w:r>
              <w:t xml:space="preserve">“MPP-owed”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“MPP data loads”</w:t>
            </w:r>
            <w:r>
              <w:t xml:space="preserve"> </w:t>
            </w:r>
            <w:r>
              <w:t xml:space="preserve">sections. Establishes the registry as the single source of truth for seed-data tracking, removing seed items from the</w:t>
            </w:r>
            <w:r>
              <w:t xml:space="preserve"> </w:t>
            </w:r>
            <w:r>
              <w:t xml:space="preserve">“blocking specific downstream work”</w:t>
            </w:r>
            <w:r>
              <w:t xml:space="preserve"> </w:t>
            </w:r>
            <w:r>
              <w:t xml:space="preserve">framing in CLAUDE.md.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status-legend"/>
    <w:p>
      <w:pPr>
        <w:pStyle w:val="Heading2"/>
      </w:pPr>
      <w:r>
        <w:t xml:space="preserve">Status Legend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Badge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⬜</w:t>
            </w:r>
            <w:r>
              <w:t xml:space="preserve"> </w:t>
            </w:r>
            <w:r>
              <w:rPr>
                <w:b/>
                <w:bCs/>
              </w:rPr>
              <w:t xml:space="preserve">Owed</w:t>
            </w:r>
          </w:p>
        </w:tc>
        <w:tc>
          <w:tcPr/>
          <w:p>
            <w:pPr>
              <w:pStyle w:val="Compact"/>
            </w:pPr>
            <w:r>
              <w:t xml:space="preserve">File / list / decision not yet received from external source.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Delivered to Blue Ridge; not yet loaded into dev.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Loaded (Dev)</w:t>
            </w:r>
          </w:p>
        </w:tc>
        <w:tc>
          <w:tcPr/>
          <w:p>
            <w:pPr>
              <w:pStyle w:val="Compact"/>
            </w:pPr>
            <w:r>
              <w:t xml:space="preserve">Loaded into dev SQL DB; queryable; tests passing where applicable.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🔵</w:t>
            </w:r>
            <w:r>
              <w:t xml:space="preserve"> </w:t>
            </w:r>
            <w:r>
              <w:rPr>
                <w:b/>
                <w:bCs/>
              </w:rPr>
              <w:t xml:space="preserve">Verified (Cutover)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Loaded into production-equivalent + validated by the responsible MPP stakeholder.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Target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Status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Blocking?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S-01</w:t>
            </w:r>
          </w:p>
        </w:tc>
        <w:tc>
          <w:tcPr/>
          <w:p>
            <w:pPr>
              <w:pStyle w:val="Compact"/>
            </w:pPr>
            <w:r>
              <w:t xml:space="preserve">Plant equipment master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Location.Location</w:t>
            </w:r>
            <w:r>
              <w:t xml:space="preserve"> </w:t>
            </w:r>
            <w:r>
              <w:t xml:space="preserve">(Cell-tier)</w:t>
            </w:r>
          </w:p>
        </w:tc>
        <w:tc>
          <w:tcPr/>
          <w:p>
            <w:pPr>
              <w:pStyle w:val="Compact"/>
            </w:pPr>
            <w:r>
              <w:t xml:space="preserve">🟡 Received</w:t>
            </w:r>
          </w:p>
        </w:tc>
        <w:tc>
          <w:tcPr/>
          <w:p>
            <w:pPr>
              <w:pStyle w:val="Compact"/>
            </w:pPr>
            <w:r>
              <w:t xml:space="preserve">MPP Eng. for tier mapping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S-02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Downtime reason codes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Oee.DowntimeReasonCode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🟡 Received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MPP Eng. for DC/MS/TS→Area mapping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S-03</w:t>
            </w:r>
          </w:p>
        </w:tc>
        <w:tc>
          <w:tcPr/>
          <w:p>
            <w:pPr>
              <w:pStyle w:val="Compact"/>
            </w:pPr>
            <w:r>
              <w:t xml:space="preserve">Defect codes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Quality.DefectCode</w:t>
            </w:r>
          </w:p>
        </w:tc>
        <w:tc>
          <w:tcPr/>
          <w:p>
            <w:pPr>
              <w:pStyle w:val="Compact"/>
            </w:pPr>
            <w:r>
              <w:t xml:space="preserve">🟡 Received</w:t>
            </w:r>
          </w:p>
        </w:tc>
        <w:tc>
          <w:tcPr/>
          <w:p>
            <w:pPr>
              <w:pStyle w:val="Compact"/>
            </w:pPr>
            <w:r>
              <w:t xml:space="preserve">MPP Quality for Area mapping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S-04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OPC tag catalog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Ignition OPC config (not SQL)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🟡 Received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MPP Eng. for endpoint validation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S-05</w:t>
            </w:r>
          </w:p>
        </w:tc>
        <w:tc>
          <w:tcPr/>
          <w:p>
            <w:pPr>
              <w:pStyle w:val="Compact"/>
            </w:pPr>
            <w:r>
              <w:t xml:space="preserve">Parts master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Parts.Item</w:t>
            </w:r>
          </w:p>
        </w:tc>
        <w:tc>
          <w:tcPr/>
          <w:p>
            <w:pPr>
              <w:pStyle w:val="Compact"/>
            </w:pPr>
            <w:r>
              <w:t xml:space="preserve">⬜ Owed</w:t>
            </w:r>
          </w:p>
        </w:tc>
        <w:tc>
          <w:tcPr/>
          <w:p>
            <w:pPr>
              <w:pStyle w:val="Compact"/>
            </w:pPr>
            <w:r>
              <w:t xml:space="preserve">MPP IT (export from Macola/Flexware)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S-06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Flexware BOM export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Parts.Bom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Parts.BomLine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⬜ Owed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MPP IT (OI-13 — two-pull)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S-07</w:t>
            </w:r>
          </w:p>
        </w:tc>
        <w:tc>
          <w:tcPr/>
          <w:p>
            <w:pPr>
              <w:pStyle w:val="Compact"/>
            </w:pPr>
            <w:r>
              <w:t xml:space="preserve">Die rank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Tools.DieRank</w:t>
            </w:r>
          </w:p>
        </w:tc>
        <w:tc>
          <w:tcPr/>
          <w:p>
            <w:pPr>
              <w:pStyle w:val="Compact"/>
            </w:pPr>
            <w:r>
              <w:t xml:space="preserve">⬜ Owed</w:t>
            </w:r>
          </w:p>
        </w:tc>
        <w:tc>
          <w:tcPr/>
          <w:p>
            <w:pPr>
              <w:pStyle w:val="Compact"/>
            </w:pPr>
            <w:r>
              <w:t xml:space="preserve">MPP Quality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S-08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Die rank compatibility matrix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Tools.DieRankCompatibility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⬜ Owed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MPP Quality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gates cross-die merges (FDS-05-027) without supervisor override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S-09</w:t>
            </w:r>
          </w:p>
        </w:tc>
        <w:tc>
          <w:tcPr/>
          <w:p>
            <w:pPr>
              <w:pStyle w:val="Compact"/>
            </w:pPr>
            <w:r>
              <w:t xml:space="preserve">Label-type seed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Lots.LabelTypeCode</w:t>
            </w:r>
            <w:r>
              <w:t xml:space="preserve"> </w:t>
            </w:r>
            <w:r>
              <w:t xml:space="preserve">(already seeded with Blue Ridge guesses)</w:t>
            </w:r>
          </w:p>
        </w:tc>
        <w:tc>
          <w:tcPr/>
          <w:p>
            <w:pPr>
              <w:pStyle w:val="Compact"/>
            </w:pPr>
            <w:r>
              <w:t xml:space="preserve">⬜ Owed</w:t>
            </w:r>
          </w:p>
        </w:tc>
        <w:tc>
          <w:tcPr/>
          <w:p>
            <w:pPr>
              <w:pStyle w:val="Compact"/>
            </w:pPr>
            <w:r>
              <w:t xml:space="preserve">MPP Shipping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S-10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Identifier sequence baselines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Lots.IdentifierSequence.LastValue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⬜ Owed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MPP IT (snapshot at cutover)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Cutover-only</w:t>
            </w:r>
            <w:r>
              <w:t xml:space="preserve"> </w:t>
            </w:r>
            <w:r>
              <w:t xml:space="preserve">— not blocking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S-11</w:t>
            </w:r>
          </w:p>
        </w:tc>
        <w:tc>
          <w:tcPr/>
          <w:p>
            <w:pPr>
              <w:pStyle w:val="Compact"/>
            </w:pPr>
            <w:r>
              <w:t xml:space="preserve">AIM pool config tuning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Lots.AimPoolConfig</w:t>
            </w:r>
            <w:r>
              <w:t xml:space="preserve"> </w:t>
            </w:r>
            <w:r>
              <w:t xml:space="preserve">(defaults already seeded 50/30/20/10)</w:t>
            </w:r>
          </w:p>
        </w:tc>
        <w:tc>
          <w:tcPr/>
          <w:p>
            <w:pPr>
              <w:pStyle w:val="Compact"/>
            </w:pPr>
            <w:r>
              <w:t xml:space="preserve">🟡 Received (defaults)</w:t>
            </w:r>
          </w:p>
        </w:tc>
        <w:tc>
          <w:tcPr/>
          <w:p>
            <w:pPr>
              <w:pStyle w:val="Compact"/>
            </w:pPr>
            <w:r>
              <w:t xml:space="preserve">MPP for post-deploy tuning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Counts:</w:t>
      </w:r>
      <w:r>
        <w:t xml:space="preserve"> </w:t>
      </w:r>
      <w:r>
        <w:t xml:space="preserve">6 ⬜ Owed · 5 🟡 Received · 0 ✅ Loaded (Dev) · 0 🔵 Verified (Cutover)</w:t>
      </w:r>
    </w:p>
    <w:p>
      <w:pPr>
        <w:pStyle w:val="BodyText"/>
      </w:pPr>
      <w:r>
        <w:rPr>
          <w:b/>
          <w:bCs/>
        </w:rPr>
        <w:t xml:space="preserve">True blockers:</w:t>
      </w:r>
      <w:r>
        <w:t xml:space="preserve"> </w:t>
      </w:r>
      <w:r>
        <w:t xml:space="preserve">1 (S-08 die rank compatibility — and even this has a supervisor-override workaround until populated).</w:t>
      </w:r>
    </w:p>
    <w:p>
      <w:r>
        <w:pict>
          <v:rect style="width:0;height:1.5pt" o:hralign="center" o:hrstd="t" o:hr="t"/>
        </w:pict>
      </w:r>
    </w:p>
    <w:bookmarkEnd w:id="11"/>
    <w:bookmarkStart w:id="23" w:name="per-item-detail"/>
    <w:p>
      <w:pPr>
        <w:pStyle w:val="Heading2"/>
      </w:pPr>
      <w:r>
        <w:t xml:space="preserve">Per-Item Detail</w:t>
      </w:r>
    </w:p>
    <w:bookmarkStart w:id="12" w:name="s-01-plant-equipment-master-machines"/>
    <w:p>
      <w:pPr>
        <w:pStyle w:val="Heading3"/>
      </w:pPr>
      <w:r>
        <w:t xml:space="preserve">S-01 — Plant Equipment Master (Machines)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🟡 Received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reference/seed_data/machines.csv</w:t>
      </w:r>
      <w:r>
        <w:t xml:space="preserve"> </w:t>
      </w:r>
      <w:r>
        <w:t xml:space="preserve">(209 rows extracted from FRS Appendix B by Blue Ridge)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Location.Location</w:t>
      </w:r>
      <w:r>
        <w:t xml:space="preserve"> </w:t>
      </w:r>
      <w:r>
        <w:t xml:space="preserve">rows (Cell tier) +</w:t>
      </w:r>
      <w:r>
        <w:t xml:space="preserve"> </w:t>
      </w:r>
      <w:r>
        <w:rPr>
          <w:rStyle w:val="VerbatimChar"/>
        </w:rPr>
        <w:t xml:space="preserve">Location.LocationAttribute</w:t>
      </w:r>
      <w:r>
        <w:t xml:space="preserve"> </w:t>
      </w:r>
      <w:r>
        <w:t xml:space="preserve">values for tonnage / cycle time / etc.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MPP Engineering — for tier mapping (DeptCode → AreaLocationId) and verification that the 2024 FRS extract still reflects today’s plant.</w:t>
      </w:r>
      <w:r>
        <w:t xml:space="preserve"> </w:t>
      </w:r>
      <w:r>
        <w:rPr>
          <w:b/>
          <w:bCs/>
        </w:rPr>
        <w:t xml:space="preserve">Blocking:</w:t>
      </w:r>
      <w:r>
        <w:t xml:space="preserve"> </w:t>
      </w:r>
      <w:r>
        <w:t xml:space="preserve">No — schema, procs, and screens proceed without this. Plant model exercises against 12 dev sample rows in</w:t>
      </w:r>
      <w:r>
        <w:t xml:space="preserve"> </w:t>
      </w:r>
      <w:r>
        <w:rPr>
          <w:rStyle w:val="VerbatimChar"/>
        </w:rPr>
        <w:t xml:space="preserve">sql/seeds/seed_locations.sql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File format:</w:t>
      </w:r>
      <w:r>
        <w:t xml:space="preserve"> </w:t>
      </w:r>
      <w:r>
        <w:t xml:space="preserve">CSV — columns:</w:t>
      </w:r>
      <w:r>
        <w:t xml:space="preserve"> </w:t>
      </w:r>
      <w:r>
        <w:rPr>
          <w:rStyle w:val="VerbatimChar"/>
        </w:rPr>
        <w:t xml:space="preserve">MachId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MachNo</w:t>
      </w:r>
      <w:r>
        <w:t xml:space="preserve">,</w:t>
      </w:r>
      <w:r>
        <w:t xml:space="preserve"> </w:t>
      </w:r>
      <w:r>
        <w:rPr>
          <w:rStyle w:val="VerbatimChar"/>
        </w:rPr>
        <w:t xml:space="preserve">MachDesc</w:t>
      </w:r>
      <w:r>
        <w:t xml:space="preserve">,</w:t>
      </w:r>
      <w:r>
        <w:t xml:space="preserve"> </w:t>
      </w:r>
      <w:r>
        <w:rPr>
          <w:rStyle w:val="VerbatimChar"/>
        </w:rPr>
        <w:t xml:space="preserve">Tonnage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DeptDesc</w:t>
      </w:r>
      <w:r>
        <w:t xml:space="preserve">,</w:t>
      </w:r>
      <w:r>
        <w:t xml:space="preserve"> </w:t>
      </w:r>
      <w:r>
        <w:rPr>
          <w:rStyle w:val="VerbatimChar"/>
        </w:rPr>
        <w:t xml:space="preserve">MinPerShift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RefCycleTime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DeptCode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ProcDesc</w:t>
      </w:r>
      <w:r>
        <w:t xml:space="preserve">. Full column docs in</w:t>
      </w:r>
      <w:r>
        <w:t xml:space="preserve"> </w:t>
      </w:r>
      <w:r>
        <w:rPr>
          <w:rStyle w:val="VerbatimChar"/>
        </w:rPr>
        <w:t xml:space="preserve">reference/seed_data/README.md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Mapping owed from MPP Engineering: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DeptCode</w:t>
      </w:r>
      <w:r>
        <w:t xml:space="preserve"> </w:t>
      </w:r>
      <w:r>
        <w:t xml:space="preserve">(DC, MS, TR, AS) →</w:t>
      </w:r>
      <w:r>
        <w:t xml:space="preserve"> </w:t>
      </w:r>
      <w:r>
        <w:rPr>
          <w:rStyle w:val="VerbatimChar"/>
        </w:rPr>
        <w:t xml:space="preserve">AreaLocationId</w:t>
      </w:r>
      <w:r>
        <w:t xml:space="preserve"> </w:t>
      </w:r>
      <w:r>
        <w:t xml:space="preserve">(the actual</w:t>
      </w:r>
      <w:r>
        <w:t xml:space="preserve"> </w:t>
      </w:r>
      <w:r>
        <w:rPr>
          <w:rStyle w:val="VerbatimChar"/>
        </w:rPr>
        <w:t xml:space="preserve">Location.Id</w:t>
      </w:r>
      <w:r>
        <w:t xml:space="preserve"> </w:t>
      </w:r>
      <w:r>
        <w:t xml:space="preserve">of each Area row).</w:t>
      </w:r>
      <w:r>
        <w:t xml:space="preserve"> </w:t>
      </w:r>
      <w:r>
        <w:t xml:space="preserve">- Confirmation that the 209-row FRS list is current — flag any decommissioned / new equipment since 2024.</w:t>
      </w:r>
      <w:r>
        <w:t xml:space="preserve"> </w:t>
      </w:r>
      <w:r>
        <w:t xml:space="preserve">- Validation that each row’s</w:t>
      </w:r>
      <w:r>
        <w:t xml:space="preserve"> </w:t>
      </w:r>
      <w:r>
        <w:rPr>
          <w:rStyle w:val="VerbatimChar"/>
        </w:rPr>
        <w:t xml:space="preserve">LocationTypeDefinition</w:t>
      </w:r>
      <w:r>
        <w:t xml:space="preserve"> </w:t>
      </w:r>
      <w:r>
        <w:t xml:space="preserve">(DieCastMachine vs CNCMachine vs TrimPress vs AssemblyStation, derived from</w:t>
      </w:r>
      <w:r>
        <w:t xml:space="preserve"> </w:t>
      </w:r>
      <w:r>
        <w:rPr>
          <w:rStyle w:val="VerbatimChar"/>
        </w:rPr>
        <w:t xml:space="preserve">ProcDesc</w:t>
      </w:r>
      <w:r>
        <w:t xml:space="preserve">) is correct.</w:t>
      </w:r>
    </w:p>
    <w:p>
      <w:pPr>
        <w:pStyle w:val="BodyText"/>
      </w:pPr>
      <w:r>
        <w:rPr>
          <w:b/>
          <w:bCs/>
        </w:rPr>
        <w:t xml:space="preserve">Loading procedure:</w:t>
      </w:r>
      <w:r>
        <w:t xml:space="preserve"> </w:t>
      </w:r>
      <w:r>
        <w:t xml:space="preserve">Bulk-load proc not yet written. Follows the</w:t>
      </w:r>
      <w:r>
        <w:t xml:space="preserve"> </w:t>
      </w:r>
      <w:r>
        <w:rPr>
          <w:rStyle w:val="VerbatimChar"/>
        </w:rPr>
        <w:t xml:space="preserve">Oee.DowntimeReasonCode_BulkLoadFromSeed</w:t>
      </w:r>
      <w:r>
        <w:t xml:space="preserve"> </w:t>
      </w:r>
      <w:r>
        <w:t xml:space="preserve">JSON-fed pattern (S-02) — caller supplies a</w:t>
      </w:r>
      <w:r>
        <w:t xml:space="preserve"> </w:t>
      </w:r>
      <w:r>
        <w:rPr>
          <w:rStyle w:val="VerbatimChar"/>
        </w:rPr>
        <w:t xml:space="preserve">@DeptCodeToAreaIdMap</w:t>
      </w:r>
      <w:r>
        <w:t xml:space="preserve"> </w:t>
      </w:r>
      <w:r>
        <w:t xml:space="preserve">JSON; proc inserts</w:t>
      </w:r>
      <w:r>
        <w:t xml:space="preserve"> </w:t>
      </w:r>
      <w:r>
        <w:rPr>
          <w:rStyle w:val="VerbatimChar"/>
        </w:rPr>
        <w:t xml:space="preserve">Location.Location</w:t>
      </w:r>
      <w:r>
        <w:t xml:space="preserve"> </w:t>
      </w:r>
      <w:r>
        <w:t xml:space="preserve">rows +</w:t>
      </w:r>
      <w:r>
        <w:t xml:space="preserve"> </w:t>
      </w:r>
      <w:r>
        <w:rPr>
          <w:rStyle w:val="VerbatimChar"/>
        </w:rPr>
        <w:t xml:space="preserve">Location.LocationAttribute</w:t>
      </w:r>
      <w:r>
        <w:t xml:space="preserve"> </w:t>
      </w:r>
      <w:r>
        <w:t xml:space="preserve">values per the FRS columns; deterministic Code generation</w:t>
      </w:r>
      <w:r>
        <w:t xml:space="preserve"> </w:t>
      </w:r>
      <w:r>
        <w:rPr>
          <w:rStyle w:val="VerbatimChar"/>
        </w:rPr>
        <w:t xml:space="preserve">{DeptCode}-{MachNo}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All 209 rows (or MPP-revised count) load without error.</w:t>
      </w:r>
      <w:r>
        <w:t xml:space="preserve"> </w:t>
      </w:r>
      <w:r>
        <w:t xml:space="preserve">2. Each row’s parent</w:t>
      </w:r>
      <w:r>
        <w:t xml:space="preserve"> </w:t>
      </w:r>
      <w:r>
        <w:rPr>
          <w:rStyle w:val="VerbatimChar"/>
        </w:rPr>
        <w:t xml:space="preserve">AreaLocationId</w:t>
      </w:r>
      <w:r>
        <w:t xml:space="preserve"> </w:t>
      </w:r>
      <w:r>
        <w:t xml:space="preserve">matches the MPP-supplied mapping.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LocationAttribute</w:t>
      </w:r>
      <w:r>
        <w:t xml:space="preserve"> </w:t>
      </w:r>
      <w:r>
        <w:t xml:space="preserve">rows for</w:t>
      </w:r>
      <w:r>
        <w:t xml:space="preserve"> </w:t>
      </w:r>
      <w:r>
        <w:rPr>
          <w:rStyle w:val="VerbatimChar"/>
        </w:rPr>
        <w:t xml:space="preserve">Tonnage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RefCycleTime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MinPerShift</w:t>
      </w:r>
      <w:r>
        <w:t xml:space="preserve"> </w:t>
      </w:r>
      <w:r>
        <w:t xml:space="preserve">are present where the CSV has non-empty values.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Location.LocationTypeDefinitionId</w:t>
      </w:r>
      <w:r>
        <w:t xml:space="preserve"> </w:t>
      </w:r>
      <w:r>
        <w:t xml:space="preserve">matches the CSV’s</w:t>
      </w:r>
      <w:r>
        <w:t xml:space="preserve"> </w:t>
      </w:r>
      <w:r>
        <w:rPr>
          <w:rStyle w:val="VerbatimChar"/>
        </w:rPr>
        <w:t xml:space="preserve">ProcDesc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s-02-downtime-reason-codes"/>
    <w:p>
      <w:pPr>
        <w:pStyle w:val="Heading3"/>
      </w:pPr>
      <w:r>
        <w:t xml:space="preserve">S-02 — Downtime Reason Codes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🟡 Received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reference/seed_data/downtime_reason_codes.csv</w:t>
      </w:r>
      <w:r>
        <w:t xml:space="preserve"> </w:t>
      </w:r>
      <w:r>
        <w:t xml:space="preserve">(353 rows extracted from FRS Appendix D — DC=86, MS=239, TS=25)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Oee.DowntimeReasonCode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MPP Engineering — for DC/MS/TS → Area mapping and per-row</w:t>
      </w:r>
      <w:r>
        <w:t xml:space="preserve"> </w:t>
      </w:r>
      <w:r>
        <w:rPr>
          <w:rStyle w:val="VerbatimChar"/>
        </w:rPr>
        <w:t xml:space="preserve">DowntimeReasonType</w:t>
      </w:r>
      <w:r>
        <w:t xml:space="preserve"> </w:t>
      </w:r>
      <w:r>
        <w:t xml:space="preserve">backfill where the CSV has missing TypeDesc.</w:t>
      </w:r>
      <w:r>
        <w:t xml:space="preserve"> </w:t>
      </w:r>
      <w:r>
        <w:rPr>
          <w:b/>
          <w:bCs/>
        </w:rPr>
        <w:t xml:space="preserve">Blocking:</w:t>
      </w:r>
      <w:r>
        <w:t xml:space="preserve"> </w:t>
      </w:r>
      <w:r>
        <w:t xml:space="preserve">No —</w:t>
      </w:r>
      <w:r>
        <w:t xml:space="preserve"> </w:t>
      </w:r>
      <w:r>
        <w:rPr>
          <w:rStyle w:val="VerbatimChar"/>
        </w:rPr>
        <w:t xml:space="preserve">Oee.DowntimeEvent</w:t>
      </w:r>
      <w:r>
        <w:t xml:space="preserve"> </w:t>
      </w:r>
      <w:r>
        <w:t xml:space="preserve">capture works against an empty DowntimeReasonCode set; reasons can be assigned later. OEE reporting requires this loaded before go-live.</w:t>
      </w:r>
    </w:p>
    <w:p>
      <w:pPr>
        <w:pStyle w:val="BodyText"/>
      </w:pPr>
      <w:r>
        <w:rPr>
          <w:b/>
          <w:bCs/>
        </w:rPr>
        <w:t xml:space="preserve">File format:</w:t>
      </w:r>
      <w:r>
        <w:t xml:space="preserve"> </w:t>
      </w:r>
      <w:r>
        <w:t xml:space="preserve">CSV — columns:</w:t>
      </w:r>
      <w:r>
        <w:t xml:space="preserve"> </w:t>
      </w:r>
      <w:r>
        <w:rPr>
          <w:rStyle w:val="VerbatimChar"/>
        </w:rPr>
        <w:t xml:space="preserve">DeptCode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ReasonDesc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TypeDesc</w:t>
      </w:r>
      <w:r>
        <w:t xml:space="preserve">,</w:t>
      </w:r>
      <w:r>
        <w:t xml:space="preserve"> </w:t>
      </w:r>
      <w:r>
        <w:rPr>
          <w:rStyle w:val="VerbatimChar"/>
        </w:rPr>
        <w:t xml:space="preserve">IsExcused</w:t>
      </w:r>
      <w:r>
        <w:t xml:space="preserve">. Full column docs in</w:t>
      </w:r>
      <w:r>
        <w:t xml:space="preserve"> </w:t>
      </w:r>
      <w:r>
        <w:rPr>
          <w:rStyle w:val="VerbatimChar"/>
        </w:rPr>
        <w:t xml:space="preserve">reference/seed_data/README.md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Mapping owed from MPP Engineering: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DeptCode</w:t>
      </w:r>
      <w:r>
        <w:t xml:space="preserve"> </w:t>
      </w:r>
      <w:r>
        <w:t xml:space="preserve">(DC, MS, TS) →</w:t>
      </w:r>
      <w:r>
        <w:t xml:space="preserve"> </w:t>
      </w:r>
      <w:r>
        <w:rPr>
          <w:rStyle w:val="VerbatimChar"/>
        </w:rPr>
        <w:t xml:space="preserve">AreaLocationId</w:t>
      </w:r>
      <w:r>
        <w:t xml:space="preserve"> </w:t>
      </w:r>
      <w:r>
        <w:t xml:space="preserve">(3 area Location IDs).</w:t>
      </w:r>
      <w:r>
        <w:t xml:space="preserve"> </w:t>
      </w:r>
      <w:r>
        <w:t xml:space="preserve">- Backfill</w:t>
      </w:r>
      <w:r>
        <w:t xml:space="preserve"> </w:t>
      </w:r>
      <w:r>
        <w:rPr>
          <w:rStyle w:val="VerbatimChar"/>
        </w:rPr>
        <w:t xml:space="preserve">DowntimeReasonType</w:t>
      </w:r>
      <w:r>
        <w:t xml:space="preserve"> </w:t>
      </w:r>
      <w:r>
        <w:t xml:space="preserve">for any row where CSV</w:t>
      </w:r>
      <w:r>
        <w:t xml:space="preserve"> </w:t>
      </w:r>
      <w:r>
        <w:rPr>
          <w:rStyle w:val="VerbatimChar"/>
        </w:rPr>
        <w:t xml:space="preserve">TypeDesc</w:t>
      </w:r>
      <w:r>
        <w:t xml:space="preserve"> </w:t>
      </w:r>
      <w:r>
        <w:t xml:space="preserve">is missing — engineering-level review can be done in dev via</w:t>
      </w:r>
      <w:r>
        <w:t xml:space="preserve"> </w:t>
      </w:r>
      <w:r>
        <w:rPr>
          <w:rStyle w:val="VerbatimChar"/>
        </w:rPr>
        <w:t xml:space="preserve">_Update</w:t>
      </w:r>
      <w:r>
        <w:t xml:space="preserve"> </w:t>
      </w:r>
      <w:r>
        <w:t xml:space="preserve">calls on rows with NULL</w:t>
      </w:r>
      <w:r>
        <w:t xml:space="preserve"> </w:t>
      </w:r>
      <w:r>
        <w:rPr>
          <w:rStyle w:val="VerbatimChar"/>
        </w:rPr>
        <w:t xml:space="preserve">DowntimeReasonTypeId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Loading procedure:</w:t>
      </w:r>
      <w:r>
        <w:t xml:space="preserve"> </w:t>
      </w:r>
      <w:r>
        <w:rPr>
          <w:rStyle w:val="VerbatimChar"/>
        </w:rPr>
        <w:t xml:space="preserve">Oee.DowntimeReasonCode_BulkLoadFromSeed @ReasonsJson, @DcAreaId, @MsAreaId, @TsAreaId, @AppUserId</w:t>
      </w:r>
      <w:r>
        <w:t xml:space="preserve"> </w:t>
      </w:r>
      <w:r>
        <w:t xml:space="preserve">— built and tested in Phase 8. JSON-fed bulk load; deterministic Code generation</w:t>
      </w:r>
      <w:r>
        <w:t xml:space="preserve"> </w:t>
      </w:r>
      <w:r>
        <w:rPr>
          <w:rStyle w:val="VerbatimChar"/>
        </w:rPr>
        <w:t xml:space="preserve">{DeptCode}-{NNNN}</w:t>
      </w:r>
      <w:r>
        <w:t xml:space="preserve"> </w:t>
      </w:r>
      <w:r>
        <w:t xml:space="preserve">(zero-padded</w:t>
      </w:r>
      <w:r>
        <w:t xml:space="preserve"> </w:t>
      </w:r>
      <w:r>
        <w:rPr>
          <w:rStyle w:val="VerbatimChar"/>
        </w:rPr>
        <w:t xml:space="preserve">ReasonId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All 353 rows load (or MPP-revised count) without uniqueness violations on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  <w:r>
        <w:t xml:space="preserve"> </w:t>
      </w:r>
      <w:r>
        <w:t xml:space="preserve">2. Rows with missing</w:t>
      </w:r>
      <w:r>
        <w:t xml:space="preserve"> </w:t>
      </w:r>
      <w:r>
        <w:rPr>
          <w:rStyle w:val="VerbatimChar"/>
        </w:rPr>
        <w:t xml:space="preserve">TypeDesc</w:t>
      </w:r>
      <w:r>
        <w:t xml:space="preserve"> </w:t>
      </w:r>
      <w:r>
        <w:t xml:space="preserve">load with</w:t>
      </w:r>
      <w:r>
        <w:t xml:space="preserve"> </w:t>
      </w:r>
      <w:r>
        <w:rPr>
          <w:rStyle w:val="VerbatimChar"/>
        </w:rPr>
        <w:t xml:space="preserve">DowntimeReasonTypeId = NULL</w:t>
      </w:r>
      <w:r>
        <w:t xml:space="preserve">; engineering backfills via</w:t>
      </w:r>
      <w:r>
        <w:t xml:space="preserve"> </w:t>
      </w:r>
      <w:r>
        <w:rPr>
          <w:rStyle w:val="VerbatimChar"/>
        </w:rPr>
        <w:t xml:space="preserve">_Update</w:t>
      </w:r>
      <w:r>
        <w:t xml:space="preserve"> </w:t>
      </w:r>
      <w:r>
        <w:t xml:space="preserve">before go-live.</w:t>
      </w:r>
      <w:r>
        <w:t xml:space="preserve"> </w:t>
      </w:r>
      <w:r>
        <w:t xml:space="preserve">3. The MPP-supplied DC/MS/TS → Area IDs match the actual Area rows in</w:t>
      </w:r>
      <w:r>
        <w:t xml:space="preserve"> </w:t>
      </w:r>
      <w:r>
        <w:rPr>
          <w:rStyle w:val="VerbatimChar"/>
        </w:rPr>
        <w:t xml:space="preserve">Location.Location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s-03-defect-codes"/>
    <w:p>
      <w:pPr>
        <w:pStyle w:val="Heading3"/>
      </w:pPr>
      <w:r>
        <w:t xml:space="preserve">S-03 — Defect Codes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🟡 Received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reference/seed_data/defect_codes.csv</w:t>
      </w:r>
      <w:r>
        <w:t xml:space="preserve"> </w:t>
      </w:r>
      <w:r>
        <w:t xml:space="preserve">(153 rows extracted from FRS Appendix E)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Quality.DefectCode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MPP Quality — for</w:t>
      </w:r>
      <w:r>
        <w:t xml:space="preserve"> </w:t>
      </w:r>
      <w:r>
        <w:rPr>
          <w:rStyle w:val="VerbatimChar"/>
        </w:rPr>
        <w:t xml:space="preserve">AreaLocationId</w:t>
      </w:r>
      <w:r>
        <w:t xml:space="preserve"> </w:t>
      </w:r>
      <w:r>
        <w:t xml:space="preserve">mapping and confirmation that the FRS extract is current.</w:t>
      </w:r>
      <w:r>
        <w:t xml:space="preserve"> </w:t>
      </w:r>
      <w:r>
        <w:rPr>
          <w:b/>
          <w:bCs/>
        </w:rPr>
        <w:t xml:space="preserve">Blocking:</w:t>
      </w:r>
      <w:r>
        <w:t xml:space="preserve"> </w:t>
      </w:r>
      <w:r>
        <w:t xml:space="preserve">No — non-conformance capture works against an empty DefectCode set.</w:t>
      </w:r>
    </w:p>
    <w:p>
      <w:pPr>
        <w:pStyle w:val="BodyText"/>
      </w:pPr>
      <w:r>
        <w:rPr>
          <w:b/>
          <w:bCs/>
        </w:rPr>
        <w:t xml:space="preserve">File format:</w:t>
      </w:r>
      <w:r>
        <w:t xml:space="preserve"> </w:t>
      </w:r>
      <w:r>
        <w:t xml:space="preserve">CSV — columns:</w:t>
      </w:r>
      <w:r>
        <w:t xml:space="preserve"> </w:t>
      </w:r>
      <w:r>
        <w:rPr>
          <w:rStyle w:val="VerbatimChar"/>
        </w:rPr>
        <w:t xml:space="preserve">DefectId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DefectCode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DefectDesc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IsExcused</w:t>
      </w:r>
      <w:r>
        <w:t xml:space="preserve"> </w:t>
      </w:r>
      <w:r>
        <w:t xml:space="preserve">(or similar — see</w:t>
      </w:r>
      <w:r>
        <w:t xml:space="preserve"> </w:t>
      </w:r>
      <w:r>
        <w:rPr>
          <w:rStyle w:val="VerbatimChar"/>
        </w:rPr>
        <w:t xml:space="preserve">reference/seed_data/README.md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Mapping owed from MPP Quality: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AreaCode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AreaLocationId</w:t>
      </w:r>
      <w:r>
        <w:t xml:space="preserve">.</w:t>
      </w:r>
      <w:r>
        <w:t xml:space="preserve"> </w:t>
      </w:r>
      <w:r>
        <w:t xml:space="preserve">- Confirmation that the 2024 FRS list still reflects today’s defect catalogue — flag adds / removes.</w:t>
      </w:r>
    </w:p>
    <w:p>
      <w:pPr>
        <w:pStyle w:val="BodyText"/>
      </w:pPr>
      <w:r>
        <w:rPr>
          <w:b/>
          <w:bCs/>
        </w:rPr>
        <w:t xml:space="preserve">Loading procedure:</w:t>
      </w:r>
      <w:r>
        <w:t xml:space="preserve"> </w:t>
      </w:r>
      <w:r>
        <w:t xml:space="preserve">Bulk-load proc not yet written. Follows the</w:t>
      </w:r>
      <w:r>
        <w:t xml:space="preserve"> </w:t>
      </w:r>
      <w:r>
        <w:rPr>
          <w:rStyle w:val="VerbatimChar"/>
        </w:rPr>
        <w:t xml:space="preserve">DowntimeReasonCode_BulkLoadFromSeed</w:t>
      </w:r>
      <w:r>
        <w:t xml:space="preserve"> </w:t>
      </w:r>
      <w:r>
        <w:t xml:space="preserve">JSON pattern.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All 153 rows (or MPP-revised count) load.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AreaLocationId</w:t>
      </w:r>
      <w:r>
        <w:t xml:space="preserve"> </w:t>
      </w:r>
      <w:r>
        <w:t xml:space="preserve">mapping matches the MPP-supplied Area IDs.</w:t>
      </w:r>
    </w:p>
    <w:p>
      <w:r>
        <w:pict>
          <v:rect style="width:0;height:1.5pt" o:hralign="center" o:hrstd="t" o:hr="t"/>
        </w:pict>
      </w:r>
    </w:p>
    <w:bookmarkEnd w:id="14"/>
    <w:bookmarkStart w:id="15" w:name="s-04-opc-tag-catalog"/>
    <w:p>
      <w:pPr>
        <w:pStyle w:val="Heading3"/>
      </w:pPr>
      <w:r>
        <w:t xml:space="preserve">S-04 — OPC Tag Catalog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🟡 Received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reference/seed_data/opc_tags.csv</w:t>
      </w:r>
      <w:r>
        <w:t xml:space="preserve"> </w:t>
      </w:r>
      <w:r>
        <w:t xml:space="preserve">(161 rows extracted from FRS Appendix C)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Ignition OPC server configuration (NOT a SQL table).</w:t>
      </w:r>
      <w:r>
        <w:t xml:space="preserve"> </w:t>
      </w:r>
      <w:r>
        <w:rPr>
          <w:rStyle w:val="VerbatimChar"/>
        </w:rPr>
        <w:t xml:space="preserve">OmniServer</w:t>
      </w:r>
      <w:r>
        <w:t xml:space="preserve"> </w:t>
      </w:r>
      <w:r>
        <w:t xml:space="preserve">for scales;</w:t>
      </w:r>
      <w:r>
        <w:t xml:space="preserve"> </w:t>
      </w:r>
      <w:r>
        <w:rPr>
          <w:rStyle w:val="VerbatimChar"/>
        </w:rPr>
        <w:t xml:space="preserve">TOPServer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SWToolbox</w:t>
      </w:r>
      <w:r>
        <w:t xml:space="preserve"> </w:t>
      </w:r>
      <w:r>
        <w:t xml:space="preserve">for PLCs; Cognex for vision.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MPP Engineering — for endpoint IP / port validation and live-tag verification.</w:t>
      </w:r>
      <w:r>
        <w:t xml:space="preserve"> </w:t>
      </w:r>
      <w:r>
        <w:rPr>
          <w:b/>
          <w:bCs/>
        </w:rPr>
        <w:t xml:space="preserve">Blocking:</w:t>
      </w:r>
      <w:r>
        <w:t xml:space="preserve"> </w:t>
      </w:r>
      <w:r>
        <w:t xml:space="preserve">No — Ignition OPC config can be assembled as Phase 7 progresses.</w:t>
      </w:r>
    </w:p>
    <w:p>
      <w:pPr>
        <w:pStyle w:val="BodyText"/>
      </w:pPr>
      <w:r>
        <w:rPr>
          <w:b/>
          <w:bCs/>
        </w:rPr>
        <w:t xml:space="preserve">File format:</w:t>
      </w:r>
      <w:r>
        <w:t xml:space="preserve"> </w:t>
      </w:r>
      <w:r>
        <w:t xml:space="preserve">CSV — columns:</w:t>
      </w:r>
      <w:r>
        <w:t xml:space="preserve"> </w:t>
      </w:r>
      <w:r>
        <w:rPr>
          <w:rStyle w:val="VerbatimChar"/>
        </w:rPr>
        <w:t xml:space="preserve">ServerName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ServerPid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OpcItemId</w:t>
      </w:r>
      <w:r>
        <w:t xml:space="preserve">. Full column docs in</w:t>
      </w:r>
      <w:r>
        <w:t xml:space="preserve"> </w:t>
      </w:r>
      <w:r>
        <w:rPr>
          <w:rStyle w:val="VerbatimChar"/>
        </w:rPr>
        <w:t xml:space="preserve">reference/seed_data/README.md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Validation owed from MPP Engineering:</w:t>
      </w:r>
      <w:r>
        <w:t xml:space="preserve"> </w:t>
      </w:r>
      <w:r>
        <w:t xml:space="preserve">- Endpoint IP / port for each OPC server (cross-reference with</w:t>
      </w:r>
      <w:r>
        <w:t xml:space="preserve"> </w:t>
      </w:r>
      <w:r>
        <w:rPr>
          <w:rStyle w:val="VerbatimChar"/>
        </w:rPr>
        <w:t xml:space="preserve">reference/NewInput/5GO-AP4 IPAddresses.xlsx</w:t>
      </w:r>
      <w:r>
        <w:t xml:space="preserve">).</w:t>
      </w:r>
      <w:r>
        <w:t xml:space="preserve"> </w:t>
      </w:r>
      <w:r>
        <w:t xml:space="preserve">- Live verification that each tag is reachable and behaves per the FRS (read/write direction, value type, rate).</w:t>
      </w:r>
    </w:p>
    <w:p>
      <w:pPr>
        <w:pStyle w:val="BodyText"/>
      </w:pPr>
      <w:r>
        <w:rPr>
          <w:b/>
          <w:bCs/>
        </w:rPr>
        <w:t xml:space="preserve">Loading procedure:</w:t>
      </w:r>
      <w:r>
        <w:t xml:space="preserve"> </w:t>
      </w:r>
      <w:r>
        <w:t xml:space="preserve">Manual import into Ignition Designer at Arc 2 Phase 7 (OPC configuration phase).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Every</w:t>
      </w:r>
      <w:r>
        <w:t xml:space="preserve"> </w:t>
      </w:r>
      <w:r>
        <w:rPr>
          <w:rStyle w:val="VerbatimChar"/>
        </w:rPr>
        <w:t xml:space="preserve">OpcItemId</w:t>
      </w:r>
      <w:r>
        <w:t xml:space="preserve"> </w:t>
      </w:r>
      <w:r>
        <w:t xml:space="preserve">resolves and reads/writes per the FRS spec on the live PLC/scale.</w:t>
      </w:r>
    </w:p>
    <w:p>
      <w:r>
        <w:pict>
          <v:rect style="width:0;height:1.5pt" o:hralign="center" o:hrstd="t" o:hr="t"/>
        </w:pict>
      </w:r>
    </w:p>
    <w:bookmarkEnd w:id="15"/>
    <w:bookmarkStart w:id="16" w:name="s-05-parts-master-list"/>
    <w:p>
      <w:pPr>
        <w:pStyle w:val="Heading3"/>
      </w:pPr>
      <w:r>
        <w:t xml:space="preserve">S-05 — Parts Master List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Owed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MPP IT export from Macola ERP and/or Flexware MES current parts table.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Parts.Item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MPP IT — for the export.</w:t>
      </w:r>
      <w:r>
        <w:t xml:space="preserve"> </w:t>
      </w:r>
      <w:r>
        <w:rPr>
          <w:b/>
          <w:bCs/>
        </w:rPr>
        <w:t xml:space="preserve">Blocking:</w:t>
      </w:r>
      <w:r>
        <w:t xml:space="preserve"> </w:t>
      </w:r>
      <w:r>
        <w:t xml:space="preserve">No —</w:t>
      </w:r>
      <w:r>
        <w:t xml:space="preserve"> </w:t>
      </w:r>
      <w:r>
        <w:rPr>
          <w:rStyle w:val="VerbatimChar"/>
        </w:rPr>
        <w:t xml:space="preserve">Parts.Item_Create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_Update</w:t>
      </w:r>
      <w:r>
        <w:t xml:space="preserve"> </w:t>
      </w:r>
      <w:r>
        <w:t xml:space="preserve">procs work against an empty table; sample parts can be seeded for dev. Production cutover needs the full list before go-live.</w:t>
      </w:r>
    </w:p>
    <w:p>
      <w:pPr>
        <w:pStyle w:val="BodyText"/>
      </w:pPr>
      <w:r>
        <w:rPr>
          <w:b/>
          <w:bCs/>
        </w:rPr>
        <w:t xml:space="preserve">File format owed from MPP IT:</w:t>
      </w:r>
      <w:r>
        <w:t xml:space="preserve"> </w:t>
      </w:r>
      <w:r>
        <w:t xml:space="preserve">CSV or XLSX with at minimum: PartNumber, Description, MacolaPartNumber (optional), DefaultUomCode, UnitWeight (optional), WeightUomCode (optional), CountryOfOrigin (ISO 3166-1 alpha-2), MaxLotSize / PartsPerBasket (per-basket capacity), MaxParts (per-Location cap, optional), ItemType (Raw/Component/SubAssembly/FinishedGood). Format conversation with MPP IT pending.</w:t>
      </w:r>
    </w:p>
    <w:p>
      <w:pPr>
        <w:pStyle w:val="BodyText"/>
      </w:pPr>
      <w:r>
        <w:rPr>
          <w:b/>
          <w:bCs/>
        </w:rPr>
        <w:t xml:space="preserve">Mapping owed from MPP: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ItemType</w:t>
      </w:r>
      <w:r>
        <w:t xml:space="preserve"> </w:t>
      </w:r>
      <w:r>
        <w:t xml:space="preserve">per row — likely derivable from MPP ERP categories.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CountryOfOrigin</w:t>
      </w:r>
      <w:r>
        <w:t xml:space="preserve"> </w:t>
      </w:r>
      <w:r>
        <w:t xml:space="preserve">per row — Honda compliance field (FDS-03-001).</w:t>
      </w:r>
    </w:p>
    <w:p>
      <w:pPr>
        <w:pStyle w:val="BodyText"/>
      </w:pPr>
      <w:r>
        <w:rPr>
          <w:b/>
          <w:bCs/>
        </w:rPr>
        <w:t xml:space="preserve">Loading procedure:</w:t>
      </w:r>
      <w:r>
        <w:t xml:space="preserve"> </w:t>
      </w:r>
      <w:r>
        <w:t xml:space="preserve">Bulk-load proc not yet written; format depends on what MPP IT exports.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Every part on MPP’s master list loads as an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row with non-empty</w:t>
      </w:r>
      <w:r>
        <w:t xml:space="preserve"> </w:t>
      </w:r>
      <w:r>
        <w:rPr>
          <w:rStyle w:val="VerbatimChar"/>
        </w:rPr>
        <w:t xml:space="preserve">PartNumber</w:t>
      </w:r>
      <w:r>
        <w:t xml:space="preserve"> </w:t>
      </w:r>
      <w:r>
        <w:t xml:space="preserve">(UNIQUE), valid</w:t>
      </w:r>
      <w:r>
        <w:t xml:space="preserve"> </w:t>
      </w:r>
      <w:r>
        <w:rPr>
          <w:rStyle w:val="VerbatimChar"/>
        </w:rPr>
        <w:t xml:space="preserve">UomId</w:t>
      </w:r>
      <w:r>
        <w:t xml:space="preserve"> </w:t>
      </w:r>
      <w:r>
        <w:t xml:space="preserve">FK, and correct</w:t>
      </w:r>
      <w:r>
        <w:t xml:space="preserve"> </w:t>
      </w:r>
      <w:r>
        <w:rPr>
          <w:rStyle w:val="VerbatimChar"/>
        </w:rPr>
        <w:t xml:space="preserve">ItemType</w:t>
      </w:r>
      <w:r>
        <w:t xml:space="preserve"> </w:t>
      </w:r>
      <w:r>
        <w:t xml:space="preserve">FK.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CountryOfOrigin</w:t>
      </w:r>
      <w:r>
        <w:t xml:space="preserve"> </w:t>
      </w:r>
      <w:r>
        <w:t xml:space="preserve">populated where MPP has the data.</w:t>
      </w:r>
    </w:p>
    <w:p>
      <w:r>
        <w:pict>
          <v:rect style="width:0;height:1.5pt" o:hralign="center" o:hrstd="t" o:hr="t"/>
        </w:pict>
      </w:r>
    </w:p>
    <w:bookmarkEnd w:id="16"/>
    <w:bookmarkStart w:id="17" w:name="s-06-flexware-bom-export-oi-13"/>
    <w:p>
      <w:pPr>
        <w:pStyle w:val="Heading3"/>
      </w:pPr>
      <w:r>
        <w:t xml:space="preserve">S-06 — Flexware BOM Export (OI-13)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Owed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MPP IT export from the live Flexware MES at IP</w:t>
      </w:r>
      <w:r>
        <w:t xml:space="preserve"> </w:t>
      </w:r>
      <w:r>
        <w:rPr>
          <w:rStyle w:val="VerbatimChar"/>
        </w:rPr>
        <w:t xml:space="preserve">.919</w:t>
      </w:r>
      <w:r>
        <w:t xml:space="preserve">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Parts.Bom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Parts.BomLine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MPP IT — for the export tooling and execution.</w:t>
      </w:r>
      <w:r>
        <w:t xml:space="preserve"> </w:t>
      </w:r>
      <w:r>
        <w:rPr>
          <w:b/>
          <w:bCs/>
        </w:rPr>
        <w:t xml:space="preserve">Blocking:</w:t>
      </w:r>
      <w:r>
        <w:t xml:space="preserve"> </w:t>
      </w:r>
      <w:r>
        <w:t xml:space="preserve">No — Bom / BomLine schema and procs are built (Phase 6); empty-table operation is fine for non-BOM-driven flows. BOM-driven flows (Trim 1-line BOM consumption per FDS-05-033, Assembly material verification per FDS-06-011) need this loaded before go-live.</w:t>
      </w:r>
    </w:p>
    <w:p>
      <w:pPr>
        <w:pStyle w:val="BodyText"/>
      </w:pPr>
      <w:r>
        <w:rPr>
          <w:b/>
          <w:bCs/>
        </w:rPr>
        <w:t xml:space="preserve">Two-pull plan (per OI-13):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NOW</w:t>
      </w:r>
      <w:r>
        <w:t xml:space="preserve"> </w:t>
      </w:r>
      <w:r>
        <w:t xml:space="preserve">— one-shot pull for dev validation: load into dev DB, verify schema fit, exercise the</w:t>
      </w:r>
      <w:r>
        <w:t xml:space="preserve"> </w:t>
      </w:r>
      <w:r>
        <w:rPr>
          <w:rStyle w:val="VerbatimChar"/>
        </w:rPr>
        <w:t xml:space="preserve">Bom_GetActiveForItem</w:t>
      </w:r>
      <w:r>
        <w:t xml:space="preserve"> </w:t>
      </w:r>
      <w:r>
        <w:t xml:space="preserve">flow on a representative sample. Catches export-format issues before cutover.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At cutover</w:t>
      </w:r>
      <w:r>
        <w:t xml:space="preserve"> </w:t>
      </w:r>
      <w:r>
        <w:t xml:space="preserve">— fresh pull on cutover day to capture any BOM changes between dev validation and go-live.</w:t>
      </w:r>
    </w:p>
    <w:p>
      <w:pPr>
        <w:pStyle w:val="BodyText"/>
      </w:pPr>
      <w:r>
        <w:rPr>
          <w:b/>
          <w:bCs/>
        </w:rPr>
        <w:t xml:space="preserve">File format owed from MPP IT:</w:t>
      </w:r>
      <w:r>
        <w:t xml:space="preserve"> </w:t>
      </w:r>
      <w:r>
        <w:t xml:space="preserve">TBD — depends on what Flexware exports. Likely two CSVs (</w:t>
      </w:r>
      <w:r>
        <w:rPr>
          <w:rStyle w:val="VerbatimChar"/>
        </w:rPr>
        <w:t xml:space="preserve">bom_header.csv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bom_line.csv</w:t>
      </w:r>
      <w:r>
        <w:t xml:space="preserve">) or a JSON tree. Format conversation pending.</w:t>
      </w:r>
    </w:p>
    <w:p>
      <w:pPr>
        <w:pStyle w:val="BodyText"/>
      </w:pPr>
      <w:r>
        <w:rPr>
          <w:b/>
          <w:bCs/>
        </w:rPr>
        <w:t xml:space="preserve">Loading procedure:</w:t>
      </w:r>
      <w:r>
        <w:t xml:space="preserve"> </w:t>
      </w:r>
      <w:r>
        <w:t xml:space="preserve">Bulk-load proc not yet written; written after MPP IT confirms export format.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Every Flexware BOM round-trips to</w:t>
      </w:r>
      <w:r>
        <w:t xml:space="preserve"> </w:t>
      </w:r>
      <w:r>
        <w:rPr>
          <w:rStyle w:val="VerbatimChar"/>
        </w:rPr>
        <w:t xml:space="preserve">Parts.Bom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Parts.BomLine</w:t>
      </w:r>
      <w:r>
        <w:t xml:space="preserve"> </w:t>
      </w:r>
      <w:r>
        <w:t xml:space="preserve">without error.</w:t>
      </w:r>
      <w:r>
        <w:t xml:space="preserve"> </w:t>
      </w:r>
      <w:r>
        <w:t xml:space="preserve">2. Sample-part</w:t>
      </w:r>
      <w:r>
        <w:t xml:space="preserve"> </w:t>
      </w:r>
      <w:r>
        <w:rPr>
          <w:rStyle w:val="VerbatimChar"/>
        </w:rPr>
        <w:t xml:space="preserve">Bom_GetActiveForItem</w:t>
      </w:r>
      <w:r>
        <w:t xml:space="preserve"> </w:t>
      </w:r>
      <w:r>
        <w:t xml:space="preserve">returns the expected component list.</w:t>
      </w:r>
      <w:r>
        <w:t xml:space="preserve"> </w:t>
      </w:r>
      <w:r>
        <w:t xml:space="preserve">3. Versioning: imported BOMs land as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rows (not Draft) — they’re already in active use at MPP.</w:t>
      </w:r>
    </w:p>
    <w:p>
      <w:pPr>
        <w:pStyle w:val="BodyText"/>
      </w:pPr>
      <w:r>
        <w:rPr>
          <w:b/>
          <w:bCs/>
        </w:rPr>
        <w:t xml:space="preserve">Coupling:</w:t>
      </w:r>
      <w:r>
        <w:t xml:space="preserve"> </w:t>
      </w:r>
      <w:r>
        <w:t xml:space="preserve">Requires S-05 (Parts master) to be loaded first — BomLine.ChildItemId FKs into Item.</w:t>
      </w:r>
    </w:p>
    <w:p>
      <w:r>
        <w:pict>
          <v:rect style="width:0;height:1.5pt" o:hralign="center" o:hrstd="t" o:hr="t"/>
        </w:pict>
      </w:r>
    </w:p>
    <w:bookmarkEnd w:id="17"/>
    <w:bookmarkStart w:id="18" w:name="s-07-die-rank-list"/>
    <w:p>
      <w:pPr>
        <w:pStyle w:val="Heading3"/>
      </w:pPr>
      <w:r>
        <w:t xml:space="preserve">S-07 — Die Rank List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Owed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MPP Quality.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Tools.DieRank</w:t>
      </w:r>
      <w:r>
        <w:t xml:space="preserve"> </w:t>
      </w:r>
      <w:r>
        <w:t xml:space="preserve">(currently empty seed)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MPP Quality — for the canonical rank list.</w:t>
      </w:r>
      <w:r>
        <w:t xml:space="preserve"> </w:t>
      </w:r>
      <w:r>
        <w:rPr>
          <w:b/>
          <w:bCs/>
        </w:rPr>
        <w:t xml:space="preserve">Blocking:</w:t>
      </w:r>
      <w:r>
        <w:t xml:space="preserve"> </w:t>
      </w:r>
      <w:r>
        <w:t xml:space="preserve">No —</w:t>
      </w:r>
      <w:r>
        <w:t xml:space="preserve"> </w:t>
      </w:r>
      <w:r>
        <w:rPr>
          <w:rStyle w:val="VerbatimChar"/>
        </w:rPr>
        <w:t xml:space="preserve">Tools.Tool</w:t>
      </w:r>
      <w:r>
        <w:t xml:space="preserve"> </w:t>
      </w:r>
      <w:r>
        <w:t xml:space="preserve">rows can be created with</w:t>
      </w:r>
      <w:r>
        <w:t xml:space="preserve"> </w:t>
      </w:r>
      <w:r>
        <w:rPr>
          <w:rStyle w:val="VerbatimChar"/>
        </w:rPr>
        <w:t xml:space="preserve">DieRankId = NULL</w:t>
      </w:r>
      <w:r>
        <w:t xml:space="preserve">; rank assignment can be backfilled. Cross-die merges that require rank checks (S-08) are the only flow that needs this loaded.</w:t>
      </w:r>
    </w:p>
    <w:p>
      <w:pPr>
        <w:pStyle w:val="BodyText"/>
      </w:pPr>
      <w:r>
        <w:rPr>
          <w:b/>
          <w:bCs/>
        </w:rPr>
        <w:t xml:space="preserve">Format owed:</w:t>
      </w:r>
      <w:r>
        <w:t xml:space="preserve"> </w:t>
      </w:r>
      <w:r>
        <w:t xml:space="preserve">Simple list of rank codes + descriptions (e.g.,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with descriptions).</w:t>
      </w:r>
    </w:p>
    <w:p>
      <w:pPr>
        <w:pStyle w:val="BodyText"/>
      </w:pPr>
      <w:r>
        <w:rPr>
          <w:b/>
          <w:bCs/>
        </w:rPr>
        <w:t xml:space="preserve">Loading procedure:</w:t>
      </w:r>
      <w:r>
        <w:t xml:space="preserve"> </w:t>
      </w:r>
      <w:r>
        <w:t xml:space="preserve">Manual</w:t>
      </w:r>
      <w:r>
        <w:t xml:space="preserve"> </w:t>
      </w:r>
      <w:r>
        <w:rPr>
          <w:rStyle w:val="VerbatimChar"/>
        </w:rPr>
        <w:t xml:space="preserve">Tools.DieRank_Create</w:t>
      </w:r>
      <w:r>
        <w:t xml:space="preserve"> </w:t>
      </w:r>
      <w:r>
        <w:t xml:space="preserve">calls (~10 rows expected).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All MPP-defined ranks present as</w:t>
      </w:r>
      <w:r>
        <w:t xml:space="preserve"> </w:t>
      </w:r>
      <w:r>
        <w:rPr>
          <w:rStyle w:val="VerbatimChar"/>
        </w:rPr>
        <w:t xml:space="preserve">Tools.DieRank</w:t>
      </w:r>
      <w:r>
        <w:t xml:space="preserve"> </w:t>
      </w:r>
      <w:r>
        <w:t xml:space="preserve">rows.</w:t>
      </w:r>
    </w:p>
    <w:p>
      <w:r>
        <w:pict>
          <v:rect style="width:0;height:1.5pt" o:hralign="center" o:hrstd="t" o:hr="t"/>
        </w:pict>
      </w:r>
    </w:p>
    <w:bookmarkEnd w:id="18"/>
    <w:bookmarkStart w:id="19" w:name="s-08-die-rank-compatibility-matrix"/>
    <w:p>
      <w:pPr>
        <w:pStyle w:val="Heading3"/>
      </w:pPr>
      <w:r>
        <w:t xml:space="preserve">S-08 — Die Rank Compatibility Matrix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Owed —</w:t>
      </w:r>
      <w:r>
        <w:t xml:space="preserve"> </w:t>
      </w:r>
      <w:r>
        <w:rPr>
          <w:b/>
          <w:bCs/>
        </w:rPr>
        <w:t xml:space="preserve">TRUE BLOCKER</w:t>
      </w:r>
      <w:r>
        <w:t xml:space="preserve"> </w:t>
      </w:r>
      <w:r>
        <w:t xml:space="preserve">(with supervisor-override workaround)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MPP Quality.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Tools.DieRankCompatibility</w:t>
      </w:r>
      <w:r>
        <w:t xml:space="preserve"> </w:t>
      </w:r>
      <w:r>
        <w:t xml:space="preserve">(currently empty seed)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MPP Quality — owes the full pairwise compatibility matrix.</w:t>
      </w:r>
      <w:r>
        <w:t xml:space="preserve"> </w:t>
      </w:r>
      <w:r>
        <w:rPr>
          <w:b/>
          <w:bCs/>
        </w:rPr>
        <w:t xml:space="preserve">Blocking: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Lots.Lot_Merge</w:t>
      </w:r>
      <w:r>
        <w:t xml:space="preserve"> </w:t>
      </w:r>
      <w:r>
        <w:t xml:space="preserve">rejects cross-die merges until at least the relevant rank pair exists in the matrix. Supervisor AD elevation (FDS-04-007) provides an override path until populated, so the workaround is real but adds operator friction.</w:t>
      </w:r>
    </w:p>
    <w:p>
      <w:pPr>
        <w:pStyle w:val="BodyText"/>
      </w:pPr>
      <w:r>
        <w:rPr>
          <w:b/>
          <w:bCs/>
        </w:rPr>
        <w:t xml:space="preserve">Format owed:</w:t>
      </w:r>
      <w:r>
        <w:t xml:space="preserve"> </w:t>
      </w:r>
      <w:r>
        <w:t xml:space="preserve">Pairwise list</w:t>
      </w:r>
      <w:r>
        <w:t xml:space="preserve"> </w:t>
      </w:r>
      <w:r>
        <w:rPr>
          <w:rStyle w:val="VerbatimChar"/>
        </w:rPr>
        <w:t xml:space="preserve">(RankA_Code, RankB_Code, CanMix BIT)</w:t>
      </w:r>
      <w:r>
        <w:t xml:space="preserve">. Or symmetric matrix in xlsx.</w:t>
      </w:r>
    </w:p>
    <w:p>
      <w:pPr>
        <w:pStyle w:val="BodyText"/>
      </w:pPr>
      <w:r>
        <w:rPr>
          <w:b/>
          <w:bCs/>
        </w:rPr>
        <w:t xml:space="preserve">Loading procedure:</w:t>
      </w:r>
      <w:r>
        <w:t xml:space="preserve"> </w:t>
      </w:r>
      <w:r>
        <w:t xml:space="preserve">Manual</w:t>
      </w:r>
      <w:r>
        <w:t xml:space="preserve"> </w:t>
      </w:r>
      <w:r>
        <w:rPr>
          <w:rStyle w:val="VerbatimChar"/>
        </w:rPr>
        <w:t xml:space="preserve">Tools.DieRankCompatibility_Create</w:t>
      </w:r>
      <w:r>
        <w:t xml:space="preserve"> </w:t>
      </w:r>
      <w:r>
        <w:t xml:space="preserve">calls per pair (or a small bulk-load proc if matrix is wide).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Every pair MPP Quality identifies as compatible has a row with</w:t>
      </w:r>
      <w:r>
        <w:t xml:space="preserve"> </w:t>
      </w:r>
      <w:r>
        <w:rPr>
          <w:rStyle w:val="VerbatimChar"/>
        </w:rPr>
        <w:t xml:space="preserve">CanMix = 1</w:t>
      </w:r>
      <w:r>
        <w:t xml:space="preserve">.</w:t>
      </w:r>
      <w:r>
        <w:t xml:space="preserve"> </w:t>
      </w:r>
      <w:r>
        <w:t xml:space="preserve">2. Default behavior for unlisted pairs: reject merge (proc enforces this).</w:t>
      </w:r>
    </w:p>
    <w:p>
      <w:pPr>
        <w:pStyle w:val="BodyText"/>
      </w:pPr>
      <w:r>
        <w:rPr>
          <w:b/>
          <w:bCs/>
        </w:rPr>
        <w:t xml:space="preserve">Depends on:</w:t>
      </w:r>
      <w:r>
        <w:t xml:space="preserve"> </w:t>
      </w:r>
      <w:r>
        <w:t xml:space="preserve">S-07 (DieRank list).</w:t>
      </w:r>
    </w:p>
    <w:p>
      <w:r>
        <w:pict>
          <v:rect style="width:0;height:1.5pt" o:hralign="center" o:hrstd="t" o:hr="t"/>
        </w:pict>
      </w:r>
    </w:p>
    <w:bookmarkEnd w:id="19"/>
    <w:bookmarkStart w:id="20" w:name="s-09-label-type-code-validation"/>
    <w:p>
      <w:pPr>
        <w:pStyle w:val="Heading3"/>
      </w:pPr>
      <w:r>
        <w:t xml:space="preserve">S-09 — Label Type Code Validation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Owed (validation only — values already seeded by Blue Ridge)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Blue Ridge proposed values from Honda shipping conventions: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Void</w:t>
      </w:r>
      <w:r>
        <w:t xml:space="preserve">. Loaded via Phase 3 migration</w:t>
      </w:r>
      <w:r>
        <w:t xml:space="preserve"> </w:t>
      </w:r>
      <w:r>
        <w:rPr>
          <w:rStyle w:val="VerbatimChar"/>
        </w:rPr>
        <w:t xml:space="preserve">0004_phase3_reference_lookups.sql</w:t>
      </w:r>
      <w:r>
        <w:t xml:space="preserve">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Lots.LabelTypeCode</w:t>
      </w:r>
      <w:r>
        <w:t xml:space="preserve"> </w:t>
      </w:r>
      <w:r>
        <w:t xml:space="preserve">(4 rows already in dev DB)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MPP Shipping — for confirmation / corrections.</w:t>
      </w:r>
      <w:r>
        <w:t xml:space="preserve"> </w:t>
      </w:r>
      <w:r>
        <w:rPr>
          <w:b/>
          <w:bCs/>
        </w:rPr>
        <w:t xml:space="preserve">Blocking:</w:t>
      </w:r>
      <w:r>
        <w:t xml:space="preserve"> </w:t>
      </w:r>
      <w:r>
        <w:t xml:space="preserve">No — labels print against whatever’s seeded; if values change, an update migration is trivial.</w:t>
      </w:r>
    </w:p>
    <w:p>
      <w:pPr>
        <w:pStyle w:val="BodyText"/>
      </w:pPr>
      <w:r>
        <w:rPr>
          <w:b/>
          <w:bCs/>
        </w:rPr>
        <w:t xml:space="preserve">Validation owed from MPP Shipping:</w:t>
      </w:r>
      <w:r>
        <w:t xml:space="preserve"> </w:t>
      </w:r>
      <w:r>
        <w:t xml:space="preserve">- Confirm the four seeded values match Honda’s terminology and operational vocabulary.</w:t>
      </w:r>
      <w:r>
        <w:t xml:space="preserve"> </w:t>
      </w:r>
      <w:r>
        <w:t xml:space="preserve">- Flag any additional types (e.g.,</w:t>
      </w:r>
      <w:r>
        <w:t xml:space="preserve"> </w:t>
      </w:r>
      <w:r>
        <w:rPr>
          <w:rStyle w:val="VerbatimChar"/>
        </w:rPr>
        <w:t xml:space="preserve">Repack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Reprint</w:t>
      </w:r>
      <w:r>
        <w:t xml:space="preserve">) that should be seeded.</w:t>
      </w:r>
    </w:p>
    <w:p>
      <w:pPr>
        <w:pStyle w:val="BodyText"/>
      </w:pPr>
      <w:r>
        <w:rPr>
          <w:b/>
          <w:bCs/>
        </w:rPr>
        <w:t xml:space="preserve">Loading procedure:</w:t>
      </w:r>
      <w:r>
        <w:t xml:space="preserve"> </w:t>
      </w:r>
      <w:r>
        <w:t xml:space="preserve">Already loaded. Updates land as a small versioned migration if values change.</w:t>
      </w:r>
    </w:p>
    <w:p>
      <w:r>
        <w:pict>
          <v:rect style="width:0;height:1.5pt" o:hralign="center" o:hrstd="t" o:hr="t"/>
        </w:pict>
      </w:r>
    </w:p>
    <w:bookmarkEnd w:id="20"/>
    <w:bookmarkStart w:id="21" w:name="X8319f99a7a55f03d525a92c2affe03ea9674730"/>
    <w:p>
      <w:pPr>
        <w:pStyle w:val="Heading3"/>
      </w:pPr>
      <w:r>
        <w:t xml:space="preserve">S-10 — Identifier Sequence Baselines (Cutover Snapshot)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⬜ Owed (cutover-only — not blocking dev)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Snapshot of Flexware live counter values for</w:t>
      </w:r>
      <w:r>
        <w:t xml:space="preserve"> </w:t>
      </w:r>
      <w:r>
        <w:rPr>
          <w:rStyle w:val="VerbatimChar"/>
        </w:rPr>
        <w:t xml:space="preserve">Lot</w:t>
      </w:r>
      <w:r>
        <w:t xml:space="preserve"> </w:t>
      </w:r>
      <w:r>
        <w:t xml:space="preserve">(~1,710,932 baseline) and</w:t>
      </w:r>
      <w:r>
        <w:t xml:space="preserve"> </w:t>
      </w:r>
      <w:r>
        <w:rPr>
          <w:rStyle w:val="VerbatimChar"/>
        </w:rPr>
        <w:t xml:space="preserve">SerializedItem</w:t>
      </w:r>
      <w:r>
        <w:t xml:space="preserve"> </w:t>
      </w:r>
      <w:r>
        <w:t xml:space="preserve">(~2,492 baseline) on cutover day.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Lots.IdentifierSequence.LastValue</w:t>
      </w:r>
      <w:r>
        <w:t xml:space="preserve"> </w:t>
      </w:r>
      <w:r>
        <w:t xml:space="preserve">for the two seeded rows (</w:t>
      </w:r>
      <w:r>
        <w:rPr>
          <w:rStyle w:val="VerbatimChar"/>
        </w:rPr>
        <w:t xml:space="preserve">Lot</w:t>
      </w:r>
      <w:r>
        <w:t xml:space="preserve"> </w:t>
      </w:r>
      <w:r>
        <w:rPr>
          <w:rStyle w:val="VerbatimChar"/>
        </w:rPr>
        <w:t xml:space="preserve">MESL{0:D7}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SerializedItem</w:t>
      </w:r>
      <w:r>
        <w:t xml:space="preserve"> </w:t>
      </w:r>
      <w:r>
        <w:rPr>
          <w:rStyle w:val="VerbatimChar"/>
        </w:rPr>
        <w:t xml:space="preserve">MESI{0:D7}</w:t>
      </w:r>
      <w:r>
        <w:t xml:space="preserve">).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MPP IT — for the snapshot reading.</w:t>
      </w:r>
      <w:r>
        <w:t xml:space="preserve"> </w:t>
      </w:r>
      <w:r>
        <w:rPr>
          <w:b/>
          <w:bCs/>
        </w:rPr>
        <w:t xml:space="preserve">Blocking:</w:t>
      </w:r>
      <w:r>
        <w:t xml:space="preserve"> </w:t>
      </w:r>
      <w:r>
        <w:t xml:space="preserve">No — dev DB seeds with</w:t>
      </w:r>
      <w:r>
        <w:t xml:space="preserve"> </w:t>
      </w:r>
      <w:r>
        <w:rPr>
          <w:rStyle w:val="VerbatimChar"/>
        </w:rPr>
        <w:t xml:space="preserve">LastValue = 0</w:t>
      </w:r>
      <w:r>
        <w:t xml:space="preserve">; the cutover migration overwrites with Flexware values to ensure ID continuity.</w:t>
      </w:r>
    </w:p>
    <w:p>
      <w:pPr>
        <w:pStyle w:val="BodyText"/>
      </w:pPr>
      <w:r>
        <w:rPr>
          <w:b/>
          <w:bCs/>
        </w:rPr>
        <w:t xml:space="preserve">Snapshot owed from MPP IT:</w:t>
      </w:r>
      <w:r>
        <w:t xml:space="preserve"> </w:t>
      </w:r>
      <w:r>
        <w:t xml:space="preserve">Two integer reads from Flexware on cutover day (delivered as a 2-row CSV or just two numbers in an email).</w:t>
      </w:r>
    </w:p>
    <w:p>
      <w:pPr>
        <w:pStyle w:val="BodyText"/>
      </w:pPr>
      <w:r>
        <w:rPr>
          <w:b/>
          <w:bCs/>
        </w:rPr>
        <w:t xml:space="preserve">Loading procedure:</w:t>
      </w:r>
      <w:r>
        <w:t xml:space="preserve"> </w:t>
      </w:r>
      <w:r>
        <w:t xml:space="preserve">Cutover migration:</w:t>
      </w:r>
      <w:r>
        <w:t xml:space="preserve"> </w:t>
      </w:r>
      <w:r>
        <w:rPr>
          <w:rStyle w:val="VerbatimChar"/>
        </w:rPr>
        <w:t xml:space="preserve">UPDATE Lots.IdentifierSequence SET LastValue = @MppLotValue WHERE Code = 'Lot';</w:t>
      </w:r>
      <w:r>
        <w:t xml:space="preserve"> </w:t>
      </w:r>
      <w:r>
        <w:t xml:space="preserve">+ same for SerializedItem.</w:t>
      </w:r>
    </w:p>
    <w:p>
      <w:pPr>
        <w:pStyle w:val="BodyText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1. First MES-issued</w:t>
      </w:r>
      <w:r>
        <w:t xml:space="preserve"> </w:t>
      </w:r>
      <w:r>
        <w:rPr>
          <w:rStyle w:val="VerbatimChar"/>
        </w:rPr>
        <w:t xml:space="preserve">Lot</w:t>
      </w:r>
      <w:r>
        <w:t xml:space="preserve"> </w:t>
      </w:r>
      <w:r>
        <w:t xml:space="preserve">LotName =</w:t>
      </w:r>
      <w:r>
        <w:t xml:space="preserve"> </w:t>
      </w:r>
      <w:r>
        <w:rPr>
          <w:rStyle w:val="VerbatimChar"/>
        </w:rPr>
        <w:t xml:space="preserve">MESL{Flexware_LastValue + 1:D7}</w:t>
      </w:r>
      <w:r>
        <w:t xml:space="preserve"> </w:t>
      </w:r>
      <w:r>
        <w:t xml:space="preserve">— no overlap, no gap.</w:t>
      </w:r>
      <w:r>
        <w:t xml:space="preserve"> </w:t>
      </w:r>
      <w:r>
        <w:t xml:space="preserve">2. Same for SerializedItem.</w:t>
      </w:r>
    </w:p>
    <w:p>
      <w:r>
        <w:pict>
          <v:rect style="width:0;height:1.5pt" o:hralign="center" o:hrstd="t" o:hr="t"/>
        </w:pict>
      </w:r>
    </w:p>
    <w:bookmarkEnd w:id="21"/>
    <w:bookmarkStart w:id="22" w:name="s-11-aim-pool-configuration-tuning"/>
    <w:p>
      <w:pPr>
        <w:pStyle w:val="Heading3"/>
      </w:pPr>
      <w:r>
        <w:t xml:space="preserve">S-11 — AIM Pool Configuration Tuning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🟡 Received (defaults seeded by Blue Ridge)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Defaults shipped with Arc 2 Phase 7 migration:</w:t>
      </w:r>
      <w:r>
        <w:t xml:space="preserve"> </w:t>
      </w:r>
      <w:r>
        <w:rPr>
          <w:rStyle w:val="VerbatimChar"/>
        </w:rPr>
        <w:t xml:space="preserve">TargetBufferDepth = 50, TopupThreshold = 30, AlarmWarningDepth = 20, AlarmCriticalDepth = 10</w:t>
      </w:r>
      <w:r>
        <w:t xml:space="preserve">.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Lots.AimPoolConfig</w:t>
      </w:r>
      <w:r>
        <w:t xml:space="preserve"> </w:t>
      </w:r>
      <w:r>
        <w:t xml:space="preserve">(single-row table; one seeded row)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MPP — for post-deploy tuning based on observed peak container throughput vs AIM responsiveness.</w:t>
      </w:r>
      <w:r>
        <w:t xml:space="preserve"> </w:t>
      </w:r>
      <w:r>
        <w:rPr>
          <w:b/>
          <w:bCs/>
        </w:rPr>
        <w:t xml:space="preserve">Blocking:</w:t>
      </w:r>
      <w:r>
        <w:t xml:space="preserve"> </w:t>
      </w:r>
      <w:r>
        <w:t xml:space="preserve">No.</w:t>
      </w:r>
    </w:p>
    <w:p>
      <w:pPr>
        <w:pStyle w:val="BodyText"/>
      </w:pPr>
      <w:r>
        <w:rPr>
          <w:b/>
          <w:bCs/>
        </w:rPr>
        <w:t xml:space="preserve">Tuning input owed from MPP (post-deploy):</w:t>
      </w:r>
      <w:r>
        <w:t xml:space="preserve"> </w:t>
      </w:r>
      <w:r>
        <w:t xml:space="preserve">- Observed peak containers/hour across all dedicated Assembly terminals combined.</w:t>
      </w:r>
      <w:r>
        <w:t xml:space="preserve"> </w:t>
      </w:r>
      <w:r>
        <w:t xml:space="preserve">- Observed AIM</w:t>
      </w:r>
      <w:r>
        <w:t xml:space="preserve"> </w:t>
      </w:r>
      <w:r>
        <w:rPr>
          <w:rStyle w:val="VerbatimChar"/>
        </w:rPr>
        <w:t xml:space="preserve">GetNextNumber</w:t>
      </w:r>
      <w:r>
        <w:t xml:space="preserve"> </w:t>
      </w:r>
      <w:r>
        <w:t xml:space="preserve">response time (mean + p99).</w:t>
      </w:r>
      <w:r>
        <w:t xml:space="preserve"> </w:t>
      </w:r>
      <w:r>
        <w:t xml:space="preserve">- Operational tolerance for AIM-outage windows (how long should production survive an AIM outage on the buffer alone).</w:t>
      </w:r>
    </w:p>
    <w:p>
      <w:pPr>
        <w:pStyle w:val="BodyText"/>
      </w:pPr>
      <w:r>
        <w:rPr>
          <w:b/>
          <w:bCs/>
        </w:rPr>
        <w:t xml:space="preserve">Loading procedure:</w:t>
      </w:r>
      <w:r>
        <w:t xml:space="preserve"> </w:t>
      </w:r>
      <w:r>
        <w:t xml:space="preserve">Configuration Tool exposes</w:t>
      </w:r>
      <w:r>
        <w:t xml:space="preserve"> </w:t>
      </w:r>
      <w:r>
        <w:rPr>
          <w:rStyle w:val="VerbatimChar"/>
        </w:rPr>
        <w:t xml:space="preserve">Lots.AimPoolConfig_Update @TargetBufferDepth, @TopupThreshold, @AlarmWarningDepth, @AlarmCriticalDepth</w:t>
      </w:r>
      <w:r>
        <w:t xml:space="preserve"> </w:t>
      </w:r>
      <w:r>
        <w:t xml:space="preserve">(Admin-elevated per FDS-04-007).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dding-a-new-seeding-item"/>
    <w:p>
      <w:pPr>
        <w:pStyle w:val="Heading2"/>
      </w:pPr>
      <w:r>
        <w:t xml:space="preserve">Adding a New Seeding Item</w:t>
      </w:r>
    </w:p>
    <w:p>
      <w:pPr>
        <w:pStyle w:val="FirstParagraph"/>
      </w:pPr>
      <w:r>
        <w:t xml:space="preserve">When a new external-data dependency surfaces:</w:t>
      </w:r>
      <w:r>
        <w:t xml:space="preserve"> </w:t>
      </w:r>
      <w:r>
        <w:t xml:space="preserve">1. Add a row to the</w:t>
      </w:r>
      <w:r>
        <w:t xml:space="preserve"> </w:t>
      </w:r>
      <w:r>
        <w:rPr>
          <w:b/>
          <w:bCs/>
        </w:rPr>
        <w:t xml:space="preserve">Summary</w:t>
      </w:r>
      <w:r>
        <w:t xml:space="preserve"> </w:t>
      </w:r>
      <w:r>
        <w:t xml:space="preserve">table with the next</w:t>
      </w:r>
      <w:r>
        <w:t xml:space="preserve"> </w:t>
      </w:r>
      <w:r>
        <w:rPr>
          <w:rStyle w:val="VerbatimChar"/>
        </w:rPr>
        <w:t xml:space="preserve">S-NN</w:t>
      </w:r>
      <w:r>
        <w:t xml:space="preserve"> </w:t>
      </w:r>
      <w:r>
        <w:t xml:space="preserve">ID.</w:t>
      </w:r>
      <w:r>
        <w:t xml:space="preserve"> </w:t>
      </w:r>
      <w:r>
        <w:t xml:space="preserve">2. Add a per-item detail section below.</w:t>
      </w:r>
      <w:r>
        <w:t xml:space="preserve"> </w:t>
      </w:r>
      <w:r>
        <w:t xml:space="preserve">3. If the item is a true blocker (rare), flag it in both the summary table’s</w:t>
      </w:r>
      <w:r>
        <w:t xml:space="preserve"> </w:t>
      </w:r>
      <w:r>
        <w:t xml:space="preserve">“Blocking?”</w:t>
      </w:r>
      <w:r>
        <w:t xml:space="preserve"> </w:t>
      </w:r>
      <w:r>
        <w:t xml:space="preserve">column and in CLAUDE.md’s</w:t>
      </w:r>
      <w:r>
        <w:t xml:space="preserve"> </w:t>
      </w:r>
      <w:r>
        <w:t xml:space="preserve">“Decision blockers”</w:t>
      </w:r>
      <w:r>
        <w:t xml:space="preserve"> </w:t>
      </w:r>
      <w:r>
        <w:t xml:space="preserve">list.</w:t>
      </w:r>
      <w:r>
        <w:t xml:space="preserve"> </w:t>
      </w:r>
      <w:r>
        <w:t xml:space="preserve">4. Update the Revision History.</w:t>
      </w:r>
    </w:p>
    <w:bookmarkEnd w:id="24"/>
    <w:bookmarkStart w:id="25" w:name="marking-an-item-loaded"/>
    <w:p>
      <w:pPr>
        <w:pStyle w:val="Heading2"/>
      </w:pPr>
      <w:r>
        <w:t xml:space="preserve">Marking an Item Loaded</w:t>
      </w:r>
    </w:p>
    <w:p>
      <w:pPr>
        <w:pStyle w:val="FirstParagraph"/>
      </w:pPr>
      <w:r>
        <w:t xml:space="preserve">When MPP delivers data and it lands in dev:</w:t>
      </w:r>
      <w:r>
        <w:t xml:space="preserve"> </w:t>
      </w:r>
      <w:r>
        <w:t xml:space="preserve">1. Update the item’s status badge to ✅ Loaded (Dev) in the summary table and the per-item section.</w:t>
      </w:r>
      <w:r>
        <w:t xml:space="preserve"> </w:t>
      </w:r>
      <w:r>
        <w:t xml:space="preserve">2. Capture the actual row count loaded vs the originally-quoted count.</w:t>
      </w:r>
      <w:r>
        <w:t xml:space="preserve"> </w:t>
      </w:r>
      <w:r>
        <w:t xml:space="preserve">3. Update the Revision History.</w:t>
      </w:r>
    </w:p>
    <w:p>
      <w:pPr>
        <w:pStyle w:val="BodyText"/>
      </w:pPr>
      <w:r>
        <w:t xml:space="preserve">When the item is verified in a cutover-equivalent environment (post-Phase 0 customer validation workshop or equivalent):</w:t>
      </w:r>
      <w:r>
        <w:t xml:space="preserve"> </w:t>
      </w:r>
      <w:r>
        <w:t xml:space="preserve">1. Update the badge to 🔵 Verified (Cutover).</w:t>
      </w:r>
      <w:r>
        <w:t xml:space="preserve"> </w:t>
      </w:r>
      <w:r>
        <w:t xml:space="preserve">2. Capture the responsible MPP stakeholder + date of validation.</w:t>
      </w:r>
      <w:r>
        <w:t xml:space="preserve"> </w:t>
      </w:r>
      <w:r>
        <w:t xml:space="preserve">3. Update the Revision History.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1F4E79" w:val="clear"/>
        <w:tcBorders>
          <w:bottom w:color="1F4E79" w:space="0" w:sz="8" w:val="single"/>
        </w:tcBorders>
        <w:vAlign w:val="center"/>
      </w:tcPr>
    </w:tblStylePr>
    <w:tblStylePr w:type="band2Horz">
      <w:tcPr>
        <w:shd w:color="auto" w:fill="F2F2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2026-04-27T14:41:20Z</dcterms:created>
  <dcterms:modified xsi:type="dcterms:W3CDTF">2026-04-27T14:41:20Z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