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0.11f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 OI-23 — LOT derived quantities implemented as a view, not materialized columns.</w:t>
            </w:r>
            <w:r>
              <w:t xml:space="preserve"> </w:t>
            </w:r>
            <w:r>
              <w:t xml:space="preserve">Per Jacques’s 2026-04-24 OIR review: use a SQL view (</w:t>
            </w:r>
            <w:r>
              <w:rPr>
                <w:rStyle w:val="VerbatimChar"/>
              </w:rPr>
              <w:t xml:space="preserve">Lots.v_LotDerivedQuantities</w:t>
            </w:r>
            <w:r>
              <w:t xml:space="preserve">) computing</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no update-on-write. FDS-05-031 rewritten to specify the view-backed derivation and drop the</w:t>
            </w:r>
            <w:r>
              <w:t xml:space="preserve"> </w:t>
            </w:r>
            <w:r>
              <w:t xml:space="preserve">“may be materialized in a future phase”</w:t>
            </w:r>
            <w:r>
              <w:t xml:space="preserve"> </w:t>
            </w:r>
            <w:r>
              <w:t xml:space="preserve">option. Data Model v1.9e documents the view. Arc 2 Plan Phase 2 migration gains the view creation.</w:t>
            </w:r>
          </w:p>
        </w:tc>
      </w:tr>
      <w:tr>
        <w:tc>
          <w:tcPr/>
          <w:p>
            <w:pPr>
              <w:pStyle w:val="Compact"/>
            </w:pPr>
            <w:r>
              <w:t xml:space="preserve">0.11e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§2.5 / §4 OI-08 terminal-mode-by-assignment rule.</w:t>
            </w:r>
            <w:r>
              <w:t xml:space="preserve"> </w:t>
            </w:r>
            <w:r>
              <w:t xml:space="preserve">Per Jacques’s 2026-04-24 OIR review: the Terminal’s</w:t>
            </w:r>
            <w:r>
              <w:t xml:space="preserve"> </w:t>
            </w:r>
            <w:r>
              <w:rPr>
                <w:b/>
                <w:bCs/>
              </w:rPr>
              <w:t xml:space="preserve">parent Location tier determines its mode</w:t>
            </w:r>
            <w:r>
              <w:t xml:space="preserve"> </w:t>
            </w:r>
            <w:r>
              <w:t xml:space="preserve">— no separate</w:t>
            </w:r>
            <w:r>
              <w:t xml:space="preserve"> </w:t>
            </w:r>
            <w:r>
              <w:rPr>
                <w:rStyle w:val="VerbatimChar"/>
              </w:rPr>
              <w:t xml:space="preserve">TerminalMode</w:t>
            </w:r>
            <w:r>
              <w:t xml:space="preserve"> </w:t>
            </w:r>
            <w:r>
              <w:t xml:space="preserve">LocationAttribute needed. A Terminal whose parent Location is a WorkCenter (or Cell) is Dedicated; a Terminal whose parent Location is an Area is Shared. FDS-02-010 rewritten with the parent-tier-derived rule. FDS-04-003 rewritten to match (same Dedicated/Shared semantics, different derivation). The</w:t>
            </w:r>
            <w:r>
              <w:t xml:space="preserve"> </w:t>
            </w:r>
            <w:r>
              <w:rPr>
                <w:rStyle w:val="VerbatimChar"/>
              </w:rPr>
              <w:t xml:space="preserve">TerminalMode</w:t>
            </w:r>
            <w:r>
              <w:t xml:space="preserve"> </w:t>
            </w:r>
            <w:r>
              <w:t xml:space="preserve">LocationAttribute is superseded; the</w:t>
            </w:r>
            <w:r>
              <w:t xml:space="preserve"> </w:t>
            </w:r>
            <w:r>
              <w:rPr>
                <w:rStyle w:val="VerbatimChar"/>
              </w:rPr>
              <w:t xml:space="preserve">DedicatedMachineLocationId</w:t>
            </w:r>
            <w:r>
              <w:t xml:space="preserve"> </w:t>
            </w:r>
            <w:r>
              <w:t xml:space="preserve">attribute is also retired (the machine context IS the parent when Dedicated). FDS-02-011 machine-context-lock rule unchanged. Arc 2 Plan Phase 1</w:t>
            </w:r>
            <w:r>
              <w:t xml:space="preserve"> </w:t>
            </w:r>
            <w:r>
              <w:rPr>
                <w:rStyle w:val="VerbatimChar"/>
              </w:rPr>
              <w:t xml:space="preserve">Terminal_ResolveFromSession</w:t>
            </w:r>
            <w:r>
              <w:t xml:space="preserve"> </w:t>
            </w:r>
            <w:r>
              <w:t xml:space="preserve">proc spec already updated. ERD Location tab scope notes follow. No data-model schema change.</w:t>
            </w:r>
          </w:p>
        </w:tc>
      </w:tr>
      <w:tr>
        <w:tc>
          <w:tcPr>
            <w:shd w:val="clear" w:color="auto" w:fill="F2F2F2"/>
          </w:tcPr>
          <w:tcPr/>
          <w:p>
            <w:pPr>
              <w:pStyle w:val="Compact"/>
            </w:pPr>
            <w:r>
              <w:t xml:space="preserve">0.11d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§3.5 OI-18 extension — ItemLocation hierarchy cascade.</w:t>
            </w:r>
            <w:r>
              <w:t xml:space="preserve"> </w:t>
            </w:r>
            <w:r>
              <w:t xml:space="preserve">Per Jacques’s 2026-04-24 OIR review,</w:t>
            </w:r>
            <w:r>
              <w:t xml:space="preserve"> </w:t>
            </w:r>
            <w:r>
              <w:rPr>
                <w:rStyle w:val="VerbatimChar"/>
              </w:rPr>
              <w:t xml:space="preserve">Parts.ItemLocation.LocationId</w:t>
            </w:r>
            <w:r>
              <w:t xml:space="preserve"> </w:t>
            </w:r>
            <w:r>
              <w:t xml:space="preserve">is broadened to support Area / WorkCenter / Cell tiers. Eligibility at a specific Cell = exact-match row OR any ancestor row. FDS-03-014 (Eligibility Map) rewritten with the cascade algorithm. FDS-03-015 (Eligibility Management) extended with Config Tool UI note for tier selection. FDS-03-018 (Consumption Metadata) clarified — metadata lives on the ItemLocation row at whatever tier is declared; when a Cell scan-in resolves to an ancestor ItemLocation row, that row’s consumption metadata applies. New helper proc</w:t>
            </w:r>
            <w:r>
              <w:t xml:space="preserve"> </w:t>
            </w:r>
            <w:r>
              <w:rPr>
                <w:rStyle w:val="VerbatimChar"/>
              </w:rPr>
              <w:t xml:space="preserve">Parts.ItemLocation_IsEligible</w:t>
            </w:r>
            <w:r>
              <w:t xml:space="preserve"> </w:t>
            </w:r>
            <w:r>
              <w:t xml:space="preserve">specified. No column changes — the existing generic</w:t>
            </w:r>
            <w:r>
              <w:t xml:space="preserve"> </w:t>
            </w:r>
            <w:r>
              <w:rPr>
                <w:rStyle w:val="VerbatimChar"/>
              </w:rPr>
              <w:t xml:space="preserve">LocationId</w:t>
            </w:r>
            <w:r>
              <w:t xml:space="preserve"> </w:t>
            </w:r>
            <w:r>
              <w:t xml:space="preserve">FK already supports any tier.</w:t>
            </w:r>
          </w:p>
        </w:tc>
      </w:tr>
      <w:tr>
        <w:tc>
          <w:tcPr/>
          <w:p>
            <w:pPr>
              <w:pStyle w:val="Compact"/>
            </w:pPr>
            <w:r>
              <w:t xml:space="preserve">0.11c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shd w:val="clear" w:color="auto" w:fill="F2F2F2"/>
          </w:tcPr>
          <w:tcPr/>
          <w:p>
            <w:pPr>
              <w:pStyle w:val="Compact"/>
            </w:pPr>
            <w:r>
              <w:t xml:space="preserve">0.11b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p>
            <w:pPr>
              <w:pStyle w:val="Compact"/>
            </w:pPr>
            <w:r>
              <w:t xml:space="preserve">0.11</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0"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89"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1"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4"/>
    <w:bookmarkStart w:id="185"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5"/>
    <w:bookmarkStart w:id="186"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6"/>
    <w:bookmarkStart w:id="187"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7"/>
    <w:bookmarkStart w:id="188"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8"/>
    <w:bookmarkEnd w:id="189"/>
    <w:bookmarkEnd w:id="190"/>
    <w:bookmarkStart w:id="217" w:name="container-management-shipping-mvp"/>
    <w:p>
      <w:pPr>
        <w:pStyle w:val="Heading2"/>
      </w:pPr>
      <w:r>
        <w:t xml:space="preserve">7. Container Management &amp; Shipping —</w:t>
      </w:r>
      <w:r>
        <w:t xml:space="preserve"> </w:t>
      </w:r>
      <w:r>
        <w:rPr>
          <w:rStyle w:val="VerbatimChar"/>
        </w:rPr>
        <w:t xml:space="preserve">MVP</w:t>
      </w:r>
    </w:p>
    <w:bookmarkStart w:id="191"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1"/>
    <w:bookmarkStart w:id="197" w:name="container-lifecycle"/>
    <w:p>
      <w:pPr>
        <w:pStyle w:val="Heading3"/>
      </w:pPr>
      <w:r>
        <w:t xml:space="preserve">7.2 Container Lifecycle</w:t>
      </w:r>
    </w:p>
    <w:bookmarkStart w:id="192"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2"/>
    <w:bookmarkStart w:id="193"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3"/>
    <w:bookmarkStart w:id="194"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4"/>
    <w:bookmarkStart w:id="195"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5"/>
    <w:bookmarkStart w:id="196"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6"/>
    <w:bookmarkEnd w:id="197"/>
    <w:bookmarkStart w:id="202" w:name="shipping-labels"/>
    <w:p>
      <w:pPr>
        <w:pStyle w:val="Heading3"/>
      </w:pPr>
      <w:r>
        <w:t xml:space="preserve">7.3 Shipping Labels</w:t>
      </w:r>
    </w:p>
    <w:bookmarkStart w:id="198"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8"/>
    <w:bookmarkStart w:id="199"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9"/>
    <w:bookmarkStart w:id="200"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0"/>
    <w:bookmarkStart w:id="201"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1"/>
    <w:bookmarkEnd w:id="202"/>
    <w:bookmarkStart w:id="206" w:name="aim-integration"/>
    <w:p>
      <w:pPr>
        <w:pStyle w:val="Heading3"/>
      </w:pPr>
      <w:r>
        <w:t xml:space="preserve">7.4 AIM Integration</w:t>
      </w:r>
    </w:p>
    <w:bookmarkStart w:id="203"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3"/>
    <w:bookmarkStart w:id="204"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4"/>
    <w:bookmarkStart w:id="205"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5"/>
    <w:bookmarkEnd w:id="206"/>
    <w:bookmarkStart w:id="209" w:name="shipping-dock-workflow"/>
    <w:p>
      <w:pPr>
        <w:pStyle w:val="Heading3"/>
      </w:pPr>
      <w:r>
        <w:t xml:space="preserve">7.5 Shipping Dock Workflow</w:t>
      </w:r>
    </w:p>
    <w:bookmarkStart w:id="207"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7"/>
    <w:bookmarkStart w:id="208"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8"/>
    <w:bookmarkEnd w:id="209"/>
    <w:bookmarkStart w:id="212" w:name="container-holds"/>
    <w:p>
      <w:pPr>
        <w:pStyle w:val="Heading3"/>
      </w:pPr>
      <w:r>
        <w:t xml:space="preserve">7.6 Container Holds</w:t>
      </w:r>
    </w:p>
    <w:bookmarkStart w:id="210"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0"/>
    <w:bookmarkStart w:id="211"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1"/>
    <w:bookmarkEnd w:id="212"/>
    <w:bookmarkStart w:id="216" w:name="sort-cage-mvp-expanded"/>
    <w:p>
      <w:pPr>
        <w:pStyle w:val="Heading3"/>
      </w:pPr>
      <w:r>
        <w:t xml:space="preserve">7.7 Sort Cage —</w:t>
      </w:r>
      <w:r>
        <w:t xml:space="preserve"> </w:t>
      </w:r>
      <w:r>
        <w:rPr>
          <w:rStyle w:val="VerbatimChar"/>
        </w:rPr>
        <w:t xml:space="preserve">MVP-EXPANDED</w:t>
      </w:r>
    </w:p>
    <w:bookmarkStart w:id="213"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3"/>
    <w:bookmarkStart w:id="214"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4"/>
    <w:bookmarkStart w:id="215"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5"/>
    <w:bookmarkEnd w:id="216"/>
    <w:bookmarkEnd w:id="217"/>
    <w:bookmarkStart w:id="243" w:name="quality-hold-management-mixed-scope"/>
    <w:p>
      <w:pPr>
        <w:pStyle w:val="Heading2"/>
      </w:pPr>
      <w:r>
        <w:t xml:space="preserve">8. Quality &amp; Hold Management — MIXED SCOPE</w:t>
      </w:r>
    </w:p>
    <w:bookmarkStart w:id="218"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8"/>
    <w:bookmarkStart w:id="227" w:name="hold-management-mvp-expanded"/>
    <w:p>
      <w:pPr>
        <w:pStyle w:val="Heading3"/>
      </w:pPr>
      <w:r>
        <w:t xml:space="preserve">8.2 Hold Management —</w:t>
      </w:r>
      <w:r>
        <w:t xml:space="preserve"> </w:t>
      </w:r>
      <w:r>
        <w:rPr>
          <w:rStyle w:val="VerbatimChar"/>
        </w:rPr>
        <w:t xml:space="preserve">MVP-EXPANDED</w:t>
      </w:r>
    </w:p>
    <w:bookmarkStart w:id="219"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9"/>
    <w:bookmarkStart w:id="220"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0"/>
    <w:bookmarkStart w:id="221"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1"/>
    <w:bookmarkStart w:id="222"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2"/>
    <w:bookmarkStart w:id="223"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3"/>
    <w:bookmarkStart w:id="224"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4"/>
    <w:bookmarkStart w:id="225"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5"/>
    <w:bookmarkStart w:id="226"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5"/>
        </w:numPr>
      </w:pPr>
      <w:r>
        <w:rPr>
          <w:b/>
          <w:bCs/>
        </w:rPr>
        <w:t xml:space="preserve">Bulk Hold / Bulk Release</w:t>
      </w:r>
      <w:r>
        <w:t xml:space="preserve"> </w:t>
      </w:r>
      <w:r>
        <w:t xml:space="preserve">— follows FDS-08-006 search + multi-select semantics.</w:t>
      </w:r>
    </w:p>
    <w:p>
      <w:pPr>
        <w:pStyle w:val="Compact"/>
        <w:numPr>
          <w:ilvl w:val="0"/>
          <w:numId w:val="102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6"/>
    <w:bookmarkEnd w:id="227"/>
    <w:bookmarkStart w:id="234" w:name="inspections-mvp"/>
    <w:p>
      <w:pPr>
        <w:pStyle w:val="Heading3"/>
      </w:pPr>
      <w:r>
        <w:t xml:space="preserve">8.3 Inspections —</w:t>
      </w:r>
      <w:r>
        <w:t xml:space="preserve"> </w:t>
      </w:r>
      <w:r>
        <w:rPr>
          <w:rStyle w:val="VerbatimChar"/>
        </w:rPr>
        <w:t xml:space="preserve">MVP</w:t>
      </w:r>
    </w:p>
    <w:bookmarkStart w:id="228"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8"/>
    <w:bookmarkStart w:id="229"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9"/>
    <w:bookmarkStart w:id="230"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0"/>
    <w:bookmarkStart w:id="231"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1"/>
    <w:bookmarkStart w:id="232"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2"/>
    <w:bookmarkStart w:id="233"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3"/>
    <w:bookmarkEnd w:id="234"/>
    <w:bookmarkStart w:id="237" w:name="sampling-workflows-conditional"/>
    <w:p>
      <w:pPr>
        <w:pStyle w:val="Heading3"/>
      </w:pPr>
      <w:r>
        <w:t xml:space="preserve">8.4 Sampling Workflows —</w:t>
      </w:r>
      <w:r>
        <w:t xml:space="preserve"> </w:t>
      </w:r>
      <w:r>
        <w:rPr>
          <w:rStyle w:val="VerbatimChar"/>
        </w:rPr>
        <w:t xml:space="preserve">CONDITIONAL</w:t>
      </w:r>
    </w:p>
    <w:bookmarkStart w:id="235"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5"/>
    <w:bookmarkStart w:id="236"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6"/>
    <w:bookmarkEnd w:id="237"/>
    <w:bookmarkStart w:id="240" w:name="defect-codes-mvp"/>
    <w:p>
      <w:pPr>
        <w:pStyle w:val="Heading3"/>
      </w:pPr>
      <w:r>
        <w:t xml:space="preserve">8.5 Defect Codes —</w:t>
      </w:r>
      <w:r>
        <w:t xml:space="preserve"> </w:t>
      </w:r>
      <w:r>
        <w:rPr>
          <w:rStyle w:val="VerbatimChar"/>
        </w:rPr>
        <w:t xml:space="preserve">MVP</w:t>
      </w:r>
    </w:p>
    <w:bookmarkStart w:id="238"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8"/>
    <w:bookmarkStart w:id="239"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9"/>
    <w:bookmarkEnd w:id="240"/>
    <w:bookmarkStart w:id="242" w:name="non-conformance-management-future"/>
    <w:p>
      <w:pPr>
        <w:pStyle w:val="Heading3"/>
      </w:pPr>
      <w:r>
        <w:t xml:space="preserve">8.6 Non-Conformance Management —</w:t>
      </w:r>
      <w:r>
        <w:t xml:space="preserve"> </w:t>
      </w:r>
      <w:r>
        <w:rPr>
          <w:rStyle w:val="VerbatimChar"/>
        </w:rPr>
        <w:t xml:space="preserve">FUTURE</w:t>
      </w:r>
    </w:p>
    <w:bookmarkStart w:id="241"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1"/>
    <w:bookmarkEnd w:id="242"/>
    <w:bookmarkEnd w:id="243"/>
    <w:bookmarkStart w:id="263" w:name="downtime-tracking-mixed-scope"/>
    <w:p>
      <w:pPr>
        <w:pStyle w:val="Heading2"/>
      </w:pPr>
      <w:r>
        <w:t xml:space="preserve">9. Downtime Tracking — MIXED SCOPE</w:t>
      </w:r>
    </w:p>
    <w:bookmarkStart w:id="244"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4"/>
    <w:bookmarkStart w:id="250" w:name="downtime-events-mvp"/>
    <w:p>
      <w:pPr>
        <w:pStyle w:val="Heading3"/>
      </w:pPr>
      <w:r>
        <w:t xml:space="preserve">9.2 Downtime Events —</w:t>
      </w:r>
      <w:r>
        <w:t xml:space="preserve"> </w:t>
      </w:r>
      <w:r>
        <w:rPr>
          <w:rStyle w:val="VerbatimChar"/>
        </w:rPr>
        <w:t xml:space="preserve">MVP</w:t>
      </w:r>
    </w:p>
    <w:bookmarkStart w:id="245"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5"/>
    <w:bookmarkStart w:id="246"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6"/>
    <w:bookmarkStart w:id="247"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7"/>
    <w:bookmarkStart w:id="248"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8"/>
    <w:bookmarkStart w:id="249"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9"/>
    <w:bookmarkEnd w:id="250"/>
    <w:bookmarkStart w:id="253" w:name="downtime-reason-codes-mvp"/>
    <w:p>
      <w:pPr>
        <w:pStyle w:val="Heading3"/>
      </w:pPr>
      <w:r>
        <w:t xml:space="preserve">9.3 Downtime Reason Codes —</w:t>
      </w:r>
      <w:r>
        <w:t xml:space="preserve"> </w:t>
      </w:r>
      <w:r>
        <w:rPr>
          <w:rStyle w:val="VerbatimChar"/>
        </w:rPr>
        <w:t xml:space="preserve">MVP</w:t>
      </w:r>
    </w:p>
    <w:bookmarkStart w:id="251"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1"/>
    <w:bookmarkStart w:id="252"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2"/>
    <w:bookmarkEnd w:id="253"/>
    <w:bookmarkStart w:id="260"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4"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4"/>
    <w:bookmarkStart w:id="255"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6"/>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6"/>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6"/>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5"/>
    <w:bookmarkStart w:id="256"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6"/>
    <w:bookmarkStart w:id="257"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7"/>
    <w:bookmarkStart w:id="258"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8"/>
    <w:bookmarkStart w:id="259"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9"/>
    <w:bookmarkEnd w:id="260"/>
    <w:bookmarkStart w:id="262" w:name="oee-future"/>
    <w:p>
      <w:pPr>
        <w:pStyle w:val="Heading3"/>
      </w:pPr>
      <w:r>
        <w:t xml:space="preserve">9.5 OEE —</w:t>
      </w:r>
      <w:r>
        <w:t xml:space="preserve"> </w:t>
      </w:r>
      <w:r>
        <w:rPr>
          <w:rStyle w:val="VerbatimChar"/>
        </w:rPr>
        <w:t xml:space="preserve">FUTURE</w:t>
      </w:r>
    </w:p>
    <w:bookmarkStart w:id="26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1"/>
    <w:bookmarkEnd w:id="262"/>
    <w:bookmarkEnd w:id="263"/>
    <w:bookmarkStart w:id="281" w:name="plcopc-integration-mvp"/>
    <w:p>
      <w:pPr>
        <w:pStyle w:val="Heading2"/>
      </w:pPr>
      <w:r>
        <w:t xml:space="preserve">10. PLC/OPC Integration —</w:t>
      </w:r>
      <w:r>
        <w:t xml:space="preserve"> </w:t>
      </w:r>
      <w:r>
        <w:rPr>
          <w:rStyle w:val="VerbatimChar"/>
        </w:rPr>
        <w:t xml:space="preserve">MVP</w:t>
      </w:r>
    </w:p>
    <w:bookmarkStart w:id="26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4"/>
    <w:bookmarkStart w:id="268" w:name="mip-handshake-protocol-serialized-lines"/>
    <w:p>
      <w:pPr>
        <w:pStyle w:val="Heading3"/>
      </w:pPr>
      <w:r>
        <w:t xml:space="preserve">10.2 MIP Handshake Protocol — Serialized Lines</w:t>
      </w:r>
    </w:p>
    <w:bookmarkStart w:id="26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5"/>
    <w:bookmarkStart w:id="26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6"/>
    <w:bookmarkStart w:id="26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7"/>
    <w:bookmarkEnd w:id="268"/>
    <w:bookmarkStart w:id="275"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9"/>
    <w:bookmarkStart w:id="270"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7"/>
        </w:numPr>
      </w:pPr>
      <w:r>
        <w:t xml:space="preserve">Route to escalation per FDS-10-009 / FDS-10-010 based on failure count and failure type.</w:t>
      </w:r>
    </w:p>
    <w:p>
      <w:pPr>
        <w:pStyle w:val="Compact"/>
        <w:numPr>
          <w:ilvl w:val="0"/>
          <w:numId w:val="102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0"/>
    <w:bookmarkStart w:id="271"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8"/>
        </w:numPr>
      </w:pPr>
      <w:r>
        <w:t xml:space="preserve">Require supervisor AD elevation (FDS-04-007) before production can resume on that cell.</w:t>
      </w:r>
    </w:p>
    <w:p>
      <w:pPr>
        <w:pStyle w:val="Compact"/>
        <w:numPr>
          <w:ilvl w:val="0"/>
          <w:numId w:val="102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1"/>
    <w:bookmarkStart w:id="272"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2"/>
    <w:bookmarkStart w:id="273"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3"/>
    <w:bookmarkStart w:id="274"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4"/>
    <w:bookmarkEnd w:id="275"/>
    <w:bookmarkStart w:id="277" w:name="scale-integration"/>
    <w:p>
      <w:pPr>
        <w:pStyle w:val="Heading3"/>
      </w:pPr>
      <w:r>
        <w:t xml:space="preserve">10.4 Scale Integration</w:t>
      </w:r>
    </w:p>
    <w:bookmarkStart w:id="276"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6"/>
    <w:bookmarkEnd w:id="277"/>
    <w:bookmarkStart w:id="280" w:name="barcode-integration"/>
    <w:p>
      <w:pPr>
        <w:pStyle w:val="Heading3"/>
      </w:pPr>
      <w:r>
        <w:t xml:space="preserve">10.5 Barcode Integration</w:t>
      </w:r>
    </w:p>
    <w:bookmarkStart w:id="278"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8"/>
    <w:bookmarkStart w:id="279"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9"/>
    <w:bookmarkEnd w:id="280"/>
    <w:bookmarkEnd w:id="281"/>
    <w:bookmarkStart w:id="297" w:name="audit-logging-mvp"/>
    <w:p>
      <w:pPr>
        <w:pStyle w:val="Heading2"/>
      </w:pPr>
      <w:r>
        <w:t xml:space="preserve">11. Audit &amp; Logging —</w:t>
      </w:r>
      <w:r>
        <w:t xml:space="preserve"> </w:t>
      </w:r>
      <w:r>
        <w:rPr>
          <w:rStyle w:val="VerbatimChar"/>
        </w:rPr>
        <w:t xml:space="preserve">MVP</w:t>
      </w:r>
    </w:p>
    <w:bookmarkStart w:id="282"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2"/>
    <w:bookmarkStart w:id="288" w:name="log-types"/>
    <w:p>
      <w:pPr>
        <w:pStyle w:val="Heading3"/>
      </w:pPr>
      <w:r>
        <w:t xml:space="preserve">11.2 Log Types</w:t>
      </w:r>
    </w:p>
    <w:bookmarkStart w:id="283"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3"/>
    <w:bookmarkStart w:id="284"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4"/>
    <w:bookmarkStart w:id="285"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5"/>
    <w:bookmarkStart w:id="286"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6"/>
    <w:bookmarkStart w:id="287"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7"/>
    <w:bookmarkEnd w:id="288"/>
    <w:bookmarkStart w:id="293" w:name="normalized-vocabularies"/>
    <w:p>
      <w:pPr>
        <w:pStyle w:val="Heading3"/>
      </w:pPr>
      <w:r>
        <w:t xml:space="preserve">11.3 Normalized Vocabularies</w:t>
      </w:r>
    </w:p>
    <w:bookmarkStart w:id="289"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9"/>
    <w:bookmarkStart w:id="290"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0"/>
    <w:bookmarkStart w:id="291"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1"/>
    <w:bookmarkStart w:id="292"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2"/>
    <w:bookmarkEnd w:id="293"/>
    <w:bookmarkStart w:id="296" w:name="data-retention"/>
    <w:p>
      <w:pPr>
        <w:pStyle w:val="Heading3"/>
      </w:pPr>
      <w:r>
        <w:t xml:space="preserve">11.4 Data Retention</w:t>
      </w:r>
    </w:p>
    <w:bookmarkStart w:id="294"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4"/>
    <w:bookmarkStart w:id="295"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5"/>
    <w:bookmarkEnd w:id="296"/>
    <w:bookmarkEnd w:id="297"/>
    <w:bookmarkStart w:id="317" w:name="reporting-mvp"/>
    <w:p>
      <w:pPr>
        <w:pStyle w:val="Heading2"/>
      </w:pPr>
      <w:r>
        <w:t xml:space="preserve">12. Reporting —</w:t>
      </w:r>
      <w:r>
        <w:t xml:space="preserve"> </w:t>
      </w:r>
      <w:r>
        <w:rPr>
          <w:rStyle w:val="VerbatimChar"/>
        </w:rPr>
        <w:t xml:space="preserve">MVP</w:t>
      </w:r>
    </w:p>
    <w:bookmarkStart w:id="298"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8"/>
    <w:bookmarkStart w:id="303" w:name="traceability-reports"/>
    <w:p>
      <w:pPr>
        <w:pStyle w:val="Heading3"/>
      </w:pPr>
      <w:r>
        <w:t xml:space="preserve">12.2 Traceability Reports</w:t>
      </w:r>
    </w:p>
    <w:bookmarkStart w:id="299"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9"/>
    <w:bookmarkStart w:id="300"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0"/>
    <w:bookmarkStart w:id="301"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1"/>
    <w:bookmarkStart w:id="302"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2"/>
    <w:bookmarkEnd w:id="303"/>
    <w:bookmarkStart w:id="308" w:name="X20e5703298e30073c8ffa1040c87c727e57d853"/>
    <w:p>
      <w:pPr>
        <w:pStyle w:val="Heading3"/>
      </w:pPr>
      <w:r>
        <w:t xml:space="preserve">12.3 Production Reports (Replacing Productivity DB)</w:t>
      </w:r>
    </w:p>
    <w:bookmarkStart w:id="304"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4"/>
    <w:bookmarkStart w:id="305"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5"/>
    <w:bookmarkStart w:id="306"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6"/>
    <w:bookmarkStart w:id="307"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7"/>
    <w:bookmarkEnd w:id="308"/>
    <w:bookmarkStart w:id="312" w:name="operational-reports"/>
    <w:p>
      <w:pPr>
        <w:pStyle w:val="Heading3"/>
      </w:pPr>
      <w:r>
        <w:t xml:space="preserve">12.4 Operational Reports</w:t>
      </w:r>
    </w:p>
    <w:bookmarkStart w:id="309"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9"/>
    <w:bookmarkStart w:id="310"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0"/>
    <w:bookmarkStart w:id="311"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1"/>
    <w:bookmarkEnd w:id="312"/>
    <w:bookmarkStart w:id="316"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3"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3"/>
    <w:bookmarkStart w:id="314"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2"/>
        </w:numPr>
      </w:pPr>
      <w:r>
        <w:t xml:space="preserve">LOT</w:t>
      </w:r>
      <w:r>
        <w:t xml:space="preserve"> </w:t>
      </w:r>
      <w:r>
        <w:rPr>
          <w:rStyle w:val="VerbatimChar"/>
        </w:rPr>
        <w:t xml:space="preserve">LotName</w:t>
      </w:r>
      <w:r>
        <w:t xml:space="preserve"> </w:t>
      </w:r>
      <w:r>
        <w:t xml:space="preserve">(LTT barcode)</w:t>
      </w:r>
    </w:p>
    <w:p>
      <w:pPr>
        <w:pStyle w:val="Compact"/>
        <w:numPr>
          <w:ilvl w:val="0"/>
          <w:numId w:val="1032"/>
        </w:numPr>
      </w:pPr>
      <w:r>
        <w:t xml:space="preserve">Sub-LOT</w:t>
      </w:r>
      <w:r>
        <w:t xml:space="preserve"> </w:t>
      </w:r>
      <w:r>
        <w:rPr>
          <w:rStyle w:val="VerbatimChar"/>
        </w:rPr>
        <w:t xml:space="preserve">LotName</w:t>
      </w:r>
    </w:p>
    <w:p>
      <w:pPr>
        <w:pStyle w:val="Compact"/>
        <w:numPr>
          <w:ilvl w:val="0"/>
          <w:numId w:val="1032"/>
        </w:numPr>
      </w:pPr>
      <w:r>
        <w:t xml:space="preserve">Serialized part serial number (</w:t>
      </w:r>
      <w:r>
        <w:rPr>
          <w:rStyle w:val="VerbatimChar"/>
        </w:rPr>
        <w:t xml:space="preserve">SerializedPart.SerialNumber</w:t>
      </w:r>
      <w:r>
        <w:t xml:space="preserve">)</w:t>
      </w:r>
    </w:p>
    <w:p>
      <w:pPr>
        <w:pStyle w:val="Compact"/>
        <w:numPr>
          <w:ilvl w:val="0"/>
          <w:numId w:val="1032"/>
        </w:numPr>
      </w:pPr>
      <w:r>
        <w:t xml:space="preserve">Container</w:t>
      </w:r>
      <w:r>
        <w:t xml:space="preserve"> </w:t>
      </w:r>
      <w:r>
        <w:rPr>
          <w:rStyle w:val="VerbatimChar"/>
        </w:rPr>
        <w:t xml:space="preserve">ContainerName</w:t>
      </w:r>
    </w:p>
    <w:p>
      <w:pPr>
        <w:pStyle w:val="Compact"/>
        <w:numPr>
          <w:ilvl w:val="0"/>
          <w:numId w:val="103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4"/>
    <w:bookmarkStart w:id="315"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5"/>
    <w:bookmarkEnd w:id="316"/>
    <w:bookmarkEnd w:id="317"/>
    <w:bookmarkStart w:id="328" w:name="external-system-interfaces-mixed-scope"/>
    <w:p>
      <w:pPr>
        <w:pStyle w:val="Heading2"/>
      </w:pPr>
      <w:r>
        <w:t xml:space="preserve">13. External System Interfaces — MIXED SCOPE</w:t>
      </w:r>
    </w:p>
    <w:bookmarkStart w:id="321" w:name="aim-honda-edi-mvp"/>
    <w:p>
      <w:pPr>
        <w:pStyle w:val="Heading3"/>
      </w:pPr>
      <w:r>
        <w:t xml:space="preserve">13.1 AIM (Honda EDI) —</w:t>
      </w:r>
      <w:r>
        <w:t xml:space="preserve"> </w:t>
      </w:r>
      <w:r>
        <w:rPr>
          <w:rStyle w:val="VerbatimChar"/>
        </w:rPr>
        <w:t xml:space="preserve">MVP</w:t>
      </w:r>
    </w:p>
    <w:bookmarkStart w:id="31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8"/>
    <w:bookmarkStart w:id="319"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9"/>
    <w:bookmarkStart w:id="32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0"/>
    <w:bookmarkEnd w:id="321"/>
    <w:bookmarkStart w:id="323" w:name="macola-erp-future"/>
    <w:p>
      <w:pPr>
        <w:pStyle w:val="Heading3"/>
      </w:pPr>
      <w:r>
        <w:t xml:space="preserve">13.2 Macola ERP —</w:t>
      </w:r>
      <w:r>
        <w:t xml:space="preserve"> </w:t>
      </w:r>
      <w:r>
        <w:rPr>
          <w:rStyle w:val="VerbatimChar"/>
        </w:rPr>
        <w:t xml:space="preserve">FUTURE</w:t>
      </w:r>
    </w:p>
    <w:bookmarkStart w:id="32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2"/>
    <w:bookmarkEnd w:id="323"/>
    <w:bookmarkStart w:id="325" w:name="intelex-quality-management-future"/>
    <w:p>
      <w:pPr>
        <w:pStyle w:val="Heading3"/>
      </w:pPr>
      <w:r>
        <w:t xml:space="preserve">13.3 Intelex (Quality Management) —</w:t>
      </w:r>
      <w:r>
        <w:t xml:space="preserve"> </w:t>
      </w:r>
      <w:r>
        <w:rPr>
          <w:rStyle w:val="VerbatimChar"/>
        </w:rPr>
        <w:t xml:space="preserve">FUTURE</w:t>
      </w:r>
    </w:p>
    <w:bookmarkStart w:id="32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4"/>
    <w:bookmarkEnd w:id="325"/>
    <w:bookmarkStart w:id="327" w:name="scada-process-dashboards-future"/>
    <w:p>
      <w:pPr>
        <w:pStyle w:val="Heading3"/>
      </w:pPr>
      <w:r>
        <w:t xml:space="preserve">13.4 SCADA / Process Dashboards —</w:t>
      </w:r>
      <w:r>
        <w:t xml:space="preserve"> </w:t>
      </w:r>
      <w:r>
        <w:rPr>
          <w:rStyle w:val="VerbatimChar"/>
        </w:rPr>
        <w:t xml:space="preserve">FUTURE</w:t>
      </w:r>
    </w:p>
    <w:bookmarkStart w:id="32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6"/>
    <w:bookmarkEnd w:id="327"/>
    <w:bookmarkEnd w:id="328"/>
    <w:bookmarkStart w:id="335" w:name="data-migration-conditional"/>
    <w:p>
      <w:pPr>
        <w:pStyle w:val="Heading2"/>
      </w:pPr>
      <w:r>
        <w:t xml:space="preserve">14. Data Migration —</w:t>
      </w:r>
      <w:r>
        <w:t xml:space="preserve"> </w:t>
      </w:r>
      <w:r>
        <w:rPr>
          <w:rStyle w:val="VerbatimChar"/>
        </w:rPr>
        <w:t xml:space="preserve">CONDITIONAL</w:t>
      </w:r>
    </w:p>
    <w:bookmarkStart w:id="33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9"/>
    <w:bookmarkStart w:id="33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0"/>
    <w:bookmarkStart w:id="33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1"/>
    <w:bookmarkStart w:id="33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2"/>
    <w:bookmarkStart w:id="333"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3"/>
    <w:bookmarkEnd w:id="334"/>
    <w:bookmarkEnd w:id="335"/>
    <w:bookmarkStart w:id="346" w:name="deployment-commissioning-mvp"/>
    <w:p>
      <w:pPr>
        <w:pStyle w:val="Heading2"/>
      </w:pPr>
      <w:r>
        <w:t xml:space="preserve">15. Deployment &amp; Commissioning —</w:t>
      </w:r>
      <w:r>
        <w:t xml:space="preserve"> </w:t>
      </w:r>
      <w:r>
        <w:rPr>
          <w:rStyle w:val="VerbatimChar"/>
        </w:rPr>
        <w:t xml:space="preserve">MVP</w:t>
      </w:r>
    </w:p>
    <w:bookmarkStart w:id="342" w:name="deployment-approach"/>
    <w:p>
      <w:pPr>
        <w:pStyle w:val="Heading3"/>
      </w:pPr>
      <w:r>
        <w:t xml:space="preserve">15.1 Deployment Approach</w:t>
      </w:r>
    </w:p>
    <w:bookmarkStart w:id="33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6"/>
    <w:bookmarkStart w:id="33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7"/>
    <w:bookmarkStart w:id="33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8"/>
    <w:bookmarkStart w:id="33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9"/>
    <w:bookmarkStart w:id="34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0"/>
    <w:bookmarkStart w:id="34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1"/>
    <w:bookmarkEnd w:id="342"/>
    <w:bookmarkStart w:id="345" w:name="change-management"/>
    <w:p>
      <w:pPr>
        <w:pStyle w:val="Heading3"/>
      </w:pPr>
      <w:r>
        <w:t xml:space="preserve">15.2 Change Management</w:t>
      </w:r>
    </w:p>
    <w:bookmarkStart w:id="34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3"/>
    <w:bookmarkStart w:id="34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4"/>
    <w:bookmarkEnd w:id="345"/>
    <w:bookmarkEnd w:id="346"/>
    <w:bookmarkStart w:id="350"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7"/>
    <w:bookmarkStart w:id="34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8"/>
    <w:bookmarkStart w:id="349"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49"/>
    <w:bookmarkEnd w:id="350"/>
    <w:bookmarkStart w:id="359" w:name="appendices"/>
    <w:p>
      <w:pPr>
        <w:pStyle w:val="Heading2"/>
      </w:pPr>
      <w:r>
        <w:t xml:space="preserve">Appendices</w:t>
      </w:r>
    </w:p>
    <w:bookmarkStart w:id="35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1"/>
    <w:bookmarkStart w:id="35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2"/>
    <w:bookmarkStart w:id="35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3"/>
    <w:bookmarkStart w:id="35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4"/>
    <w:bookmarkStart w:id="35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5"/>
    <w:bookmarkStart w:id="35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6"/>
    <w:bookmarkStart w:id="35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7"/>
    <w:bookmarkStart w:id="35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8"/>
    <w:bookmarkEnd w:id="359"/>
    <w:bookmarkStart w:id="360"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0"/>
    <w:bookmarkEnd w:id="3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2026-04-24T21:40:34Z</dcterms:created>
  <dcterms:modified xsi:type="dcterms:W3CDTF">2026-04-24T21:40:34Z</dcterms:modified>
</cp:coreProperties>
</file>

<file path=docProps/custom.xml><?xml version="1.0" encoding="utf-8"?>
<Properties xmlns="http://schemas.openxmlformats.org/officeDocument/2006/custom-properties" xmlns:vt="http://schemas.openxmlformats.org/officeDocument/2006/docPropsVTypes"/>
</file>