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2026-04-28j —</w:t>
      </w:r>
      <w:r>
        <w:t xml:space="preserve"> </w:t>
      </w:r>
      <w:r>
        <w:rPr>
          <w:rStyle w:val="VerbatimChar"/>
        </w:rPr>
        <w:t xml:space="preserve">Parts.ContainerConfig.ClosureMethod</w:t>
      </w:r>
      <w:r>
        <w:t xml:space="preserve"> </w:t>
      </w:r>
      <w:r>
        <w:t xml:space="preserve">value list extended with</w:t>
      </w:r>
      <w:r>
        <w:t xml:space="preserve"> </w:t>
      </w:r>
      <w:r>
        <w:rPr>
          <w:rStyle w:val="VerbatimChar"/>
        </w:rPr>
        <w:t xml:space="preserve">ByVision</w:t>
      </w:r>
      <w:r>
        <w:t xml:space="preserve">; UpperCamelCase casing applied; OI-02 caveat retired.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1.9j</w:t>
            </w:r>
          </w:p>
        </w:tc>
        <w:tc>
          <w:tcPr/>
          <w:p>
            <w:pPr>
              <w:pStyle w:val="Compact"/>
            </w:pPr>
            <w:r>
              <w:t xml:space="preserve">2026-04-28</w:t>
            </w:r>
          </w:p>
        </w:tc>
        <w:tc>
          <w:tcPr/>
          <w:p>
            <w:pPr>
              <w:pStyle w:val="Compact"/>
            </w:pPr>
            <w:r>
              <w:t xml:space="preserve">Blue Ridge Automation</w:t>
            </w:r>
          </w:p>
        </w:tc>
        <w:tc>
          <w:tcPr/>
          <w:p>
            <w:pPr>
              <w:pStyle w:val="Compact"/>
            </w:pPr>
            <w:r>
              <w:rPr>
                <w:b/>
                <w:bCs/>
              </w:rPr>
              <w:t xml:space="preserve">§3 ContainerConfig —</w:t>
            </w:r>
            <w:r>
              <w:rPr>
                <w:b/>
                <w:bCs/>
              </w:rPr>
              <w:t xml:space="preserve"> </w:t>
            </w:r>
            <w:r>
              <w:rPr>
                <w:rStyle w:val="VerbatimChar"/>
                <w:b/>
                <w:bCs/>
              </w:rPr>
              <w:t xml:space="preserve">ClosureMethod</w:t>
            </w:r>
            <w:r>
              <w:rPr>
                <w:b/>
                <w:bCs/>
              </w:rPr>
              <w:t xml:space="preserve"> </w:t>
            </w:r>
            <w:r>
              <w:rPr>
                <w:b/>
                <w:bCs/>
              </w:rPr>
              <w:t xml:space="preserve">extended with</w:t>
            </w:r>
            <w:r>
              <w:rPr>
                <w:b/>
                <w:bCs/>
              </w:rPr>
              <w:t xml:space="preserve"> </w:t>
            </w:r>
            <w:r>
              <w:rPr>
                <w:rStyle w:val="VerbatimChar"/>
                <w:b/>
                <w:bCs/>
              </w:rPr>
              <w:t xml:space="preserve">ByVision</w:t>
            </w:r>
            <w:r>
              <w:rPr>
                <w:b/>
                <w:bCs/>
              </w:rPr>
              <w:t xml:space="preserve">.</w:t>
            </w:r>
            <w:r>
              <w:t xml:space="preserve"> </w:t>
            </w:r>
            <w:r>
              <w:t xml:space="preserve">Camera-validated container closure added per Jacques’s 2026-04-28 review: a third trigger alongside the existing count and weight modes. Camera validates each part (pass/fail), PLC accumulates the validated count, asserts</w:t>
            </w:r>
            <w:r>
              <w:t xml:space="preserve"> </w:t>
            </w:r>
            <w:r>
              <w:rPr>
                <w:rStyle w:val="VerbatimChar"/>
              </w:rPr>
              <w:t xml:space="preserve">ContainerFullFlag</w:t>
            </w:r>
            <w:r>
              <w:t xml:space="preserve"> </w:t>
            </w:r>
            <w:r>
              <w:t xml:space="preserve">when target met. Code values renamed to UpperCamelCase per project convention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previously documented as</w:t>
            </w:r>
            <w:r>
              <w:t xml:space="preserve"> </w:t>
            </w:r>
            <w:r>
              <w:rPr>
                <w:rStyle w:val="VerbatimChar"/>
              </w:rPr>
              <w:t xml:space="preserve">BY_COUNT</w:t>
            </w:r>
            <w:r>
              <w:t xml:space="preserve"> </w:t>
            </w:r>
            <w:r>
              <w:t xml:space="preserve">/</w:t>
            </w:r>
            <w:r>
              <w:t xml:space="preserve"> </w:t>
            </w:r>
            <w:r>
              <w:rPr>
                <w:rStyle w:val="VerbatimChar"/>
              </w:rPr>
              <w:t xml:space="preserve">BY_WEIGHT</w:t>
            </w:r>
            <w:r>
              <w:t xml:space="preserve">).</w:t>
            </w:r>
            <w:r>
              <w:t xml:space="preserve"> </w:t>
            </w:r>
            <w:r>
              <w:t xml:space="preserve">“Pending OI-02 closure”</w:t>
            </w:r>
            <w:r>
              <w:t xml:space="preserve"> </w:t>
            </w:r>
            <w:r>
              <w:t xml:space="preserve">caveat retired (OI-02 ✅ Resolved 2026-04-24 per OIR v2.14). No schema change —</w:t>
            </w:r>
            <w:r>
              <w:t xml:space="preserve"> </w:t>
            </w:r>
            <w:r>
              <w:rPr>
                <w:rStyle w:val="VerbatimChar"/>
              </w:rPr>
              <w:t xml:space="preserve">ClosureMethod</w:t>
            </w:r>
            <w:r>
              <w:t xml:space="preserve"> </w:t>
            </w:r>
            <w:r>
              <w:t xml:space="preserve">is</w:t>
            </w:r>
            <w:r>
              <w:t xml:space="preserve"> </w:t>
            </w:r>
            <w:r>
              <w:rPr>
                <w:rStyle w:val="VerbatimChar"/>
              </w:rPr>
              <w:t xml:space="preserve">NVARCHAR(20) NULL</w:t>
            </w:r>
            <w:r>
              <w:t xml:space="preserve">; the new value is purely an additional allowed string. FDS-03-017 + FDS-06-014 are authoritative for the per-method mechanics.</w:t>
            </w:r>
          </w:p>
        </w:tc>
      </w:tr>
      <w:tr>
        <w:tc>
          <w:tcPr>
            <w:shd w:val="clear" w:color="auto" w:fill="F2F2F2"/>
          </w:tcPr>
          <w:tcPr/>
          <w:p>
            <w:pPr>
              <w:pStyle w:val="Compact"/>
            </w:pPr>
            <w:r>
              <w:t xml:space="preserve">0.1</w:t>
            </w:r>
          </w:p>
        </w:tc>
        <w:tc>
          <w:tcPr>
            <w:shd w:val="clear" w:color="auto" w:fill="F2F2F2"/>
          </w:tcPr>
          <w:tcPr/>
          <w:p>
            <w:pPr>
              <w:pStyle w:val="Compact"/>
            </w:pPr>
            <w:r>
              <w:t xml:space="preserve">2026-04-02</w:t>
            </w:r>
          </w:p>
        </w:tc>
        <w:tc>
          <w:tcPr>
            <w:shd w:val="clear" w:color="auto" w:fill="F2F2F2"/>
          </w:tcPr>
          <w:tcPr/>
          <w:p>
            <w:pPr>
              <w:pStyle w:val="Compact"/>
            </w:pPr>
            <w:r>
              <w:t xml:space="preserve">Blue Ridge Automation</w:t>
            </w:r>
          </w:p>
        </w:tc>
        <w:tc>
          <w:tcPr>
            <w:shd w:val="clear" w:color="auto" w:fill="F2F2F2"/>
          </w:tcPr>
          <w:tcPr/>
          <w:p>
            <w:pPr>
              <w:pStyle w:val="Compact"/>
            </w:pPr>
            <w:r>
              <w:t xml:space="preserve">Initial data model — 7 schemas, ~50 tables</w:t>
            </w:r>
          </w:p>
        </w:tc>
      </w:tr>
      <w:tr>
        <w:tc>
          <w:tcPr/>
          <w:p>
            <w:pPr>
              <w:pStyle w:val="Compact"/>
            </w:pPr>
            <w:r>
              <w:t xml:space="preserve">0.2</w:t>
            </w:r>
          </w:p>
        </w:tc>
        <w:tc>
          <w:tcPr/>
          <w:p>
            <w:pPr>
              <w:pStyle w:val="Compact"/>
            </w:pPr>
            <w:r>
              <w:t xml:space="preserve">2026-04-09</w:t>
            </w:r>
          </w:p>
        </w:tc>
        <w:tc>
          <w:tcPr/>
          <w:p>
            <w:pPr>
              <w:pStyle w:val="Compact"/>
            </w:pPr>
            <w:r>
              <w:t xml:space="preserve">Blue Ridge Automation</w:t>
            </w:r>
          </w:p>
        </w:tc>
        <w:tc>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shd w:val="clear" w:color="auto" w:fill="F2F2F2"/>
          </w:tcPr>
          <w:tcPr/>
          <w:p>
            <w:pPr>
              <w:pStyle w:val="Compact"/>
            </w:pPr>
            <w:r>
              <w:t xml:space="preserve">0.3</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p>
            <w:pPr>
              <w:pStyle w:val="Compact"/>
            </w:pPr>
            <w:r>
              <w:t xml:space="preserve">0.4</w:t>
            </w:r>
          </w:p>
        </w:tc>
        <w:tc>
          <w:tcPr/>
          <w:p>
            <w:pPr>
              <w:pStyle w:val="Compact"/>
            </w:pPr>
            <w:r>
              <w:t xml:space="preserve">2026-04-10</w:t>
            </w:r>
          </w:p>
        </w:tc>
        <w:tc>
          <w:tcPr/>
          <w:p>
            <w:pPr>
              <w:pStyle w:val="Compact"/>
            </w:pPr>
            <w:r>
              <w:t xml:space="preserve">Blue Ridge Automation</w:t>
            </w:r>
          </w:p>
        </w:tc>
        <w:tc>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shd w:val="clear" w:color="auto" w:fill="F2F2F2"/>
          </w:tcPr>
          <w:tcPr/>
          <w:p>
            <w:pPr>
              <w:pStyle w:val="Compact"/>
            </w:pPr>
            <w:r>
              <w:t xml:space="preserve">0.4.1</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shd w:val="clear" w:color="auto" w:fill="F2F2F2"/>
          </w:tcPr>
          <w:tcPr/>
          <w:p>
            <w:pPr>
              <w:pStyle w:val="Compact"/>
            </w:pPr>
            <w:r>
              <w:t xml:space="preserve">0.5.1</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p>
            <w:pPr>
              <w:pStyle w:val="Compact"/>
            </w:pPr>
            <w:r>
              <w:t xml:space="preserve">0.6</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shd w:val="clear" w:color="auto" w:fill="F2F2F2"/>
          </w:tcPr>
          <w:tcPr/>
          <w:p>
            <w:pPr>
              <w:pStyle w:val="Compact"/>
            </w:pPr>
            <w:r>
              <w:t xml:space="preserve">1.1</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p>
            <w:pPr>
              <w:pStyle w:val="Compact"/>
            </w:pPr>
            <w:r>
              <w:t xml:space="preserve">1.8</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shd w:val="clear" w:color="auto" w:fill="F2F2F2"/>
          </w:tcPr>
          <w:tcPr/>
          <w:p>
            <w:pPr>
              <w:pStyle w:val="Compact"/>
            </w:pPr>
            <w:r>
              <w:t xml:space="preserve">1.9i</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ShippingLabel — UJ-18 Gateway-script-async print pattern.</w:t>
            </w:r>
            <w:r>
              <w:t xml:space="preserve"> </w:t>
            </w:r>
            <w:r>
              <w:rPr>
                <w:rStyle w:val="VerbatimChar"/>
              </w:rPr>
              <w:t xml:space="preserve">Lots.ShippingLabel</w:t>
            </w:r>
            <w:r>
              <w:t xml:space="preserve"> </w:t>
            </w:r>
            <w:r>
              <w:t xml:space="preserve">+5 columns:</w:t>
            </w:r>
            <w:r>
              <w:t xml:space="preserve"> </w:t>
            </w:r>
            <w:r>
              <w:rPr>
                <w:rStyle w:val="VerbatimChar"/>
              </w:rPr>
              <w:t xml:space="preserve">PrintAttempts INT DEFAULT 0</w:t>
            </w:r>
            <w:r>
              <w:t xml:space="preserve">,</w:t>
            </w:r>
            <w:r>
              <w:t xml:space="preserve"> </w:t>
            </w:r>
            <w:r>
              <w:rPr>
                <w:rStyle w:val="VerbatimChar"/>
              </w:rPr>
              <w:t xml:space="preserve">LastPrintAttemptAt DATETIME2(3) NULL</w:t>
            </w:r>
            <w:r>
              <w:t xml:space="preserve">,</w:t>
            </w:r>
            <w:r>
              <w:t xml:space="preserve"> </w:t>
            </w:r>
            <w:r>
              <w:rPr>
                <w:rStyle w:val="VerbatimChar"/>
              </w:rPr>
              <w:t xml:space="preserve">LastPrintError NVARCHAR(2000) NULL</w:t>
            </w:r>
            <w:r>
              <w:t xml:space="preserve">,</w:t>
            </w:r>
            <w:r>
              <w:t xml:space="preserve"> </w:t>
            </w:r>
            <w:r>
              <w:rPr>
                <w:rStyle w:val="VerbatimChar"/>
              </w:rPr>
              <w:t xml:space="preserve">PrintFailedAt DATETIME2(3) NULL</w:t>
            </w:r>
            <w:r>
              <w:t xml:space="preserve">,</w:t>
            </w:r>
            <w:r>
              <w:t xml:space="preserve"> </w:t>
            </w:r>
            <w:r>
              <w:rPr>
                <w:rStyle w:val="VerbatimChar"/>
              </w:rPr>
              <w:t xml:space="preserve">TerminalLocationId BIGINT FK → Location.Location.Id NULL</w:t>
            </w:r>
            <w:r>
              <w:t xml:space="preserve">. State derivation: Pending =</w:t>
            </w:r>
            <w:r>
              <w:t xml:space="preserve"> </w:t>
            </w:r>
            <w:r>
              <w:rPr>
                <w:rStyle w:val="VerbatimChar"/>
              </w:rPr>
              <w:t xml:space="preserve">PrintedAt IS NULL AND PrintFailedAt IS NULL</w:t>
            </w:r>
            <w:r>
              <w:t xml:space="preserve">; Completed =</w:t>
            </w:r>
            <w:r>
              <w:t xml:space="preserve"> </w:t>
            </w:r>
            <w:r>
              <w:rPr>
                <w:rStyle w:val="VerbatimChar"/>
              </w:rPr>
              <w:t xml:space="preserve">PrintedAt IS NOT NULL</w:t>
            </w:r>
            <w:r>
              <w:t xml:space="preserve">; Failed =</w:t>
            </w:r>
            <w:r>
              <w:t xml:space="preserve"> </w:t>
            </w:r>
            <w:r>
              <w:rPr>
                <w:rStyle w:val="VerbatimChar"/>
              </w:rPr>
              <w:t xml:space="preserve">PrintFailedAt IS NOT NULL</w:t>
            </w:r>
            <w:r>
              <w:t xml:space="preserve">. No separate queue table — print state lives on the audit row. FDS v0.11j companion. SQL deferred to Arc 2 Phase 7 alongside the rest of the Container schema.</w:t>
            </w:r>
          </w:p>
        </w:tc>
      </w:tr>
      <w:tr>
        <w:tc>
          <w:tcPr/>
          <w:p>
            <w:pPr>
              <w:pStyle w:val="Compact"/>
            </w:pPr>
            <w:r>
              <w:t xml:space="preserve">1.9h</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UJ-04 —</w:t>
            </w:r>
            <w:r>
              <w:rPr>
                <w:b/>
                <w:bCs/>
              </w:rPr>
              <w:t xml:space="preserve"> </w:t>
            </w:r>
            <w:r>
              <w:rPr>
                <w:rStyle w:val="VerbatimChar"/>
                <w:b/>
                <w:bCs/>
              </w:rPr>
              <w:t xml:space="preserve">Lots.AimShipperIdPool</w:t>
            </w:r>
            <w:r>
              <w:rPr>
                <w:b/>
                <w:bCs/>
              </w:rPr>
              <w:t xml:space="preserve"> </w:t>
            </w:r>
            <w:r>
              <w:rPr>
                <w:b/>
                <w:bCs/>
              </w:rPr>
              <w:t xml:space="preserve">+</w:t>
            </w:r>
            <w:r>
              <w:rPr>
                <w:b/>
                <w:bCs/>
              </w:rPr>
              <w:t xml:space="preserve"> </w:t>
            </w:r>
            <w:r>
              <w:rPr>
                <w:rStyle w:val="VerbatimChar"/>
                <w:b/>
                <w:bCs/>
              </w:rPr>
              <w:t xml:space="preserve">Lots.AimPoolConfig</w:t>
            </w:r>
            <w:r>
              <w:rPr>
                <w:b/>
                <w:bCs/>
              </w:rPr>
              <w:t xml:space="preserve"> </w:t>
            </w:r>
            <w:r>
              <w:rPr>
                <w:b/>
                <w:bCs/>
              </w:rPr>
              <w:t xml:space="preserve">for synchronous container closure (zero AIM latency).</w:t>
            </w:r>
            <w:r>
              <w:t xml:space="preserve"> </w:t>
            </w:r>
            <w:r>
              <w:t xml:space="preserve">Per Jacques’s 2026-04-27 design lock: AIM Shipper IDs are pre-fetched into a local pool by a background Gateway script and consumed FIFO by</w:t>
            </w:r>
            <w:r>
              <w:t xml:space="preserve"> </w:t>
            </w:r>
            <w:r>
              <w:rPr>
                <w:rStyle w:val="VerbatimChar"/>
              </w:rPr>
              <w:t xml:space="preserve">Container_Complete</w:t>
            </w:r>
            <w:r>
              <w:t xml:space="preserve"> </w:t>
            </w:r>
            <w:r>
              <w:t xml:space="preserve">synchronously — never blocks production on AIM availability. Container closure with an empty pool</w:t>
            </w:r>
            <w:r>
              <w:t xml:space="preserve"> </w:t>
            </w:r>
            <w:r>
              <w:rPr>
                <w:b/>
                <w:bCs/>
              </w:rPr>
              <w:t xml:space="preserve">hard fails</w:t>
            </w:r>
            <w:r>
              <w:t xml:space="preserve"> </w:t>
            </w:r>
            <w:r>
              <w:t xml:space="preserve">(rejects close, operator sees error, line stops). All Assembly Lines have dedicated terminals; AIM IDs attach to Containers only (never sub-assemblies / sub-LOTs). New</w:t>
            </w:r>
            <w:r>
              <w:t xml:space="preserve"> </w:t>
            </w:r>
            <w:r>
              <w:rPr>
                <w:rStyle w:val="VerbatimChar"/>
              </w:rPr>
              <w:t xml:space="preserve">Lots.AimShipperIdPool</w:t>
            </w:r>
            <w:r>
              <w:t xml:space="preserve"> </w:t>
            </w:r>
            <w:r>
              <w:t xml:space="preserve">table:</w:t>
            </w:r>
            <w:r>
              <w:t xml:space="preserve"> </w:t>
            </w:r>
            <w:r>
              <w:rPr>
                <w:rStyle w:val="VerbatimChar"/>
              </w:rPr>
              <w:t xml:space="preserve">AimShipperId</w:t>
            </w:r>
            <w:r>
              <w:t xml:space="preserve"> </w:t>
            </w:r>
            <w:r>
              <w:t xml:space="preserve">(the Honda-issued ID, UNIQUE),</w:t>
            </w:r>
            <w:r>
              <w:t xml:space="preserve"> </w:t>
            </w:r>
            <w:r>
              <w:rPr>
                <w:rStyle w:val="VerbatimChar"/>
              </w:rPr>
              <w:t xml:space="preserve">FetchedAt</w:t>
            </w:r>
            <w:r>
              <w:t xml:space="preserve">,</w:t>
            </w:r>
            <w:r>
              <w:t xml:space="preserve"> </w:t>
            </w:r>
            <w:r>
              <w:rPr>
                <w:rStyle w:val="VerbatimChar"/>
              </w:rPr>
              <w:t xml:space="preserve">FetchedInterfaceLogId</w:t>
            </w:r>
            <w:r>
              <w:t xml:space="preserve"> </w:t>
            </w:r>
            <w:r>
              <w:t xml:space="preserve">FK →</w:t>
            </w:r>
            <w:r>
              <w:t xml:space="preserve"> </w:t>
            </w:r>
            <w:r>
              <w:rPr>
                <w:rStyle w:val="VerbatimChar"/>
              </w:rPr>
              <w:t xml:space="preserve">Audit.InterfaceLog</w:t>
            </w:r>
            <w:r>
              <w:t xml:space="preserve"> </w:t>
            </w:r>
            <w:r>
              <w:t xml:space="preserve">(provenance),</w:t>
            </w:r>
            <w:r>
              <w:t xml:space="preserve"> </w:t>
            </w:r>
            <w:r>
              <w:rPr>
                <w:rStyle w:val="VerbatimChar"/>
              </w:rPr>
              <w:t xml:space="preserve">ConsumedAt</w:t>
            </w:r>
            <w:r>
              <w:t xml:space="preserve"> </w:t>
            </w:r>
            <w:r>
              <w:t xml:space="preserve">/</w:t>
            </w:r>
            <w:r>
              <w:t xml:space="preserve"> </w:t>
            </w:r>
            <w:r>
              <w:rPr>
                <w:rStyle w:val="VerbatimChar"/>
              </w:rPr>
              <w:t xml:space="preserve">ConsumedByContainerId</w:t>
            </w:r>
            <w:r>
              <w:t xml:space="preserve"> </w:t>
            </w:r>
            <w:r>
              <w:t xml:space="preserve">FK →</w:t>
            </w:r>
            <w:r>
              <w:t xml:space="preserve"> </w:t>
            </w:r>
            <w:r>
              <w:rPr>
                <w:rStyle w:val="VerbatimChar"/>
              </w:rPr>
              <w:t xml:space="preserve">Lots.Container</w:t>
            </w:r>
            <w:r>
              <w:t xml:space="preserve"> </w:t>
            </w:r>
            <w:r>
              <w:t xml:space="preserve">/</w:t>
            </w:r>
            <w:r>
              <w:t xml:space="preserve"> </w:t>
            </w:r>
            <w:r>
              <w:rPr>
                <w:rStyle w:val="VerbatimChar"/>
              </w:rPr>
              <w:t xml:space="preserve">ConsumedByUserId</w:t>
            </w:r>
            <w:r>
              <w:t xml:space="preserve"> </w:t>
            </w:r>
            <w:r>
              <w:t xml:space="preserve">FK →</w:t>
            </w:r>
            <w:r>
              <w:t xml:space="preserve"> </w:t>
            </w:r>
            <w:r>
              <w:rPr>
                <w:rStyle w:val="VerbatimChar"/>
              </w:rPr>
              <w:t xml:space="preserve">Location.AppUser</w:t>
            </w:r>
            <w:r>
              <w:t xml:space="preserve"> </w:t>
            </w:r>
            <w:r>
              <w:t xml:space="preserve">(all NULL while available). Filtered index</w:t>
            </w:r>
            <w:r>
              <w:t xml:space="preserve"> </w:t>
            </w:r>
            <w:r>
              <w:rPr>
                <w:rStyle w:val="VerbatimChar"/>
              </w:rPr>
              <w:t xml:space="preserve">IX_AimShipperIdPool_Available (FetchedAt) WHERE ConsumedAt IS NULL</w:t>
            </w:r>
            <w:r>
              <w:t xml:space="preserve"> </w:t>
            </w:r>
            <w:r>
              <w:t xml:space="preserve">drives the FIFO claim.</w:t>
            </w:r>
            <w:r>
              <w:t xml:space="preserve"> </w:t>
            </w:r>
            <w:r>
              <w:rPr>
                <w:b/>
                <w:bCs/>
              </w:rPr>
              <w:t xml:space="preserve">No reuse on void</w:t>
            </w:r>
            <w:r>
              <w:t xml:space="preserve"> </w:t>
            </w:r>
            <w:r>
              <w:t xml:space="preserve">— once</w:t>
            </w:r>
            <w:r>
              <w:t xml:space="preserve"> </w:t>
            </w:r>
            <w:r>
              <w:rPr>
                <w:rStyle w:val="VerbatimChar"/>
              </w:rPr>
              <w:t xml:space="preserve">ConsumedAt</w:t>
            </w:r>
            <w:r>
              <w:t xml:space="preserve"> </w:t>
            </w:r>
            <w:r>
              <w:t xml:space="preserve">is set, the row never returns to available state regardless of subsequent container void / re-pack (Honda treats every issued ID as permanently consumed).</w:t>
            </w:r>
            <w:r>
              <w:t xml:space="preserve"> </w:t>
            </w:r>
            <w:r>
              <w:rPr>
                <w:b/>
                <w:bCs/>
              </w:rPr>
              <w:t xml:space="preserve">No expiry</w:t>
            </w:r>
            <w:r>
              <w:t xml:space="preserve"> </w:t>
            </w:r>
            <w:r>
              <w:t xml:space="preserve">— Honda doesn’t TTL Shipper IDs. New</w:t>
            </w:r>
            <w:r>
              <w:t xml:space="preserve"> </w:t>
            </w:r>
            <w:r>
              <w:rPr>
                <w:rStyle w:val="VerbatimChar"/>
              </w:rPr>
              <w:t xml:space="preserve">Lots.AimPoolConfig</w:t>
            </w:r>
            <w:r>
              <w:t xml:space="preserve"> </w:t>
            </w:r>
            <w:r>
              <w:t xml:space="preserve">single-row table (</w:t>
            </w:r>
            <w:r>
              <w:rPr>
                <w:rStyle w:val="VerbatimChar"/>
              </w:rPr>
              <w:t xml:space="preserve">Id INT CHECK Id=1</w:t>
            </w:r>
            <w:r>
              <w:t xml:space="preserve">) holds the operator-configurable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 </w:t>
            </w:r>
            <w:r>
              <w:t xml:space="preserve">(topup script refills toward target when below this),</w:t>
            </w:r>
            <w:r>
              <w:t xml:space="preserve"> </w:t>
            </w:r>
            <w:r>
              <w:rPr>
                <w:rStyle w:val="VerbatimChar"/>
              </w:rPr>
              <w:t xml:space="preserve">AlarmWarningDepth INT DEFAULT 20</w:t>
            </w:r>
            <w:r>
              <w:t xml:space="preserve"> </w:t>
            </w:r>
            <w:r>
              <w:t xml:space="preserve">(supervisor wallboard tile),</w:t>
            </w:r>
            <w:r>
              <w:t xml:space="preserve"> </w:t>
            </w:r>
            <w:r>
              <w:rPr>
                <w:rStyle w:val="VerbatimChar"/>
              </w:rPr>
              <w:t xml:space="preserve">AlarmCriticalDepth INT DEFAULT 10</w:t>
            </w:r>
            <w:r>
              <w:t xml:space="preserve"> </w:t>
            </w:r>
            <w:r>
              <w:t xml:space="preserve">(supervisor alarm + IT notification). Configuration Tool exposes the four thresholds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Procs (Arc 2 Phase 7):</w:t>
            </w:r>
            <w:r>
              <w:t xml:space="preserve"> </w:t>
            </w:r>
            <w:r>
              <w:rPr>
                <w:rStyle w:val="VerbatimChar"/>
              </w:rPr>
              <w:t xml:space="preserve">Lots.AimShipperIdPool_Claim</w:t>
            </w:r>
            <w:r>
              <w:t xml:space="preserve"> </w:t>
            </w:r>
            <w:r>
              <w:t xml:space="preserve">(atomic FIFO claim using</w:t>
            </w:r>
            <w:r>
              <w:t xml:space="preserve"> </w:t>
            </w:r>
            <w:r>
              <w:rPr>
                <w:rStyle w:val="VerbatimChar"/>
              </w:rPr>
              <w:t xml:space="preserve">UPDATE TOP (1) WITH (UPDLOCK, READPAST, ROWLOCK) ... OUTPUT ... ORDER BY FetchedAt</w:t>
            </w:r>
            <w:r>
              <w:t xml:space="preserve">, raises on empty pool — caller’s transaction ROLLBACKs the container close),</w:t>
            </w:r>
            <w:r>
              <w:t xml:space="preserve"> </w:t>
            </w:r>
            <w:r>
              <w:rPr>
                <w:rStyle w:val="VerbatimChar"/>
              </w:rPr>
              <w:t xml:space="preserve">_Topup</w:t>
            </w:r>
            <w:r>
              <w:t xml:space="preserve">,</w:t>
            </w:r>
            <w:r>
              <w:t xml:space="preserve"> </w:t>
            </w:r>
            <w:r>
              <w:rPr>
                <w:rStyle w:val="VerbatimChar"/>
              </w:rPr>
              <w:t xml:space="preserve">_GetDepth</w:t>
            </w:r>
            <w:r>
              <w:t xml:space="preserve">,</w:t>
            </w:r>
            <w:r>
              <w:t xml:space="preserve"> </w:t>
            </w:r>
            <w:r>
              <w:rPr>
                <w:rStyle w:val="VerbatimChar"/>
              </w:rPr>
              <w:t xml:space="preserve">_GetByContainer</w:t>
            </w:r>
            <w:r>
              <w:t xml:space="preserve">.</w:t>
            </w:r>
            <w:r>
              <w:t xml:space="preserve"> </w:t>
            </w:r>
            <w:r>
              <w:rPr>
                <w:rStyle w:val="VerbatimChar"/>
              </w:rPr>
              <w:t xml:space="preserve">Audit.LogEntityType</w:t>
            </w:r>
            <w:r>
              <w:t xml:space="preserve"> </w:t>
            </w:r>
            <w:r>
              <w:t xml:space="preserve">+2 rows (</w:t>
            </w:r>
            <w:r>
              <w:rPr>
                <w:rStyle w:val="VerbatimChar"/>
              </w:rPr>
              <w:t xml:space="preserve">AimShipperIdPool</w:t>
            </w:r>
            <w:r>
              <w:t xml:space="preserve">,</w:t>
            </w:r>
            <w:r>
              <w:t xml:space="preserve"> </w:t>
            </w:r>
            <w:r>
              <w:rPr>
                <w:rStyle w:val="VerbatimChar"/>
              </w:rPr>
              <w:t xml:space="preserve">AimPoolConfig</w:t>
            </w:r>
            <w:r>
              <w:t xml:space="preserve">) at Arc 2 Phase 7. SQL deferred to Arc 2 Phase 7 (Container schema doesn’t yet exist either).</w:t>
            </w:r>
          </w:p>
        </w:tc>
      </w:tr>
      <w:tr>
        <w:tc>
          <w:tcPr>
            <w:shd w:val="clear" w:color="auto" w:fill="F2F2F2"/>
          </w:tcPr>
          <w:tcPr/>
          <w:p>
            <w:pPr>
              <w:pStyle w:val="Compact"/>
            </w:pPr>
            <w:r>
              <w:t xml:space="preserve">1.9g</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OI-21 —</w:t>
            </w:r>
            <w:r>
              <w:rPr>
                <w:b/>
                <w:bCs/>
              </w:rPr>
              <w:t xml:space="preserve"> </w:t>
            </w:r>
            <w:r>
              <w:rPr>
                <w:rStyle w:val="VerbatimChar"/>
                <w:b/>
                <w:bCs/>
              </w:rPr>
              <w:t xml:space="preserve">Lots.PauseEvent</w:t>
            </w:r>
            <w:r>
              <w:rPr>
                <w:b/>
                <w:bCs/>
              </w:rPr>
              <w:t xml:space="preserve"> </w:t>
            </w:r>
            <w:r>
              <w:rPr>
                <w:b/>
                <w:bCs/>
              </w:rPr>
              <w:t xml:space="preserve">table for Pausable LOT at Workstation.</w:t>
            </w:r>
            <w:r>
              <w:t xml:space="preserve"> </w:t>
            </w:r>
            <w:r>
              <w:t xml:space="preserve">Per Jacques’s 2026-04-27 design lock: pause is a (Lot, Location) lifecycle event — operator pauses a partially-progressed LOT at a Cell to attend to a different LOT at the same Cell, returns later (could be the next shift, by a different operator). New append-only table</w:t>
            </w:r>
            <w:r>
              <w:t xml:space="preserve"> </w:t>
            </w:r>
            <w:r>
              <w:rPr>
                <w:rStyle w:val="VerbatimChar"/>
              </w:rPr>
              <w:t xml:space="preserve">Lots.PauseEvent</w:t>
            </w:r>
            <w:r>
              <w:t xml:space="preserve"> </w:t>
            </w:r>
            <w:r>
              <w:t xml:space="preserve">with open + close lifecycle (mirrors</w:t>
            </w:r>
            <w:r>
              <w:t xml:space="preserve"> </w:t>
            </w:r>
            <w:r>
              <w:rPr>
                <w:rStyle w:val="VerbatimChar"/>
              </w:rPr>
              <w:t xml:space="preserve">Quality.HoldEvent</w:t>
            </w:r>
            <w:r>
              <w:t xml:space="preserve"> </w:t>
            </w:r>
            <w:r>
              <w:t xml:space="preserve">shape):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w:t>
            </w:r>
            <w:r>
              <w:t xml:space="preserve">/</w:t>
            </w:r>
            <w:r>
              <w:rPr>
                <w:rStyle w:val="VerbatimChar"/>
              </w:rPr>
              <w:t xml:space="preserve">ResumedAt</w:t>
            </w:r>
            <w:r>
              <w:t xml:space="preserve">/</w:t>
            </w:r>
            <w:r>
              <w:rPr>
                <w:rStyle w:val="VerbatimChar"/>
              </w:rPr>
              <w:t xml:space="preserve">ResumedRemarks</w:t>
            </w:r>
            <w:r>
              <w:t xml:space="preserve">. CHECK pairing on resume columns; filtered UNIQUE on</w:t>
            </w:r>
            <w:r>
              <w:t xml:space="preserve"> </w:t>
            </w:r>
            <w:r>
              <w:rPr>
                <w:rStyle w:val="VerbatimChar"/>
              </w:rPr>
              <w:t xml:space="preserve">(LotId, LocationId) WHERE ResumedAt IS NULL</w:t>
            </w:r>
            <w:r>
              <w:t xml:space="preserve"> </w:t>
            </w:r>
            <w:r>
              <w:t xml:space="preserve">(at most one open pause per LOT-at-Location — same LOT MAY pause at multiple Cells simultaneously, e.g., Machining + Assembly partial-progress). No TTL — paused LOTs persist indefinitely; manual operational cleanup.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 </w:t>
            </w:r>
            <w:r>
              <w:t xml:space="preserve">and</w:t>
            </w:r>
            <w:r>
              <w:t xml:space="preserve"> </w:t>
            </w:r>
            <w:r>
              <w:rPr>
                <w:rStyle w:val="VerbatimChar"/>
              </w:rPr>
              <w:t xml:space="preserve">Workorder.OperationStatus</w:t>
            </w:r>
            <w:r>
              <w:t xml:space="preserve"> </w:t>
            </w:r>
            <w:r>
              <w:t xml:space="preserve">— no</w:t>
            </w:r>
            <w:r>
              <w:t xml:space="preserve"> </w:t>
            </w:r>
            <w:r>
              <w:rPr>
                <w:rStyle w:val="VerbatimChar"/>
              </w:rPr>
              <w:t xml:space="preserve">Paused</w:t>
            </w:r>
            <w:r>
              <w:t xml:space="preserve"> </w:t>
            </w:r>
            <w:r>
              <w:t xml:space="preserve">rows added to those code tables (WO/WOO are MVP-LITE/invisible per OI-07; pause is a LOT-level operator workflow concept). No</w:t>
            </w:r>
            <w:r>
              <w:t xml:space="preserve"> </w:t>
            </w:r>
            <w:r>
              <w:rPr>
                <w:rStyle w:val="VerbatimChar"/>
              </w:rPr>
              <w:t xml:space="preserve">Paused</w:t>
            </w:r>
            <w:r>
              <w:t xml:space="preserve"> </w:t>
            </w:r>
            <w:r>
              <w:t xml:space="preserve">row added to</w:t>
            </w:r>
            <w:r>
              <w:t xml:space="preserve"> </w:t>
            </w:r>
            <w:r>
              <w:rPr>
                <w:rStyle w:val="VerbatimChar"/>
              </w:rPr>
              <w:t xml:space="preserve">Lots.LotStatusCode</w:t>
            </w:r>
            <w:r>
              <w:t xml:space="preserve"> </w:t>
            </w:r>
            <w:r>
              <w:t xml:space="preserve">— pause is a transient operator focus shift, not a LOT quality status.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 alongside the rest of the Lots schema CREATE. FDS-05-038 authoritative. SQL deferred to Arc 2 Phase 1 (Lots schema does not yet exist in the Phase 1–8 codebase).</w:t>
            </w:r>
          </w:p>
        </w:tc>
      </w:tr>
      <w:tr>
        <w:tc>
          <w:tcPr/>
          <w:p>
            <w:pPr>
              <w:pStyle w:val="Compact"/>
            </w:pPr>
            <w:r>
              <w:t xml:space="preserve">1.9f</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shd w:val="clear" w:color="auto" w:fill="F2F2F2"/>
          </w:tcPr>
          <w:tcPr/>
          <w:p>
            <w:pPr>
              <w:pStyle w:val="Compact"/>
            </w:pPr>
            <w:r>
              <w:t xml:space="preserve">1.9e</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p>
            <w:pPr>
              <w:pStyle w:val="Compact"/>
            </w:pPr>
            <w:r>
              <w:t xml:space="preserve">1.9d</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shd w:val="clear" w:color="auto" w:fill="F2F2F2"/>
          </w:tcPr>
          <w:tcPr/>
          <w:p>
            <w:pPr>
              <w:pStyle w:val="Compact"/>
            </w:pPr>
            <w:r>
              <w:t xml:space="preserve">1.9c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p>
            <w:pPr>
              <w:pStyle w:val="Compact"/>
            </w:pPr>
            <w:r>
              <w:t xml:space="preserve">1.9b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shd w:val="clear" w:color="auto" w:fill="F2F2F2"/>
          </w:tcPr>
          <w:tcPr/>
          <w:p>
            <w:pPr>
              <w:pStyle w:val="Compact"/>
            </w:pPr>
            <w:r>
              <w:t xml:space="preserve">1.9</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p>
            <w:pPr>
              <w:pStyle w:val="Compact"/>
            </w:pPr>
            <w:r>
              <w:t xml:space="preserve">1.8-rev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shd w:val="clear" w:color="auto" w:fill="F2F2F2"/>
          </w:tcPr>
          <w:tcPr/>
          <w:p>
            <w:pPr>
              <w:pStyle w:val="Compact"/>
            </w:pPr>
            <w:r>
              <w:t xml:space="preserve">1.7</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p>
            <w:pPr>
              <w:pStyle w:val="Compact"/>
            </w:pPr>
            <w:r>
              <w:t xml:space="preserve">1.6</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shd w:val="clear" w:color="auto" w:fill="F2F2F2"/>
          </w:tcPr>
          <w:tcPr/>
          <w:p>
            <w:pPr>
              <w:pStyle w:val="Compact"/>
            </w:pPr>
            <w:r>
              <w:t xml:space="preserve">1.5</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p>
            <w:pPr>
              <w:pStyle w:val="Compact"/>
            </w:pPr>
            <w:r>
              <w:t xml:space="preserve">1.4</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shd w:val="clear" w:color="auto" w:fill="F2F2F2"/>
          </w:tcPr>
          <w:tcPr/>
          <w:p>
            <w:pPr>
              <w:pStyle w:val="Compact"/>
            </w:pPr>
            <w:r>
              <w:t xml:space="preserve">1.3</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p>
            <w:pPr>
              <w:pStyle w:val="Compact"/>
            </w:pPr>
            <w:r>
              <w:t xml:space="preserve">1.2</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shd w:val="clear" w:color="auto" w:fill="F2F2F2"/>
          </w:tcPr>
          <w:tcPr/>
          <w:p>
            <w:pPr>
              <w:pStyle w:val="Compact"/>
            </w:pPr>
            <w:r>
              <w:t xml:space="preserve">1.0</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p>
            <w:pPr>
              <w:pStyle w:val="Compact"/>
            </w:pPr>
            <w:r>
              <w:t xml:space="preserve">0.9</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shd w:val="clear" w:color="auto" w:fill="F2F2F2"/>
          </w:tcPr>
          <w:tcPr/>
          <w:p>
            <w:pPr>
              <w:pStyle w:val="Compact"/>
            </w:pPr>
            <w:r>
              <w:t xml:space="preserve">0.8</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(Machining — unchanged)</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One of</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w:t>
            </w:r>
            <w:r>
              <w:t xml:space="preserve">(NULL when not yet configured). Selects the closure trigger per FDS-06-014.</w:t>
            </w:r>
            <w:r>
              <w:t xml:space="preserve"> </w:t>
            </w:r>
            <w:r>
              <w:rPr>
                <w:rStyle w:val="VerbatimChar"/>
              </w:rPr>
              <w:t xml:space="preserve">ByCount</w:t>
            </w:r>
            <w:r>
              <w:t xml:space="preserve"> </w:t>
            </w:r>
            <w:r>
              <w:t xml:space="preserve">= operator-entered count;</w:t>
            </w:r>
            <w:r>
              <w:t xml:space="preserve"> </w:t>
            </w:r>
            <w:r>
              <w:rPr>
                <w:rStyle w:val="VerbatimChar"/>
              </w:rPr>
              <w:t xml:space="preserve">ByWeight</w:t>
            </w:r>
            <w:r>
              <w:t xml:space="preserve"> </w:t>
            </w:r>
            <w:r>
              <w:t xml:space="preserve">= scale feedback via OmniServer (target on</w:t>
            </w:r>
            <w:r>
              <w:t xml:space="preserve"> </w:t>
            </w:r>
            <w:r>
              <w:rPr>
                <w:rStyle w:val="VerbatimChar"/>
              </w:rPr>
              <w:t xml:space="preserve">TargetWeight</w:t>
            </w:r>
            <w:r>
              <w:t xml:space="preserve">);</w:t>
            </w:r>
            <w:r>
              <w:t xml:space="preserve"> </w:t>
            </w:r>
            <w:r>
              <w:rPr>
                <w:rStyle w:val="VerbatimChar"/>
              </w:rPr>
              <w:t xml:space="preserve">ByVision</w:t>
            </w:r>
            <w:r>
              <w:t xml:space="preserve"> </w:t>
            </w:r>
            <w:r>
              <w:t xml:space="preserve">= camera validates each part, PLC accumulates the count and asserts</w:t>
            </w:r>
            <w:r>
              <w:t xml:space="preserve"> </w:t>
            </w:r>
            <w:r>
              <w:rPr>
                <w:rStyle w:val="VerbatimChar"/>
              </w:rPr>
              <w:t xml:space="preserve">ContainerFullFlag</w:t>
            </w:r>
            <w:r>
              <w:t xml:space="preserve"> </w:t>
            </w:r>
            <w:r>
              <w:t xml:space="preserve">at target.</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w:t>
            </w:r>
            <w:r>
              <w:t xml:space="preserve"> </w:t>
            </w:r>
            <w:r>
              <w:rPr>
                <w:rStyle w:val="VerbatimChar"/>
              </w:rPr>
              <w:t xml:space="preserve">ByWeight</w:t>
            </w:r>
            <w:r>
              <w:t xml:space="preserve"> </w:t>
            </w:r>
            <w:r>
              <w:t xml:space="preserve">closure. Required when</w:t>
            </w:r>
            <w:r>
              <w:t xml:space="preserve"> </w:t>
            </w:r>
            <w:r>
              <w:rPr>
                <w:rStyle w:val="VerbatimChar"/>
              </w:rPr>
              <w:t xml:space="preserve">ClosureMethod = 'ByWeight'</w:t>
            </w:r>
            <w:r>
              <w:t xml:space="preserve">; ignored otherwise.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Xa23e193ffd3b16e17bb30c0d98b27fecf839dc2"/>
    <w:p>
      <w:pPr>
        <w:pStyle w:val="Heading3"/>
      </w:pPr>
      <w:r>
        <w:t xml:space="preserve">✅ Resolved (v1.8 rev): Casting → Trim Part Identity Change → 1-line BOM</w:t>
      </w:r>
    </w:p>
    <w:p>
      <w:pPr>
        <w:pStyle w:val="BlockText"/>
      </w:pPr>
      <w:r>
        <w:rPr>
          <w:b/>
          <w:bCs/>
        </w:rPr>
        <w:t xml:space="preserve">OI-11 resolution (2026-04-22):</w:t>
      </w:r>
      <w:r>
        <w:t xml:space="preserve"> </w:t>
      </w:r>
      <w:r>
        <w:t xml:space="preserve">An earlier v1.8 draft added a dedicated</w:t>
      </w:r>
      <w:r>
        <w:t xml:space="preserve"> </w:t>
      </w:r>
      <w:r>
        <w:rPr>
          <w:rStyle w:val="VerbatimChar"/>
        </w:rPr>
        <w:t xml:space="preserve">Parts.ItemTransform</w:t>
      </w:r>
      <w:r>
        <w:t xml:space="preserve"> </w:t>
      </w:r>
      <w:r>
        <w:t xml:space="preserve">table to bridge the Casting → Trim part-identity change. On review it was redundant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OperatorId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cast piece becomes one trim piece) is just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5G0-CAST-4102</w:t>
      </w:r>
      <w:r>
        <w:t xml:space="preserve"> </w:t>
      </w:r>
      <w:r>
        <w:t xml:space="preserve">on the trim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5G0-CAST-4102</w:t>
      </w:r>
      <w:r>
        <w:t xml:space="preserve"> </w:t>
      </w:r>
      <w:r>
        <w:t xml:space="preserve">(Component) and</w:t>
      </w:r>
      <w:r>
        <w:t xml:space="preserve"> </w:t>
      </w:r>
      <w:r>
        <w:rPr>
          <w:rStyle w:val="VerbatimChar"/>
        </w:rPr>
        <w:t xml:space="preserve">5G0-TRIM-4102</w:t>
      </w:r>
      <w:r>
        <w:t xml:space="preserve"> </w:t>
      </w:r>
      <w:r>
        <w:t xml:space="preserve">(Sub-Assembly or Component depending on downstream use).</w:t>
      </w:r>
    </w:p>
    <w:p>
      <w:pPr>
        <w:pStyle w:val="Compact"/>
        <w:numPr>
          <w:ilvl w:val="0"/>
          <w:numId w:val="1004"/>
        </w:numPr>
      </w:pPr>
      <w:r>
        <w:rPr>
          <w:rStyle w:val="VerbatimChar"/>
        </w:rPr>
        <w:t xml:space="preserve">Parts.Bom</w:t>
      </w:r>
      <w:r>
        <w:t xml:space="preserve"> </w:t>
      </w:r>
      <w:r>
        <w:t xml:space="preserve">for the trim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5G0-CAST</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Trim Shop Cell, scanning a cast LOT in prompts:</w:t>
      </w:r>
      <w:r>
        <w:t xml:space="preserve"> </w:t>
      </w:r>
      <w:r>
        <w:rPr>
          <w:i/>
          <w:iCs/>
        </w:rPr>
        <w:t xml:space="preserve">“This LOT is 5G0-CAST-4102. Receive as 5G0-TRIM-4102?”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trim part is created;</w:t>
      </w:r>
      <w:r>
        <w:t xml:space="preserve"> </w:t>
      </w:r>
      <w:r>
        <w:rPr>
          <w:rStyle w:val="VerbatimChar"/>
        </w:rPr>
        <w:t xml:space="preserve">Workorder.ConsumptionEvent</w:t>
      </w:r>
      <w:r>
        <w:t xml:space="preserve"> </w:t>
      </w:r>
      <w:r>
        <w:t xml:space="preserve">records the flow (source cast LOT → produced trim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(if any) is captured normally via</w:t>
      </w:r>
      <w:r>
        <w:t xml:space="preserve"> </w:t>
      </w:r>
      <w:r>
        <w:rPr>
          <w:rStyle w:val="VerbatimChar"/>
        </w:rPr>
        <w:t xml:space="preserve">Workorder.RejectEvent</w:t>
      </w:r>
      <w:r>
        <w:t xml:space="preserve"> </w:t>
      </w:r>
      <w:r>
        <w:t xml:space="preserve">on the source side.</w:t>
      </w:r>
    </w:p>
    <w:p>
      <w:pPr>
        <w:pStyle w:val="Compact"/>
        <w:numPr>
          <w:ilvl w:val="0"/>
          <w:numId w:val="1004"/>
        </w:numPr>
      </w:pPr>
      <w:r>
        <w:t xml:space="preserve">Backward trace: walk</w:t>
      </w:r>
      <w:r>
        <w:t xml:space="preserve"> </w:t>
      </w:r>
      <w:r>
        <w:rPr>
          <w:rStyle w:val="VerbatimChar"/>
        </w:rPr>
        <w:t xml:space="preserve">LotGenealogy</w:t>
      </w:r>
      <w:r>
        <w:t xml:space="preserve"> </w:t>
      </w:r>
      <w:r>
        <w:t xml:space="preserve">from shipped trim LOT back to cast LOT → machine / die / cavity / operator / timestamp. No join through an extra table.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(UI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6"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MPP_MES_Open_Issues_Register.md</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51"/>
    <w:bookmarkStart w:id="52" w:name="shippinglabel"/>
    <w:p>
      <w:pPr>
        <w:pStyle w:val="Heading3"/>
      </w:pPr>
      <w:r>
        <w:t xml:space="preserve">ShippingLabel</w:t>
      </w:r>
    </w:p>
    <w:p>
      <w:pPr>
        <w:pStyle w:val="FirstParagraph"/>
      </w:pPr>
      <w:r>
        <w:t xml:space="preserve">Container shipping label print/void history.</w:t>
      </w:r>
      <w:r>
        <w:t xml:space="preserve"> </w:t>
      </w:r>
      <w:r>
        <w:rPr>
          <w:b/>
          <w:bCs/>
        </w:rPr>
        <w:t xml:space="preserve">v1.9i (UJ-18 Gateway-script-async print pattern):</w:t>
      </w:r>
      <w:r>
        <w:t xml:space="preserve"> </w:t>
      </w:r>
      <w:r>
        <w:t xml:space="preserve">print state lives on this row — no separate queue table. Operator close transaction is atomic and zero-latency (same v1.9h AIM pool flow); print dispatch is event-driven via Gateway message handler with 3 retries (2s gap), banner-on-failure at the closing terminal.</w:t>
      </w:r>
    </w:p>
    <w:p>
      <w:pPr>
        <w:pStyle w:val="BodyText"/>
      </w:pPr>
      <w:r>
        <w:t xml:space="preserve">State derivation:</w:t>
      </w:r>
    </w:p>
    <w:p>
      <w:pPr>
        <w:pStyle w:val="Compact"/>
        <w:numPr>
          <w:ilvl w:val="0"/>
          <w:numId w:val="1005"/>
        </w:numPr>
      </w:pPr>
      <w:r>
        <w:rPr>
          <w:b/>
          <w:bCs/>
        </w:rPr>
        <w:t xml:space="preserve">Pending</w:t>
      </w:r>
      <w:r>
        <w:t xml:space="preserve"> </w:t>
      </w:r>
      <w:r>
        <w:t xml:space="preserve">—</w:t>
      </w:r>
      <w:r>
        <w:t xml:space="preserve"> </w:t>
      </w:r>
      <w:r>
        <w:rPr>
          <w:rStyle w:val="VerbatimChar"/>
        </w:rPr>
        <w:t xml:space="preserve">PrintedAt IS NULL AND PrintFailedAt IS NULL</w:t>
      </w:r>
    </w:p>
    <w:p>
      <w:pPr>
        <w:pStyle w:val="Compact"/>
        <w:numPr>
          <w:ilvl w:val="0"/>
          <w:numId w:val="1005"/>
        </w:numPr>
      </w:pPr>
      <w:r>
        <w:rPr>
          <w:b/>
          <w:bCs/>
        </w:rPr>
        <w:t xml:space="preserve">Completed</w:t>
      </w:r>
      <w:r>
        <w:t xml:space="preserve"> </w:t>
      </w:r>
      <w:r>
        <w:t xml:space="preserve">—</w:t>
      </w:r>
      <w:r>
        <w:t xml:space="preserve"> </w:t>
      </w:r>
      <w:r>
        <w:rPr>
          <w:rStyle w:val="VerbatimChar"/>
        </w:rPr>
        <w:t xml:space="preserve">PrintedAt IS NOT NULL</w:t>
      </w:r>
    </w:p>
    <w:p>
      <w:pPr>
        <w:pStyle w:val="Compact"/>
        <w:numPr>
          <w:ilvl w:val="0"/>
          <w:numId w:val="1005"/>
        </w:numPr>
      </w:pPr>
      <w:r>
        <w:rPr>
          <w:b/>
          <w:bCs/>
        </w:rPr>
        <w:t xml:space="preserve">Failed</w:t>
      </w:r>
      <w:r>
        <w:t xml:space="preserve"> </w:t>
      </w:r>
      <w:r>
        <w:t xml:space="preserve">—</w:t>
      </w:r>
      <w:r>
        <w:t xml:space="preserve"> </w:t>
      </w:r>
      <w:r>
        <w:rPr>
          <w:rStyle w:val="VerbatimChar"/>
        </w:rPr>
        <w:t xml:space="preserve">PrintFailedAt IS NOT NULL</w:t>
      </w:r>
      <w:r>
        <w:t xml:space="preserve"> </w:t>
      </w:r>
      <w:r>
        <w:t xml:space="preserve">(banner trigger)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the AimShipperIdPool claim at close time.</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r>
              <w:t xml:space="preserve">NULL until the Gateway print handler succeeds.</w:t>
            </w: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PrintAttempts</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rPr>
                <w:b/>
                <w:bCs/>
              </w:rPr>
              <w:t xml:space="preserve">Added v1.9i.</w:t>
            </w:r>
            <w:r>
              <w:t xml:space="preserve"> </w:t>
            </w:r>
            <w:r>
              <w:t xml:space="preserve">Increments per print attempt by the Gateway message handler.</w:t>
            </w:r>
          </w:p>
        </w:tc>
      </w:tr>
      <w:tr>
        <w:tc>
          <w:tcPr/>
          <w:p>
            <w:pPr>
              <w:pStyle w:val="Compact"/>
            </w:pPr>
            <w:r>
              <w:t xml:space="preserve">LastPrintAttemptAt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Timestamp of most recent print try.</w:t>
            </w:r>
          </w:p>
        </w:tc>
      </w:tr>
      <w:tr>
        <w:tc>
          <w:tcPr>
            <w:shd w:val="clear" w:color="auto" w:fill="F2F2F2"/>
          </w:tcPr>
          <w:tcPr/>
          <w:p>
            <w:pPr>
              <w:pStyle w:val="Compact"/>
            </w:pPr>
            <w:r>
              <w:t xml:space="preserve">LastPrintError</w:t>
            </w:r>
          </w:p>
        </w:tc>
        <w:tc>
          <w:tcPr>
            <w:shd w:val="clear" w:color="auto" w:fill="F2F2F2"/>
          </w:tcPr>
          <w:tcPr/>
          <w:p>
            <w:pPr>
              <w:pStyle w:val="Compact"/>
            </w:pPr>
            <w:r>
              <w:t xml:space="preserve">NVARCHAR(2000)</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Captured exception text from the most recent failed attempt.</w:t>
            </w:r>
          </w:p>
        </w:tc>
      </w:tr>
      <w:tr>
        <w:tc>
          <w:tcPr/>
          <w:p>
            <w:pPr>
              <w:pStyle w:val="Compact"/>
            </w:pPr>
            <w:r>
              <w:t xml:space="preserve">PrintFailedAt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Non-NULL = retries exhausted (3 attempts × 2s gap). Drives the banner shown at</w:t>
            </w:r>
            <w:r>
              <w:t xml:space="preserve"> </w:t>
            </w:r>
            <w:r>
              <w:rPr>
                <w:rStyle w:val="VerbatimChar"/>
              </w:rPr>
              <w:t xml:space="preserve">TerminalLocationId</w:t>
            </w:r>
            <w:r>
              <w:t xml:space="preserve">.</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rPr>
                <w:b/>
                <w:bCs/>
              </w:rPr>
              <w:t xml:space="preserve">Added v1.9i.</w:t>
            </w:r>
            <w:r>
              <w:t xml:space="preserve"> </w:t>
            </w:r>
            <w:r>
              <w:t xml:space="preserve">The Terminal where the closing operator was — drives both the printer pick (resolved via</w:t>
            </w:r>
            <w:r>
              <w:t xml:space="preserve"> </w:t>
            </w:r>
            <w:r>
              <w:rPr>
                <w:rStyle w:val="VerbatimChar"/>
              </w:rPr>
              <w:t xml:space="preserve">LocationAttribute</w:t>
            </w:r>
            <w:r>
              <w:t xml:space="preserve"> </w:t>
            </w:r>
            <w:r>
              <w:t xml:space="preserve">on parent Cell) and the banner routing (banner shows only at this Terminal).</w:t>
            </w:r>
          </w:p>
        </w:tc>
      </w:tr>
    </w:tbl>
    <w:bookmarkEnd w:id="52"/>
    <w:bookmarkStart w:id="53" w:name="pauseevent"/>
    <w:p>
      <w:pPr>
        <w:pStyle w:val="Heading3"/>
      </w:pPr>
      <w:r>
        <w:t xml:space="preserve">PauseEvent</w:t>
      </w:r>
    </w:p>
    <w:p>
      <w:pPr>
        <w:pStyle w:val="FirstParagraph"/>
      </w:pPr>
      <w:r>
        <w:rPr>
          <w:b/>
          <w:bCs/>
        </w:rPr>
        <w:t xml:space="preserve">Added v1.9g (OI-21 — Pausable LOT at Workstation).</w:t>
      </w:r>
      <w:r>
        <w:t xml:space="preserve"> </w:t>
      </w:r>
      <w:r>
        <w:t xml:space="preserve">Captures an operator’s deliberate pause of a partially-progressed LOT at a Cell so the operator may shift focus to a different LOT at the same Cell. Append-only place + close lifecycle — mirrors</w:t>
      </w:r>
      <w:r>
        <w:t xml:space="preserve"> </w:t>
      </w:r>
      <w:r>
        <w:rPr>
          <w:rStyle w:val="VerbatimChar"/>
        </w:rPr>
        <w:t xml:space="preserve">Quality.HoldEvent</w:t>
      </w:r>
      <w:r>
        <w:t xml:space="preserve">. The same LOT MAY be paused at multiple Cells simultaneously (e.g., a Machining LOT pending mid-assembly while another assembly LOT is run); the filtered UNIQUE limits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Pause is orthogonal 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 enum extension is required on any of those code tables. There is no TTL — paused LOTs persist indefinitely; resume MAY be performed by any operator (does not need to match</w:t>
      </w:r>
      <w:r>
        <w:t xml:space="preserve"> </w:t>
      </w:r>
      <w:r>
        <w:rPr>
          <w:rStyle w:val="VerbatimChar"/>
        </w:rPr>
        <w:t xml:space="preserve">PausedByUserId</w:t>
      </w:r>
      <w:r>
        <w:t xml:space="preserve">). Drives the</w:t>
      </w:r>
      <w:r>
        <w:t xml:space="preserve"> </w:t>
      </w:r>
      <w:r>
        <w:rPr>
          <w:b/>
          <w:bCs/>
        </w:rPr>
        <w:t xml:space="preserve">Paused-LOT indicator</w:t>
      </w:r>
      <w:r>
        <w:t xml:space="preserve"> </w:t>
      </w:r>
      <w:r>
        <w:t xml:space="preserve">on every workstation screen (count + tap-through to detail list, per FDS-05-038).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being paused at this Cell.</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The Cell where the pause is recorded. Should be a Cell-tier production location; not enforced at the schema level (proc layer enforces).</w:t>
            </w:r>
          </w:p>
        </w:tc>
      </w:tr>
      <w:tr>
        <w:tc>
          <w:tcPr>
            <w:shd w:val="clear" w:color="auto" w:fill="F2F2F2"/>
          </w:tcPr>
          <w:tcPr/>
          <w:p>
            <w:pPr>
              <w:pStyle w:val="Compact"/>
            </w:pPr>
            <w:r>
              <w:t xml:space="preserve">PausedByUserId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placed the pause.</w:t>
            </w:r>
          </w:p>
        </w:tc>
      </w:tr>
      <w:tr>
        <w:tc>
          <w:tcPr/>
          <w:p>
            <w:pPr>
              <w:pStyle w:val="Compact"/>
            </w:pPr>
            <w:r>
              <w:t xml:space="preserve">PausedAt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PausedReason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Optional — operator MAY pause without entering a reason.</w:t>
            </w:r>
          </w:p>
        </w:tc>
      </w:tr>
      <w:tr>
        <w:tc>
          <w:tcPr/>
          <w:p>
            <w:pPr>
              <w:pStyle w:val="Compact"/>
            </w:pPr>
            <w:r>
              <w:t xml:space="preserve">ResumedByUserId</w:t>
            </w:r>
          </w:p>
        </w:tc>
        <w:tc>
          <w:tcPr/>
          <w:p>
            <w:pPr>
              <w:pStyle w:val="Compact"/>
            </w:pPr>
            <w:r>
              <w:t xml:space="preserve">BIGINT</w:t>
            </w:r>
          </w:p>
        </w:tc>
        <w:tc>
          <w:tcPr/>
          <w:p>
            <w:pPr>
              <w:pStyle w:val="Compact"/>
            </w:pPr>
            <w:r>
              <w:t xml:space="preserve">FK → AppUser.Id, NULL</w:t>
            </w:r>
          </w:p>
        </w:tc>
        <w:tc>
          <w:tcPr/>
          <w:p>
            <w:pPr>
              <w:pStyle w:val="Compact"/>
            </w:pPr>
            <w:r>
              <w:t xml:space="preserve">NULL while pause is open. NOT required to match</w:t>
            </w:r>
            <w:r>
              <w:t xml:space="preserve"> </w:t>
            </w:r>
            <w:r>
              <w:rPr>
                <w:rStyle w:val="VerbatimChar"/>
              </w:rPr>
              <w:t xml:space="preserve">PausedByUserId</w:t>
            </w:r>
            <w:r>
              <w:t xml:space="preserve"> </w:t>
            </w:r>
            <w:r>
              <w:t xml:space="preserve">— paused LOTs cross shift / operator boundaries.</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pause is open.</w:t>
            </w:r>
          </w:p>
        </w:tc>
      </w:tr>
      <w:tr>
        <w:tc>
          <w:tcPr/>
          <w:p>
            <w:pPr>
              <w:pStyle w:val="Compact"/>
            </w:pPr>
            <w:r>
              <w:t xml:space="preserve">ResumedRemarks</w:t>
            </w:r>
          </w:p>
        </w:tc>
        <w:tc>
          <w:tcPr/>
          <w:p>
            <w:pPr>
              <w:pStyle w:val="Compact"/>
            </w:pPr>
            <w:r>
              <w:t xml:space="preserve">NVARCHAR(500)</w:t>
            </w:r>
          </w:p>
        </w:tc>
        <w:tc>
          <w:tcPr/>
          <w:p>
            <w:pPr>
              <w:pStyle w:val="Compact"/>
            </w:pPr>
            <w:r>
              <w:t xml:space="preserve">NULL</w:t>
            </w:r>
          </w:p>
        </w:tc>
        <w:tc>
          <w:tcPr/>
          <w:p>
            <w:pPr>
              <w:pStyle w:val="Compact"/>
            </w:pPr>
            <w:r>
              <w:t xml:space="preserve">Optional resume note.</w:t>
            </w:r>
          </w:p>
        </w:tc>
      </w:tr>
    </w:tbl>
    <w:p>
      <w:pPr>
        <w:pStyle w:val="BodyText"/>
      </w:pPr>
      <w:r>
        <w:rPr>
          <w:b/>
          <w:bCs/>
        </w:rPr>
        <w:t xml:space="preserve">Constraints:</w:t>
      </w:r>
    </w:p>
    <w:p>
      <w:pPr>
        <w:pStyle w:val="Compact"/>
        <w:numPr>
          <w:ilvl w:val="0"/>
          <w:numId w:val="1006"/>
        </w:numPr>
      </w:pPr>
      <w:r>
        <w:rPr>
          <w:rStyle w:val="VerbatimChar"/>
        </w:rPr>
        <w:t xml:space="preserve">CK_PauseEvent_ResumePaired</w:t>
      </w:r>
      <w:r>
        <w:t xml:space="preserve"> </w:t>
      </w:r>
      <w:r>
        <w:t xml:space="preserve">—</w:t>
      </w:r>
      <w:r>
        <w:t xml:space="preserve"> </w:t>
      </w:r>
      <w:r>
        <w:rPr>
          <w:rStyle w:val="VerbatimChar"/>
        </w:rPr>
        <w:t xml:space="preserve">(ResumedAt IS NULL AND ResumedByUserId IS NULL) OR (ResumedAt IS NOT NULL AND ResumedByUserId IS NOT NULL)</w:t>
      </w:r>
      <w:r>
        <w:t xml:space="preserve">. Resume timestamp and resumer are paired.</w:t>
      </w:r>
    </w:p>
    <w:p>
      <w:pPr>
        <w:pStyle w:val="Compact"/>
        <w:numPr>
          <w:ilvl w:val="0"/>
          <w:numId w:val="1006"/>
        </w:numPr>
      </w:pPr>
      <w:r>
        <w:rPr>
          <w:rStyle w:val="VerbatimChar"/>
        </w:rPr>
        <w:t xml:space="preserve">UQ_PauseEvent_OpenLotLocation</w:t>
      </w:r>
      <w:r>
        <w:t xml:space="preserve"> </w:t>
      </w:r>
      <w:r>
        <w:t xml:space="preserve">— filtered UNIQUE on</w:t>
      </w:r>
      <w:r>
        <w:t xml:space="preserve"> </w:t>
      </w:r>
      <w:r>
        <w:rPr>
          <w:rStyle w:val="VerbatimChar"/>
        </w:rPr>
        <w:t xml:space="preserve">(LotId, LocationId) WHERE ResumedAt IS NULL</w:t>
      </w:r>
      <w:r>
        <w:t xml:space="preserve">. Blocks duplicate open pauses for the same LOT at the same Cell.</w:t>
      </w:r>
    </w:p>
    <w:p>
      <w:pPr>
        <w:pStyle w:val="FirstParagraph"/>
      </w:pPr>
      <w:r>
        <w:rPr>
          <w:b/>
          <w:bCs/>
        </w:rPr>
        <w:t xml:space="preserve">Indexes:</w:t>
      </w:r>
    </w:p>
    <w:p>
      <w:pPr>
        <w:pStyle w:val="Compact"/>
        <w:numPr>
          <w:ilvl w:val="0"/>
          <w:numId w:val="1007"/>
        </w:numPr>
      </w:pPr>
      <w:r>
        <w:rPr>
          <w:rStyle w:val="VerbatimChar"/>
        </w:rPr>
        <w:t xml:space="preserve">IX_PauseEvent_OpenByLocation</w:t>
      </w:r>
      <w:r>
        <w:t xml:space="preserve"> </w:t>
      </w:r>
      <w:r>
        <w:t xml:space="preserve">on</w:t>
      </w:r>
      <w:r>
        <w:t xml:space="preserve"> </w:t>
      </w:r>
      <w:r>
        <w:rPr>
          <w:rStyle w:val="VerbatimChar"/>
        </w:rPr>
        <w:t xml:space="preserve">(LocationId) WHERE ResumedAt IS NULL</w:t>
      </w:r>
      <w:r>
        <w:t xml:space="preserve"> </w:t>
      </w:r>
      <w:r>
        <w:t xml:space="preserve">— supports the wallboard counter / paused-LOT detail-list lookup.</w:t>
      </w:r>
    </w:p>
    <w:p>
      <w:pPr>
        <w:pStyle w:val="Compact"/>
        <w:numPr>
          <w:ilvl w:val="0"/>
          <w:numId w:val="1007"/>
        </w:numPr>
      </w:pPr>
      <w:r>
        <w:rPr>
          <w:rStyle w:val="VerbatimChar"/>
        </w:rPr>
        <w:t xml:space="preserve">IX_PauseEvent_Lot</w:t>
      </w:r>
      <w:r>
        <w:t xml:space="preserve"> </w:t>
      </w:r>
      <w:r>
        <w:t xml:space="preserve">on</w:t>
      </w:r>
      <w:r>
        <w:t xml:space="preserve"> </w:t>
      </w:r>
      <w:r>
        <w:rPr>
          <w:rStyle w:val="VerbatimChar"/>
        </w:rPr>
        <w:t xml:space="preserve">(LotId, PausedAt DESC)</w:t>
      </w:r>
      <w:r>
        <w:t xml:space="preserve"> </w:t>
      </w:r>
      <w:r>
        <w:t xml:space="preserve">— supports per-LOT pause history (Lot Details view).</w:t>
      </w:r>
    </w:p>
    <w:p>
      <w:pPr>
        <w:pStyle w:val="FirstParagraph"/>
      </w:pPr>
      <w:r>
        <w:rPr>
          <w:b/>
          <w:bCs/>
        </w:rPr>
        <w:t xml:space="preserve">Audit:</w:t>
      </w:r>
      <w:r>
        <w:t xml:space="preserve"> </w:t>
      </w:r>
      <w:r>
        <w:rPr>
          <w:rStyle w:val="VerbatimChar"/>
        </w:rPr>
        <w:t xml:space="preserve">Audit.LogEntityType</w:t>
      </w:r>
      <w:r>
        <w:t xml:space="preserve"> </w:t>
      </w:r>
      <w:r>
        <w:t xml:space="preserve">gains a</w:t>
      </w:r>
      <w:r>
        <w:t xml:space="preserve"> </w:t>
      </w:r>
      <w:r>
        <w:rPr>
          <w:rStyle w:val="VerbatimChar"/>
        </w:rPr>
        <w:t xml:space="preserve">PauseEvent</w:t>
      </w:r>
      <w:r>
        <w:t xml:space="preserve"> </w:t>
      </w:r>
      <w:r>
        <w:t xml:space="preserve">row (added at Arc 2 Phase 1 alongside the rest of the Lots schema CREATE). Place / Resume operations write to</w:t>
      </w:r>
      <w:r>
        <w:t xml:space="preserve"> </w:t>
      </w:r>
      <w:r>
        <w:rPr>
          <w:rStyle w:val="VerbatimChar"/>
        </w:rPr>
        <w:t xml:space="preserve">Audit.OperationLog</w:t>
      </w:r>
      <w:r>
        <w:t xml:space="preserve">.</w:t>
      </w:r>
    </w:p>
    <w:p>
      <w:pPr>
        <w:pStyle w:val="BlockText"/>
      </w:pPr>
      <w:r>
        <w:rPr>
          <w:b/>
          <w:bCs/>
        </w:rPr>
        <w:t xml:space="preserve">⚠ Implementation deferred to Arc 2 Phase 1.</w:t>
      </w:r>
      <w:r>
        <w:t xml:space="preserve"> </w:t>
      </w:r>
      <w:r>
        <w:t xml:space="preserve">The Lots schema does not yet exist in the Phase 1–8 codebase —</w:t>
      </w:r>
      <w:r>
        <w:t xml:space="preserve"> </w:t>
      </w:r>
      <w:r>
        <w:rPr>
          <w:rStyle w:val="VerbatimChar"/>
        </w:rPr>
        <w:t xml:space="preserve">Lots.Lot</w:t>
      </w:r>
      <w:r>
        <w:t xml:space="preserve"> </w:t>
      </w:r>
      <w:r>
        <w:t xml:space="preserve">and</w:t>
      </w:r>
      <w:r>
        <w:t xml:space="preserve"> </w:t>
      </w:r>
      <w:r>
        <w:rPr>
          <w:rStyle w:val="VerbatimChar"/>
        </w:rPr>
        <w:t xml:space="preserve">Lots.PauseEvent</w:t>
      </w:r>
      <w:r>
        <w:t xml:space="preserve"> </w:t>
      </w:r>
      <w:r>
        <w:t xml:space="preserve">both CREATE in the Arc 2 Phase 1 migration. The column contract above is authoritative.</w:t>
      </w:r>
    </w:p>
    <w:bookmarkEnd w:id="53"/>
    <w:bookmarkStart w:id="54" w:name="aimshipperidpool"/>
    <w:p>
      <w:pPr>
        <w:pStyle w:val="Heading3"/>
      </w:pPr>
      <w:r>
        <w:t xml:space="preserve">AimShipperIdPool</w:t>
      </w:r>
    </w:p>
    <w:p>
      <w:pPr>
        <w:pStyle w:val="FirstParagraph"/>
      </w:pPr>
      <w:r>
        <w:rPr>
          <w:b/>
          <w:bCs/>
        </w:rPr>
        <w:t xml:space="preserve">Added v1.9h (UJ-04 — AIM Shipper ID local pool).</w:t>
      </w:r>
      <w:r>
        <w:t xml:space="preserve"> </w:t>
      </w:r>
      <w:r>
        <w:t xml:space="preserve">Local buffer of pre-fetched Honda AIM Shipper IDs. A background Gateway script (Arc 2 Phase 7) calls</w:t>
      </w:r>
      <w:r>
        <w:t xml:space="preserve"> </w:t>
      </w:r>
      <w:r>
        <w:rPr>
          <w:rStyle w:val="VerbatimChar"/>
        </w:rPr>
        <w:t xml:space="preserve">AIM.GetNextNumber</w:t>
      </w:r>
      <w:r>
        <w:t xml:space="preserve"> </w:t>
      </w:r>
      <w:r>
        <w:t xml:space="preserve">to keep the pool topped up;</w:t>
      </w:r>
      <w:r>
        <w:t xml:space="preserve"> </w:t>
      </w:r>
      <w:r>
        <w:rPr>
          <w:rStyle w:val="VerbatimChar"/>
        </w:rPr>
        <w:t xml:space="preserve">Container_Complete</w:t>
      </w:r>
      <w:r>
        <w:t xml:space="preserve"> </w:t>
      </w:r>
      <w:r>
        <w:t xml:space="preserve">claims one row FIFO, synchronously, inside its own transaction — sub-millisecond, never blocked on AIM. AIM IDs attach to</w:t>
      </w:r>
      <w:r>
        <w:t xml:space="preserve"> </w:t>
      </w:r>
      <w:r>
        <w:rPr>
          <w:rStyle w:val="VerbatimChar"/>
          <w:b/>
          <w:bCs/>
        </w:rPr>
        <w:t xml:space="preserve">Lots.Container</w:t>
      </w:r>
      <w:r>
        <w:rPr>
          <w:b/>
          <w:bCs/>
        </w:rPr>
        <w:t xml:space="preserve"> </w:t>
      </w:r>
      <w:r>
        <w:rPr>
          <w:b/>
          <w:bCs/>
        </w:rPr>
        <w:t xml:space="preserve">only</w:t>
      </w:r>
      <w:r>
        <w:t xml:space="preserve"> </w:t>
      </w:r>
      <w:r>
        <w:t xml:space="preserve">— never to sub-assemblies, sub-LOTs, or any other entity. Honda treats every issued ID as permanently consumed; once</w:t>
      </w:r>
      <w:r>
        <w:t xml:space="preserve"> </w:t>
      </w:r>
      <w:r>
        <w:rPr>
          <w:rStyle w:val="VerbatimChar"/>
        </w:rPr>
        <w:t xml:space="preserve">ConsumedAt</w:t>
      </w:r>
      <w:r>
        <w:t xml:space="preserve"> </w:t>
      </w:r>
      <w:r>
        <w:t xml:space="preserve">is set the row stays terminal regardless of any downstream container void / re-pack (the new container at re-pack draws a fresh ID from the pool). Honda does not expire IDs — no TTL column.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Honda-issued shipper ID returned by</w:t>
            </w:r>
            <w:r>
              <w:t xml:space="preserve"> </w:t>
            </w:r>
            <w:r>
              <w:rPr>
                <w:rStyle w:val="VerbatimChar"/>
              </w:rPr>
              <w:t xml:space="preserve">AIM.GetNextNumber</w:t>
            </w:r>
            <w:r>
              <w:t xml:space="preserve">. UNIQUE protects against double-INSERT under topup-script retries.</w:t>
            </w:r>
          </w:p>
        </w:tc>
      </w:tr>
      <w:tr>
        <w:tc>
          <w:tcPr/>
          <w:p>
            <w:pPr>
              <w:pStyle w:val="Compact"/>
            </w:pPr>
            <w:r>
              <w:t xml:space="preserve">FetchedAt</w:t>
            </w:r>
          </w:p>
        </w:tc>
        <w:tc>
          <w:tcPr/>
          <w:p>
            <w:pPr>
              <w:pStyle w:val="Compact"/>
            </w:pPr>
            <w:r>
              <w:t xml:space="preserve">DATETIME2(3)</w:t>
            </w:r>
          </w:p>
        </w:tc>
        <w:tc>
          <w:tcPr/>
          <w:p>
            <w:pPr>
              <w:pStyle w:val="Compact"/>
            </w:pPr>
            <w:r>
              <w:t xml:space="preserve">NOT NULL, DEFAULT SYSUTCDATETIME()</w:t>
            </w:r>
          </w:p>
        </w:tc>
        <w:tc>
          <w:tcPr/>
          <w:p>
            <w:pPr>
              <w:pStyle w:val="Compact"/>
            </w:pPr>
            <w:r>
              <w:t xml:space="preserve">When AIM gave this ID to us. Drives FIFO ordering at claim time.</w:t>
            </w:r>
          </w:p>
        </w:tc>
      </w:tr>
      <w:tr>
        <w:tc>
          <w:tcPr>
            <w:shd w:val="clear" w:color="auto" w:fill="F2F2F2"/>
          </w:tcPr>
          <w:tcPr/>
          <w:p>
            <w:pPr>
              <w:pStyle w:val="Compact"/>
            </w:pPr>
            <w:r>
              <w:t xml:space="preserve">FetchedInterfaceLogId</w:t>
            </w:r>
          </w:p>
        </w:tc>
        <w:tc>
          <w:tcPr>
            <w:shd w:val="clear" w:color="auto" w:fill="F2F2F2"/>
          </w:tcPr>
          <w:tcPr/>
          <w:p>
            <w:pPr>
              <w:pStyle w:val="Compact"/>
            </w:pPr>
            <w:r>
              <w:t xml:space="preserve">BIGINT</w:t>
            </w:r>
          </w:p>
        </w:tc>
        <w:tc>
          <w:tcPr>
            <w:shd w:val="clear" w:color="auto" w:fill="F2F2F2"/>
          </w:tcPr>
          <w:tcPr/>
          <w:p>
            <w:pPr>
              <w:pStyle w:val="Compact"/>
            </w:pPr>
            <w:r>
              <w:t xml:space="preserve">FK → Audit.InterfaceLog.Id, NOT NULL</w:t>
            </w:r>
          </w:p>
        </w:tc>
        <w:tc>
          <w:tcPr>
            <w:shd w:val="clear" w:color="auto" w:fill="F2F2F2"/>
          </w:tcPr>
          <w:tcPr/>
          <w:p>
            <w:pPr>
              <w:pStyle w:val="Compact"/>
            </w:pPr>
            <w:r>
              <w:t xml:space="preserve">Provenance — points at the exact AIM call that issued this ID.</w:t>
            </w:r>
          </w:p>
        </w:tc>
      </w:tr>
      <w:tr>
        <w:tc>
          <w:tcPr/>
          <w:p>
            <w:pPr>
              <w:pStyle w:val="Compact"/>
            </w:pPr>
            <w:r>
              <w:t xml:space="preserve">ConsumedAt</w:t>
            </w:r>
          </w:p>
        </w:tc>
        <w:tc>
          <w:tcPr/>
          <w:p>
            <w:pPr>
              <w:pStyle w:val="Compact"/>
            </w:pPr>
            <w:r>
              <w:t xml:space="preserve">DATETIME2(3)</w:t>
            </w:r>
          </w:p>
        </w:tc>
        <w:tc>
          <w:tcPr/>
          <w:p>
            <w:pPr>
              <w:pStyle w:val="Compact"/>
            </w:pPr>
            <w:r>
              <w:t xml:space="preserve">NULL</w:t>
            </w:r>
          </w:p>
        </w:tc>
        <w:tc>
          <w:tcPr/>
          <w:p>
            <w:pPr>
              <w:pStyle w:val="Compact"/>
            </w:pPr>
            <w:r>
              <w:t xml:space="preserve">NULL = available in the pool. Non-NULL = permanently consumed.</w:t>
            </w:r>
          </w:p>
        </w:tc>
      </w:tr>
      <w:tr>
        <w:tc>
          <w:tcPr>
            <w:shd w:val="clear" w:color="auto" w:fill="F2F2F2"/>
          </w:tcPr>
          <w:tcPr/>
          <w:p>
            <w:pPr>
              <w:pStyle w:val="Compact"/>
            </w:pPr>
            <w:r>
              <w:t xml:space="preserve">ConsumedByContainerId</w:t>
            </w:r>
          </w:p>
        </w:tc>
        <w:tc>
          <w:tcPr>
            <w:shd w:val="clear" w:color="auto" w:fill="F2F2F2"/>
          </w:tcPr>
          <w:tcPr/>
          <w:p>
            <w:pPr>
              <w:pStyle w:val="Compact"/>
            </w:pPr>
            <w:r>
              <w:t xml:space="preserve">BIGINT</w:t>
            </w:r>
          </w:p>
        </w:tc>
        <w:tc>
          <w:tcPr>
            <w:shd w:val="clear" w:color="auto" w:fill="F2F2F2"/>
          </w:tcPr>
          <w:tcPr/>
          <w:p>
            <w:pPr>
              <w:pStyle w:val="Compact"/>
            </w:pPr>
            <w:r>
              <w:t xml:space="preserve">FK → Lots.Container.Id, NULL</w:t>
            </w:r>
          </w:p>
        </w:tc>
        <w:tc>
          <w:tcPr>
            <w:shd w:val="clear" w:color="auto" w:fill="F2F2F2"/>
          </w:tcPr>
          <w:tcPr/>
          <w:p>
            <w:pPr>
              <w:pStyle w:val="Compact"/>
            </w:pPr>
            <w:r>
              <w:t xml:space="preserve">The container that claimed this ID. NULL ↔ ConsumedAt NULL.</w:t>
            </w:r>
          </w:p>
        </w:tc>
      </w:tr>
      <w:tr>
        <w:tc>
          <w:tcPr/>
          <w:p>
            <w:pPr>
              <w:pStyle w:val="Compact"/>
            </w:pPr>
            <w:r>
              <w:t xml:space="preserve">ConsumedByUserId</w:t>
            </w:r>
          </w:p>
        </w:tc>
        <w:tc>
          <w:tcPr/>
          <w:p>
            <w:pPr>
              <w:pStyle w:val="Compact"/>
            </w:pPr>
            <w:r>
              <w:t xml:space="preserve">BIGINT</w:t>
            </w:r>
          </w:p>
        </w:tc>
        <w:tc>
          <w:tcPr/>
          <w:p>
            <w:pPr>
              <w:pStyle w:val="Compact"/>
            </w:pPr>
            <w:r>
              <w:t xml:space="preserve">FK → Location.AppUser.Id, NULL</w:t>
            </w:r>
          </w:p>
        </w:tc>
        <w:tc>
          <w:tcPr/>
          <w:p>
            <w:pPr>
              <w:pStyle w:val="Compact"/>
            </w:pPr>
            <w:r>
              <w:t xml:space="preserve">The operator whose closing-container action consumed this ID. NULL ↔ ConsumedAt NULL.</w:t>
            </w:r>
          </w:p>
        </w:tc>
      </w:tr>
    </w:tbl>
    <w:p>
      <w:pPr>
        <w:pStyle w:val="BodyText"/>
      </w:pPr>
      <w:r>
        <w:rPr>
          <w:b/>
          <w:bCs/>
        </w:rPr>
        <w:t xml:space="preserve">Constraints:</w:t>
      </w:r>
    </w:p>
    <w:p>
      <w:pPr>
        <w:pStyle w:val="Compact"/>
        <w:numPr>
          <w:ilvl w:val="0"/>
          <w:numId w:val="1008"/>
        </w:numPr>
      </w:pPr>
      <w:r>
        <w:rPr>
          <w:rStyle w:val="VerbatimChar"/>
        </w:rPr>
        <w:t xml:space="preserve">CK_AimShipperIdPool_ConsumedFieldsPaired</w:t>
      </w:r>
      <w:r>
        <w:t xml:space="preserve"> </w:t>
      </w:r>
      <w:r>
        <w:t xml:space="preserve">—</w:t>
      </w:r>
      <w:r>
        <w:t xml:space="preserve"> </w:t>
      </w:r>
      <w:r>
        <w:rPr>
          <w:rStyle w:val="VerbatimChar"/>
        </w:rPr>
        <w:t xml:space="preserve">(ConsumedAt IS NULL AND ConsumedByContainerId IS NULL AND ConsumedByUserId IS NULL) OR (ConsumedAt IS NOT NULL AND ConsumedByContainerId IS NOT NULL AND ConsumedByUserId IS NOT NULL)</w:t>
      </w:r>
      <w:r>
        <w:t xml:space="preserve">. The three consumption columns are paired; either all NULL (available) or all set (consumed).</w:t>
      </w:r>
    </w:p>
    <w:p>
      <w:pPr>
        <w:pStyle w:val="FirstParagraph"/>
      </w:pPr>
      <w:r>
        <w:rPr>
          <w:b/>
          <w:bCs/>
        </w:rPr>
        <w:t xml:space="preserve">Indexes:</w:t>
      </w:r>
    </w:p>
    <w:p>
      <w:pPr>
        <w:pStyle w:val="Compact"/>
        <w:numPr>
          <w:ilvl w:val="0"/>
          <w:numId w:val="1009"/>
        </w:numPr>
      </w:pPr>
      <w:r>
        <w:rPr>
          <w:rStyle w:val="VerbatimChar"/>
        </w:rPr>
        <w:t xml:space="preserve">IX_AimShipperIdPool_Available (FetchedAt) WHERE ConsumedAt IS NULL</w:t>
      </w:r>
      <w:r>
        <w:t xml:space="preserve"> </w:t>
      </w:r>
      <w:r>
        <w:t xml:space="preserve">— drives the FIFO</w:t>
      </w:r>
      <w:r>
        <w:t xml:space="preserve"> </w:t>
      </w:r>
      <w:r>
        <w:rPr>
          <w:rStyle w:val="VerbatimChar"/>
        </w:rPr>
        <w:t xml:space="preserve">_Claim</w:t>
      </w:r>
      <w:r>
        <w:t xml:space="preserve"> </w:t>
      </w:r>
      <w:r>
        <w:t xml:space="preserve">query (</w:t>
      </w:r>
      <w:r>
        <w:rPr>
          <w:rStyle w:val="VerbatimChar"/>
        </w:rPr>
        <w:t xml:space="preserve">UPDATE TOP (1) WITH (UPDLOCK, READPAST, ROWLOCK)</w:t>
      </w:r>
      <w:r>
        <w:t xml:space="preserve">) and the</w:t>
      </w:r>
      <w:r>
        <w:t xml:space="preserve"> </w:t>
      </w:r>
      <w:r>
        <w:rPr>
          <w:rStyle w:val="VerbatimChar"/>
        </w:rPr>
        <w:t xml:space="preserve">_GetDepth</w:t>
      </w:r>
      <w:r>
        <w:t xml:space="preserve"> </w:t>
      </w:r>
      <w:r>
        <w:t xml:space="preserve">count.</w:t>
      </w:r>
    </w:p>
    <w:p>
      <w:pPr>
        <w:pStyle w:val="Compact"/>
        <w:numPr>
          <w:ilvl w:val="0"/>
          <w:numId w:val="1009"/>
        </w:numPr>
      </w:pPr>
      <w:r>
        <w:rPr>
          <w:rStyle w:val="VerbatimChar"/>
        </w:rPr>
        <w:t xml:space="preserve">IX_AimShipperIdPool_Container ON (ConsumedByContainerId) WHERE ConsumedByContainerId IS NOT NULL</w:t>
      </w:r>
      <w:r>
        <w:t xml:space="preserve"> </w:t>
      </w:r>
      <w:r>
        <w:t xml:space="preserve">— supports</w:t>
      </w:r>
      <w:r>
        <w:t xml:space="preserve"> </w:t>
      </w:r>
      <w:r>
        <w:rPr>
          <w:rStyle w:val="VerbatimChar"/>
        </w:rPr>
        <w:t xml:space="preserve">_GetByContainer</w:t>
      </w:r>
      <w:r>
        <w:t xml:space="preserve"> </w:t>
      </w:r>
      <w:r>
        <w:t xml:space="preserve">traceability.</w:t>
      </w:r>
    </w:p>
    <w:p>
      <w:pPr>
        <w:pStyle w:val="FirstParagraph"/>
      </w:pPr>
      <w:r>
        <w:rPr>
          <w:b/>
          <w:bCs/>
        </w:rPr>
        <w:t xml:space="preserve">Audit:</w:t>
      </w:r>
      <w:r>
        <w:t xml:space="preserve"> </w:t>
      </w:r>
      <w:r>
        <w:rPr>
          <w:rStyle w:val="VerbatimChar"/>
        </w:rPr>
        <w:t xml:space="preserve">Audit.LogEntityType</w:t>
      </w:r>
      <w:r>
        <w:t xml:space="preserve"> </w:t>
      </w:r>
      <w:r>
        <w:t xml:space="preserve">gains an</w:t>
      </w:r>
      <w:r>
        <w:t xml:space="preserve"> </w:t>
      </w:r>
      <w:r>
        <w:rPr>
          <w:rStyle w:val="VerbatimChar"/>
        </w:rPr>
        <w:t xml:space="preserve">AimShipperIdPool</w:t>
      </w:r>
      <w:r>
        <w:t xml:space="preserve"> </w:t>
      </w:r>
      <w:r>
        <w:t xml:space="preserve">row at Arc 2 Phase 7.</w:t>
      </w:r>
      <w:r>
        <w:t xml:space="preserve"> </w:t>
      </w:r>
      <w:r>
        <w:rPr>
          <w:rStyle w:val="VerbatimChar"/>
        </w:rPr>
        <w:t xml:space="preserve">_Claim</w:t>
      </w:r>
      <w:r>
        <w:t xml:space="preserve"> </w:t>
      </w:r>
      <w:r>
        <w:t xml:space="preserve">writes an</w:t>
      </w:r>
      <w:r>
        <w:t xml:space="preserve"> </w:t>
      </w:r>
      <w:r>
        <w:rPr>
          <w:rStyle w:val="VerbatimChar"/>
        </w:rPr>
        <w:t xml:space="preserve">OperationLog</w:t>
      </w:r>
      <w:r>
        <w:t xml:space="preserve"> </w:t>
      </w:r>
      <w:r>
        <w:rPr>
          <w:rStyle w:val="VerbatimChar"/>
        </w:rPr>
        <w:t xml:space="preserve">Consumed</w:t>
      </w:r>
      <w:r>
        <w:t xml:space="preserve"> </w:t>
      </w:r>
      <w:r>
        <w:t xml:space="preserve">row (linked back to the closing container’s audit chain). Each</w:t>
      </w:r>
      <w:r>
        <w:t xml:space="preserve"> </w:t>
      </w:r>
      <w:r>
        <w:rPr>
          <w:rStyle w:val="VerbatimChar"/>
        </w:rPr>
        <w:t xml:space="preserve">_Topup</w:t>
      </w:r>
      <w:r>
        <w:t xml:space="preserve"> </w:t>
      </w:r>
      <w:r>
        <w:t xml:space="preserve">is</w:t>
      </w:r>
      <w:r>
        <w:t xml:space="preserve"> </w:t>
      </w:r>
      <w:r>
        <w:rPr>
          <w:i/>
          <w:iCs/>
        </w:rPr>
        <w:t xml:space="preserve">itself</w:t>
      </w:r>
      <w:r>
        <w:t xml:space="preserve"> </w:t>
      </w:r>
      <w:r>
        <w:t xml:space="preserve">preceded by an</w:t>
      </w:r>
      <w:r>
        <w:t xml:space="preserve"> </w:t>
      </w:r>
      <w:r>
        <w:rPr>
          <w:rStyle w:val="VerbatimChar"/>
        </w:rPr>
        <w:t xml:space="preserve">Audit.InterfaceLog</w:t>
      </w:r>
      <w:r>
        <w:t xml:space="preserve"> </w:t>
      </w:r>
      <w:r>
        <w:t xml:space="preserve">row (the AIM call) —</w:t>
      </w:r>
      <w:r>
        <w:t xml:space="preserve"> </w:t>
      </w:r>
      <w:r>
        <w:rPr>
          <w:rStyle w:val="VerbatimChar"/>
        </w:rPr>
        <w:t xml:space="preserve">FetchedInterfaceLogId</w:t>
      </w:r>
      <w:r>
        <w:t xml:space="preserve"> </w:t>
      </w:r>
      <w:r>
        <w:t xml:space="preserve">carries the FK so provenance is end-to-end queryable.</w:t>
      </w:r>
    </w:p>
    <w:p>
      <w:pPr>
        <w:pStyle w:val="BlockText"/>
      </w:pPr>
      <w:r>
        <w:rPr>
          <w:b/>
          <w:bCs/>
        </w:rPr>
        <w:t xml:space="preserve">⚠ Implementation deferred to Arc 2 Phase 7.</w:t>
      </w:r>
      <w:r>
        <w:t xml:space="preserve"> </w:t>
      </w:r>
      <w:r>
        <w:t xml:space="preserve">The Container schema does not yet exist in the Phase 1–8 codebase —</w:t>
      </w:r>
      <w:r>
        <w:t xml:space="preserve"> </w:t>
      </w:r>
      <w:r>
        <w:rPr>
          <w:rStyle w:val="VerbatimChar"/>
        </w:rPr>
        <w:t xml:space="preserve">Lots.Container</w:t>
      </w:r>
      <w:r>
        <w:t xml:space="preserve">,</w:t>
      </w:r>
      <w:r>
        <w:t xml:space="preserve"> </w:t>
      </w:r>
      <w:r>
        <w:rPr>
          <w:rStyle w:val="VerbatimChar"/>
        </w:rPr>
        <w:t xml:space="preserve">Lots.AimShipperIdPool</w:t>
      </w:r>
      <w:r>
        <w:t xml:space="preserve">, and</w:t>
      </w:r>
      <w:r>
        <w:t xml:space="preserve"> </w:t>
      </w:r>
      <w:r>
        <w:rPr>
          <w:rStyle w:val="VerbatimChar"/>
        </w:rPr>
        <w:t xml:space="preserve">Lots.AimPoolConfig</w:t>
      </w:r>
      <w:r>
        <w:t xml:space="preserve"> </w:t>
      </w:r>
      <w:r>
        <w:t xml:space="preserve">all CREATE in the Arc 2 Phase 7 migration. The column contract above is authoritative.</w:t>
      </w:r>
    </w:p>
    <w:bookmarkEnd w:id="54"/>
    <w:bookmarkStart w:id="55" w:name="aimpoolconfig"/>
    <w:p>
      <w:pPr>
        <w:pStyle w:val="Heading3"/>
      </w:pPr>
      <w:r>
        <w:t xml:space="preserve">AimPoolConfig</w:t>
      </w:r>
    </w:p>
    <w:p>
      <w:pPr>
        <w:pStyle w:val="FirstParagraph"/>
      </w:pPr>
      <w:r>
        <w:rPr>
          <w:b/>
          <w:bCs/>
        </w:rPr>
        <w:t xml:space="preserve">Added v1.9h (UJ-04 — AIM Pool configuration).</w:t>
      </w:r>
      <w:r>
        <w:t xml:space="preserve"> </w:t>
      </w:r>
      <w:r>
        <w:t xml:space="preserve">Single-row table holding the operator-configurable thresholds for the AIM Shipper ID pool. The Configuration Tool exposes these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Single-row enforced via</w:t>
      </w:r>
      <w:r>
        <w:t xml:space="preserve"> </w:t>
      </w:r>
      <w:r>
        <w:rPr>
          <w:rStyle w:val="VerbatimChar"/>
        </w:rPr>
        <w:t xml:space="preserve">CHECK (Id = 1)</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 CHECK (Id = 1)</w:t>
            </w:r>
          </w:p>
        </w:tc>
        <w:tc>
          <w:tcPr/>
          <w:p>
            <w:pPr>
              <w:pStyle w:val="Compact"/>
            </w:pPr>
            <w:r>
              <w:t xml:space="preserve">Always 1. Single-row table.</w:t>
            </w:r>
          </w:p>
        </w:tc>
      </w:tr>
      <w:tr>
        <w:tc>
          <w:tcPr>
            <w:shd w:val="clear" w:color="auto" w:fill="F2F2F2"/>
          </w:tcPr>
          <w:tcPr/>
          <w:p>
            <w:pPr>
              <w:pStyle w:val="Compact"/>
            </w:pPr>
            <w:r>
              <w:t xml:space="preserve">TargetBufferDepth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50, CHECK (TargetBufferDepth &gt; 0)</w:t>
            </w:r>
          </w:p>
        </w:tc>
        <w:tc>
          <w:tcPr>
            <w:shd w:val="clear" w:color="auto" w:fill="F2F2F2"/>
          </w:tcPr>
          <w:tcPr/>
          <w:p>
            <w:pPr>
              <w:pStyle w:val="Compact"/>
            </w:pPr>
            <w:r>
              <w:t xml:space="preserve">The desired pool depth — topup script refills toward this value.</w:t>
            </w:r>
          </w:p>
        </w:tc>
      </w:tr>
      <w:tr>
        <w:tc>
          <w:tcPr/>
          <w:p>
            <w:pPr>
              <w:pStyle w:val="Compact"/>
            </w:pPr>
            <w:r>
              <w:t xml:space="preserve">TopupThreshold</w:t>
            </w:r>
          </w:p>
        </w:tc>
        <w:tc>
          <w:tcPr/>
          <w:p>
            <w:pPr>
              <w:pStyle w:val="Compact"/>
            </w:pPr>
            <w:r>
              <w:t xml:space="preserve">INT</w:t>
            </w:r>
          </w:p>
        </w:tc>
        <w:tc>
          <w:tcPr/>
          <w:p>
            <w:pPr>
              <w:pStyle w:val="Compact"/>
            </w:pPr>
            <w:r>
              <w:t xml:space="preserve">NOT NULL, DEFAULT 30, CHECK (TopupThreshold &gt;= 0 AND TopupThreshold &lt; TargetBufferDepth)</w:t>
            </w:r>
          </w:p>
        </w:tc>
        <w:tc>
          <w:tcPr/>
          <w:p>
            <w:pPr>
              <w:pStyle w:val="Compact"/>
            </w:pPr>
            <w:r>
              <w:t xml:space="preserve">Topup script triggers when</w:t>
            </w:r>
            <w:r>
              <w:t xml:space="preserve"> </w:t>
            </w:r>
            <w:r>
              <w:rPr>
                <w:rStyle w:val="VerbatimChar"/>
              </w:rPr>
              <w:t xml:space="preserve">AvailableCount &lt; TopupThreshold</w:t>
            </w:r>
            <w:r>
              <w:t xml:space="preserve">.</w:t>
            </w:r>
          </w:p>
        </w:tc>
      </w:tr>
      <w:tr>
        <w:tc>
          <w:tcPr>
            <w:shd w:val="clear" w:color="auto" w:fill="F2F2F2"/>
          </w:tcPr>
          <w:tcPr/>
          <w:p>
            <w:pPr>
              <w:pStyle w:val="Compact"/>
            </w:pPr>
            <w:r>
              <w:t xml:space="preserve">AlarmWarningDepth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20, CHECK (AlarmWarningDepth &gt;= 0 AND AlarmWarningDepth &lt; TopupThreshold)</w:t>
            </w:r>
          </w:p>
        </w:tc>
        <w:tc>
          <w:tcPr>
            <w:shd w:val="clear" w:color="auto" w:fill="F2F2F2"/>
          </w:tcPr>
          <w:tcPr/>
          <w:p>
            <w:pPr>
              <w:pStyle w:val="Compact"/>
            </w:pPr>
            <w:r>
              <w:t xml:space="preserve">Supervisor wallboard tile turns yellow when</w:t>
            </w:r>
            <w:r>
              <w:t xml:space="preserve"> </w:t>
            </w:r>
            <w:r>
              <w:rPr>
                <w:rStyle w:val="VerbatimChar"/>
              </w:rPr>
              <w:t xml:space="preserve">AvailableCount &lt; AlarmWarningDepth</w:t>
            </w:r>
            <w:r>
              <w:t xml:space="preserve">.</w:t>
            </w:r>
          </w:p>
        </w:tc>
      </w:tr>
      <w:tr>
        <w:tc>
          <w:tcPr/>
          <w:p>
            <w:pPr>
              <w:pStyle w:val="Compact"/>
            </w:pPr>
            <w:r>
              <w:t xml:space="preserve">AlarmCriticalDepth</w:t>
            </w:r>
          </w:p>
        </w:tc>
        <w:tc>
          <w:tcPr/>
          <w:p>
            <w:pPr>
              <w:pStyle w:val="Compact"/>
            </w:pPr>
            <w:r>
              <w:t xml:space="preserve">INT</w:t>
            </w:r>
          </w:p>
        </w:tc>
        <w:tc>
          <w:tcPr/>
          <w:p>
            <w:pPr>
              <w:pStyle w:val="Compact"/>
            </w:pPr>
            <w:r>
              <w:t xml:space="preserve">NOT NULL, DEFAULT 10, CHECK (AlarmCriticalDepth &gt;= 0 AND AlarmCriticalDepth &lt; AlarmWarningDepth)</w:t>
            </w:r>
          </w:p>
        </w:tc>
        <w:tc>
          <w:tcPr/>
          <w:p>
            <w:pPr>
              <w:pStyle w:val="Compact"/>
            </w:pPr>
            <w:r>
              <w:t xml:space="preserve">Supervisor alarm + IT notification fires when</w:t>
            </w:r>
            <w:r>
              <w:t xml:space="preserve"> </w:t>
            </w:r>
            <w:r>
              <w:rPr>
                <w:rStyle w:val="VerbatimChar"/>
              </w:rPr>
              <w:t xml:space="preserve">AvailableCount &lt; AlarmCriticalDepth</w:t>
            </w:r>
            <w:r>
              <w:t xml:space="preserve">.</w:t>
            </w: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Location.AppUser.Id, NULL</w:t>
            </w:r>
          </w:p>
        </w:tc>
        <w:tc>
          <w:tcPr/>
          <w:p>
            <w:pPr>
              <w:pStyle w:val="Compact"/>
            </w:pPr>
          </w:p>
        </w:tc>
      </w:tr>
    </w:tbl>
    <w:p>
      <w:pPr>
        <w:pStyle w:val="BodyText"/>
      </w:pPr>
      <w:r>
        <w:rPr>
          <w:b/>
          <w:bCs/>
        </w:rPr>
        <w:t xml:space="preserve">Seed (at Arc 2 Phase 7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TargetBufferDepth</w:t>
            </w:r>
          </w:p>
        </w:tc>
        <w:tc>
          <w:tcPr>
            <w:shd w:val="clear" w:color="auto" w:fill="1F4E79"/>
          </w:tcPr>
          <w:tcPr/>
          <w:p>
            <w:pPr>
              <w:pStyle w:val="Compact"/>
            </w:pPr>
            <w:r>
              <w:rPr>
                <w:b/>
                <w:color w:val="FFFFFF"/>
              </w:rPr>
              <w:t xml:space="preserve">TopupThreshold</w:t>
            </w:r>
          </w:p>
        </w:tc>
        <w:tc>
          <w:tcPr>
            <w:shd w:val="clear" w:color="auto" w:fill="1F4E79"/>
          </w:tcPr>
          <w:tcPr/>
          <w:p>
            <w:pPr>
              <w:pStyle w:val="Compact"/>
            </w:pPr>
            <w:r>
              <w:rPr>
                <w:b/>
                <w:color w:val="FFFFFF"/>
              </w:rPr>
              <w:t xml:space="preserve">AlarmWarningDepth</w:t>
            </w:r>
          </w:p>
        </w:tc>
        <w:tc>
          <w:tcPr>
            <w:shd w:val="clear" w:color="auto" w:fill="1F4E79"/>
          </w:tcPr>
          <w:tcPr/>
          <w:p>
            <w:pPr>
              <w:pStyle w:val="Compact"/>
            </w:pPr>
            <w:r>
              <w:rPr>
                <w:b/>
                <w:color w:val="FFFFFF"/>
              </w:rPr>
              <w:t xml:space="preserve">AlarmCriticalDepth</w:t>
            </w:r>
          </w:p>
        </w:tc>
      </w:tr>
      <w:tr>
        <w:tc>
          <w:tcPr/>
          <w:p>
            <w:pPr>
              <w:pStyle w:val="Compact"/>
            </w:pPr>
            <w:r>
              <w:t xml:space="preserve">1</w:t>
            </w:r>
          </w:p>
        </w:tc>
        <w:tc>
          <w:tcPr/>
          <w:p>
            <w:pPr>
              <w:pStyle w:val="Compact"/>
            </w:pPr>
            <w:r>
              <w:t xml:space="preserve">50</w:t>
            </w:r>
          </w:p>
        </w:tc>
        <w:tc>
          <w:tcPr/>
          <w:p>
            <w:pPr>
              <w:pStyle w:val="Compact"/>
            </w:pPr>
            <w:r>
              <w:t xml:space="preserve">30</w:t>
            </w:r>
          </w:p>
        </w:tc>
        <w:tc>
          <w:tcPr/>
          <w:p>
            <w:pPr>
              <w:pStyle w:val="Compact"/>
            </w:pPr>
            <w:r>
              <w:t xml:space="preserve">20</w:t>
            </w:r>
          </w:p>
        </w:tc>
        <w:tc>
          <w:tcPr/>
          <w:p>
            <w:pPr>
              <w:pStyle w:val="Compact"/>
            </w:pPr>
            <w:r>
              <w:t xml:space="preserve">10</w:t>
            </w:r>
          </w:p>
        </w:tc>
      </w:tr>
    </w:tbl>
    <w:p>
      <w:pPr>
        <w:pStyle w:val="BodyText"/>
      </w:pPr>
      <w:r>
        <w:rPr>
          <w:b/>
          <w:bCs/>
        </w:rPr>
        <w:t xml:space="preserve">Audit:</w:t>
      </w:r>
      <w:r>
        <w:t xml:space="preserve"> </w:t>
      </w:r>
      <w:r>
        <w:rPr>
          <w:rStyle w:val="VerbatimChar"/>
        </w:rPr>
        <w:t xml:space="preserve">Audit.LogEntityType</w:t>
      </w:r>
      <w:r>
        <w:t xml:space="preserve"> </w:t>
      </w:r>
      <w:r>
        <w:t xml:space="preserve">gains an</w:t>
      </w:r>
      <w:r>
        <w:t xml:space="preserve"> </w:t>
      </w:r>
      <w:r>
        <w:rPr>
          <w:rStyle w:val="VerbatimChar"/>
        </w:rPr>
        <w:t xml:space="preserve">AimPoolConfig</w:t>
      </w:r>
      <w:r>
        <w:t xml:space="preserve"> </w:t>
      </w:r>
      <w:r>
        <w:t xml:space="preserve">row at Arc 2 Phase 7.</w:t>
      </w:r>
      <w:r>
        <w:t xml:space="preserve"> </w:t>
      </w:r>
      <w:r>
        <w:rPr>
          <w:rStyle w:val="VerbatimChar"/>
        </w:rPr>
        <w:t xml:space="preserve">_Update</w:t>
      </w:r>
      <w:r>
        <w:t xml:space="preserve"> </w:t>
      </w:r>
      <w:r>
        <w:t xml:space="preserve">writes a</w:t>
      </w:r>
      <w:r>
        <w:t xml:space="preserve"> </w:t>
      </w:r>
      <w:r>
        <w:rPr>
          <w:rStyle w:val="VerbatimChar"/>
        </w:rPr>
        <w:t xml:space="preserve">ConfigLog</w:t>
      </w:r>
      <w:r>
        <w:t xml:space="preserve"> </w:t>
      </w:r>
      <w:r>
        <w:t xml:space="preserve">row.</w:t>
      </w:r>
    </w:p>
    <w:p>
      <w:pPr>
        <w:pStyle w:val="BlockText"/>
      </w:pPr>
      <w:r>
        <w:rPr>
          <w:b/>
          <w:bCs/>
        </w:rPr>
        <w:t xml:space="preserve">⚠ Implementation deferred to Arc 2 Phase 7.</w:t>
      </w:r>
    </w:p>
    <w:p>
      <w:r>
        <w:pict>
          <v:rect style="width:0;height:1.5pt" o:hralign="center" o:hrstd="t" o:hr="t"/>
        </w:pict>
      </w:r>
    </w:p>
    <w:bookmarkEnd w:id="55"/>
    <w:bookmarkEnd w:id="56"/>
    <w:bookmarkStart w:id="67"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7"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7"/>
    <w:bookmarkStart w:id="58"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8"/>
    <w:bookmarkStart w:id="59"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9"/>
    <w:bookmarkStart w:id="60"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with 3 seed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is needed to rename Id=1</w:t>
      </w:r>
      <w:r>
        <w:t xml:space="preserve"> </w:t>
      </w:r>
      <w:r>
        <w:rPr>
          <w:rStyle w:val="VerbatimChar"/>
        </w:rPr>
        <w:t xml:space="preserve">Demand</w:t>
      </w:r>
      <w:r>
        <w:t xml:space="preserve">→</w:t>
      </w:r>
      <w:r>
        <w:rPr>
          <w:rStyle w:val="VerbatimChar"/>
        </w:rPr>
        <w:t xml:space="preserve">Production</w:t>
      </w:r>
      <w:r>
        <w:t xml:space="preserve">, DELETE Ids 2 and 3, and update</w:t>
      </w:r>
      <w:r>
        <w:t xml:space="preserve"> </w:t>
      </w:r>
      <w:r>
        <w:rPr>
          <w:rStyle w:val="VerbatimChar"/>
        </w:rPr>
        <w:t xml:space="preserve">sql/tests/0019_Parts_ConsumptionMetadata_And_ScrapSource/010_Phase_E_additives.sql</w:t>
      </w:r>
      <w:r>
        <w:t xml:space="preserve"> </w:t>
      </w:r>
      <w:r>
        <w:t xml:space="preserve">(currently asserts 3 rows). Not executed this turn.</w:t>
      </w:r>
    </w:p>
    <w:bookmarkEnd w:id="60"/>
    <w:bookmarkStart w:id="61" w:name="workorder"/>
    <w:p>
      <w:pPr>
        <w:pStyle w:val="Heading3"/>
      </w:pPr>
      <w:r>
        <w:t xml:space="preserve">WorkOrder</w:t>
      </w:r>
    </w:p>
    <w:p>
      <w:pPr>
        <w:pStyle w:val="FirstParagraph"/>
      </w:pPr>
      <w:r>
        <w:t xml:space="preserve">Auto-generated internal work order. Operators never see this. v1.7 adds</w:t>
      </w:r>
      <w:r>
        <w:t xml:space="preserve"> </w:t>
      </w:r>
      <w:r>
        <w:rPr>
          <w:rStyle w:val="VerbatimChar"/>
        </w:rPr>
        <w:t xml:space="preserve">WorkOrderTypeId</w:t>
      </w:r>
      <w:r>
        <w:t xml:space="preserve"> </w:t>
      </w:r>
      <w:r>
        <w:t xml:space="preserve">(discriminator) and</w:t>
      </w:r>
      <w:r>
        <w:t xml:space="preserve"> </w:t>
      </w:r>
      <w:r>
        <w:rPr>
          <w:rStyle w:val="VerbatimChar"/>
        </w:rPr>
        <w:t xml:space="preserve">ToolId</w:t>
      </w:r>
      <w:r>
        <w:t xml:space="preserve"> </w:t>
      </w:r>
      <w:r>
        <w:t xml:space="preserve">(FUTURE Maintenance-only, nullable). v1.9b (2026-04-24) —</w:t>
      </w:r>
      <w:r>
        <w:t xml:space="preserve"> </w:t>
      </w:r>
      <w:r>
        <w:rPr>
          <w:rStyle w:val="VerbatimChar"/>
        </w:rPr>
        <w:t xml:space="preserve">WorkOrderTypeId</w:t>
      </w:r>
      <w:r>
        <w:t xml:space="preserve"> </w:t>
      </w:r>
      <w:r>
        <w:t xml:space="preserve">now defaults to the single-seeded</w:t>
      </w:r>
      <w:r>
        <w:t xml:space="preserve"> </w:t>
      </w:r>
      <w:r>
        <w:rPr>
          <w:rStyle w:val="VerbatimChar"/>
        </w:rPr>
        <w:t xml:space="preserve">Production</w:t>
      </w:r>
      <w:r>
        <w:t xml:space="preserve"> </w:t>
      </w:r>
      <w:r>
        <w:t xml:space="preserve">row;</w:t>
      </w:r>
      <w:r>
        <w:t xml:space="preserve"> </w:t>
      </w:r>
      <w:r>
        <w:rPr>
          <w:rStyle w:val="VerbatimChar"/>
        </w:rPr>
        <w:t xml:space="preserve">ToolId</w:t>
      </w:r>
      <w:r>
        <w:t xml:space="preserve"> </w:t>
      </w:r>
      <w:r>
        <w:t xml:space="preserve">FK remains as a schema hook for future Maintenance WOs without being populated in MVP.</w:t>
      </w:r>
    </w:p>
    <w:p>
      <w:pPr>
        <w:pStyle w:val="BlockText"/>
      </w:pPr>
      <w:r>
        <w:rPr>
          <w:b/>
          <w:bCs/>
        </w:rPr>
        <w:t xml:space="preserve">⚠ Implementation deferred to Arc 2 Phase 1</w:t>
      </w:r>
      <w:r>
        <w:t xml:space="preserve"> </w:t>
      </w:r>
      <w:r>
        <w:t xml:space="preserve">(discovered 2026-04-22 during Phase G scoping). The</w:t>
      </w:r>
      <w:r>
        <w:t xml:space="preserve"> </w:t>
      </w:r>
      <w:r>
        <w:rPr>
          <w:rStyle w:val="VerbatimChar"/>
        </w:rPr>
        <w:t xml:space="preserve">Workorder.WorkOrder</w:t>
      </w:r>
      <w:r>
        <w:t xml:space="preserve"> </w:t>
      </w:r>
      <w:r>
        <w:t xml:space="preserve">table itself does not yet exist — Phases 1–8 built only the</w:t>
      </w:r>
      <w:r>
        <w:t xml:space="preserve"> </w:t>
      </w:r>
      <w:r>
        <w:rPr>
          <w:rStyle w:val="VerbatimChar"/>
        </w:rPr>
        <w:t xml:space="preserve">WorkOrderStatus</w:t>
      </w:r>
      <w:r>
        <w:t xml:space="preserve"> </w:t>
      </w:r>
      <w:r>
        <w:t xml:space="preserve">+</w:t>
      </w:r>
      <w:r>
        <w:t xml:space="preserve"> </w:t>
      </w:r>
      <w:r>
        <w:rPr>
          <w:rStyle w:val="VerbatimChar"/>
        </w:rPr>
        <w:t xml:space="preserve">OperationStatus</w:t>
      </w:r>
      <w:r>
        <w:t xml:space="preserve"> </w:t>
      </w:r>
      <w:r>
        <w:t xml:space="preserve">code tables. The v1.7 Phase B spec wrote these as</w:t>
      </w:r>
      <w:r>
        <w:t xml:space="preserve"> </w:t>
      </w:r>
      <w:r>
        <w:rPr>
          <w:i/>
          <w:iCs/>
        </w:rPr>
        <w:t xml:space="preserve">ALTER ADD COLUMN</w:t>
      </w:r>
      <w:r>
        <w:t xml:space="preserve">, but there’s no table to ALTER. Arc 2 Phase 1 CREATEs</w:t>
      </w:r>
      <w:r>
        <w:t xml:space="preserve"> </w:t>
      </w:r>
      <w:r>
        <w:rPr>
          <w:rStyle w:val="VerbatimChar"/>
        </w:rPr>
        <w:t xml:space="preserve">Workorder.WorkOrder</w:t>
      </w:r>
      <w:r>
        <w:t xml:space="preserve"> </w:t>
      </w:r>
      <w:r>
        <w:t xml:space="preserve">with</w:t>
      </w:r>
      <w:r>
        <w:t xml:space="preserve"> </w:t>
      </w:r>
      <w:r>
        <w:rPr>
          <w:rStyle w:val="VerbatimChar"/>
        </w:rPr>
        <w:t xml:space="preserve">WorkOrderTypeId</w:t>
      </w:r>
      <w:r>
        <w:t xml:space="preserve"> </w:t>
      </w:r>
      <w:r>
        <w:t xml:space="preserve">(FK →</w:t>
      </w:r>
      <w:r>
        <w:t xml:space="preserve"> </w:t>
      </w:r>
      <w:r>
        <w:rPr>
          <w:rStyle w:val="VerbatimChar"/>
        </w:rPr>
        <w:t xml:space="preserve">Workorder.WorkOrderType</w:t>
      </w:r>
      <w:r>
        <w:t xml:space="preserve">, created in Phase G) and</w:t>
      </w:r>
      <w:r>
        <w:t xml:space="preserve"> </w:t>
      </w:r>
      <w:r>
        <w:rPr>
          <w:rStyle w:val="VerbatimChar"/>
        </w:rPr>
        <w:t xml:space="preserve">ToolId</w:t>
      </w:r>
      <w:r>
        <w:t xml:space="preserve"> </w:t>
      </w:r>
      <w:r>
        <w:t xml:space="preserve">(FK →</w:t>
      </w:r>
      <w:r>
        <w:t xml:space="preserve"> </w:t>
      </w:r>
      <w:r>
        <w:rPr>
          <w:rStyle w:val="VerbatimChar"/>
        </w:rPr>
        <w:t xml:space="preserve">Tools.Tool</w:t>
      </w:r>
      <w:r>
        <w:t xml:space="preserve">, created in Phase G) baked in from day one. The column contract described below is authoritative — it’s just the DDL verb that changes from ALTER to CREATE.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61"/>
    <w:bookmarkStart w:id="62"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62"/>
    <w:bookmarkStart w:id="63" w:name="productionevent"/>
    <w:p>
      <w:pPr>
        <w:pStyle w:val="Heading3"/>
      </w:pPr>
      <w:r>
        <w:t xml:space="preserve">ProductionEvent</w:t>
      </w:r>
    </w:p>
    <w:p>
      <w:pPr>
        <w:pStyle w:val="FirstParagraph"/>
      </w:pPr>
      <w:r>
        <w:rPr>
          <w:b/>
          <w:bCs/>
        </w:rPr>
        <w:t xml:space="preserve">Checkpoint-shape event table (v1.9).</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lockText"/>
      </w:pPr>
      <w:r>
        <w:rPr>
          <w:b/>
          <w:bCs/>
        </w:rPr>
        <w:t xml:space="preserve">⚠ Implementation deferred to Arc 2 Phase 1.</w:t>
      </w:r>
      <w:r>
        <w:t xml:space="preserve"> </w:t>
      </w:r>
      <w:r>
        <w:t xml:space="preserve">The</w:t>
      </w:r>
      <w:r>
        <w:t xml:space="preserve"> </w:t>
      </w:r>
      <w:r>
        <w:rPr>
          <w:rStyle w:val="VerbatimChar"/>
        </w:rPr>
        <w:t xml:space="preserve">Workorder.ProductionEvent</w:t>
      </w:r>
      <w:r>
        <w:t xml:space="preserve"> </w:t>
      </w:r>
      <w:r>
        <w:t xml:space="preserve">table does not exist in the Phase 1–8 codebase. Arc 2 Phase 1 CREATEs it with the full column list below. The column contract is authoritative.</w:t>
      </w:r>
    </w:p>
    <w:p>
      <w:pPr>
        <w:pStyle w:val="FirstParagraph"/>
      </w:pPr>
      <w:r>
        <w:rPr>
          <w:b/>
          <w:bCs/>
        </w:rPr>
        <w:t xml:space="preserve">What’s deliberately NOT on this table (Data Model v1.9 reshape):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3"/>
    <w:bookmarkStart w:id="64"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4"/>
    <w:bookmarkStart w:id="65"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5"/>
    <w:bookmarkStart w:id="66"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6"/>
    <w:bookmarkEnd w:id="67"/>
    <w:bookmarkStart w:id="81"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8"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8"/>
    <w:bookmarkStart w:id="69"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9"/>
    <w:bookmarkStart w:id="70"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70"/>
    <w:bookmarkStart w:id="71"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71"/>
    <w:bookmarkStart w:id="72"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72"/>
    <w:bookmarkStart w:id="73"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73"/>
    <w:bookmarkStart w:id="74"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4"/>
    <w:bookmarkStart w:id="75"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6"/>
    <w:bookmarkStart w:id="77"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7"/>
    <w:bookmarkStart w:id="78"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8"/>
    <w:bookmarkStart w:id="79"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9"/>
    <w:bookmarkStart w:id="80"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80"/>
    <w:bookmarkEnd w:id="81"/>
    <w:bookmarkStart w:id="89"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82"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2"/>
    <w:bookmarkStart w:id="83"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3"/>
    <w:bookmarkStart w:id="84"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4"/>
    <w:bookmarkStart w:id="85"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5"/>
    <w:bookmarkStart w:id="86"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6"/>
    <w:bookmarkStart w:id="87"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87"/>
    <w:bookmarkStart w:id="88"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8"/>
    <w:bookmarkEnd w:id="89"/>
    <w:bookmarkStart w:id="102"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90"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90"/>
    <w:bookmarkStart w:id="91"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91"/>
    <w:bookmarkStart w:id="92"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92"/>
    <w:bookmarkStart w:id="93"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3"/>
    <w:bookmarkStart w:id="94"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4"/>
    <w:bookmarkStart w:id="95"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5"/>
    <w:bookmarkStart w:id="96"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6"/>
    <w:bookmarkStart w:id="97"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7"/>
    <w:bookmarkStart w:id="98"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8"/>
    <w:bookmarkStart w:id="99"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9"/>
    <w:bookmarkStart w:id="100"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100"/>
    <w:bookmarkStart w:id="101" w:name="cross-references"/>
    <w:p>
      <w:pPr>
        <w:pStyle w:val="Heading3"/>
      </w:pPr>
      <w:r>
        <w:t xml:space="preserve">Cross-references</w:t>
      </w:r>
    </w:p>
    <w:p>
      <w:pPr>
        <w:pStyle w:val="Compact"/>
        <w:numPr>
          <w:ilvl w:val="0"/>
          <w:numId w:val="1010"/>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Populated only for</w:t>
      </w:r>
      <w:r>
        <w:t xml:space="preserve"> </w:t>
      </w:r>
      <w:r>
        <w:rPr>
          <w:rStyle w:val="VerbatimChar"/>
        </w:rPr>
        <w:t xml:space="preserve">WorkOrderType = Maintenance</w:t>
      </w:r>
      <w:r>
        <w:t xml:space="preserve"> </w:t>
      </w:r>
      <w:r>
        <w:t xml:space="preserve">(enforced at proc layer; Recipe WOs legitimately have NULL</w:t>
      </w:r>
      <w:r>
        <w:t xml:space="preserve"> </w:t>
      </w:r>
      <w:r>
        <w:rPr>
          <w:rStyle w:val="VerbatimChar"/>
        </w:rPr>
        <w:t xml:space="preserve">ToolId</w:t>
      </w:r>
      <w:r>
        <w:t xml:space="preserve">).</w:t>
      </w:r>
    </w:p>
    <w:p>
      <w:pPr>
        <w:pStyle w:val="Compact"/>
        <w:numPr>
          <w:ilvl w:val="0"/>
          <w:numId w:val="1010"/>
        </w:numPr>
      </w:pPr>
      <w:r>
        <w:rPr>
          <w:b/>
          <w:bCs/>
        </w:rPr>
        <w:t xml:space="preserve">Workorder.ProductionEvent.DieIdentifier</w:t>
      </w:r>
      <w:r>
        <w:t xml:space="preserve"> </w:t>
      </w:r>
      <w:r>
        <w:t xml:space="preserve">(§4) — historical NVARCHAR snapshot of the die at event time. Not an FK. A parallel</w:t>
      </w:r>
      <w:r>
        <w:t xml:space="preserve"> </w:t>
      </w:r>
      <w:r>
        <w:rPr>
          <w:rStyle w:val="VerbatimChar"/>
        </w:rPr>
        <w:t xml:space="preserve">ToolId BIGINT FK</w:t>
      </w:r>
      <w:r>
        <w:t xml:space="preserve"> </w:t>
      </w:r>
      <w:r>
        <w:t xml:space="preserve">may be added in a later phase for analytics joins; the NVARCHAR stays as the as-captured value (survives tool rename/replacement).</w:t>
      </w:r>
    </w:p>
    <w:p>
      <w:pPr>
        <w:pStyle w:val="Compact"/>
        <w:numPr>
          <w:ilvl w:val="0"/>
          <w:numId w:val="1010"/>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10"/>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 A second row for</w:t>
      </w:r>
      <w:r>
        <w:t xml:space="preserve"> </w:t>
      </w:r>
      <w:r>
        <w:rPr>
          <w:rStyle w:val="VerbatimChar"/>
        </w:rPr>
        <w:t xml:space="preserve">ItemTransform</w:t>
      </w:r>
      <w:r>
        <w:t xml:space="preserve"> </w:t>
      </w:r>
      <w:r>
        <w:t xml:space="preserve">was removed after OI-11 resolved via 1-line BOM (no new table).</w:t>
      </w:r>
    </w:p>
    <w:p>
      <w:r>
        <w:pict>
          <v:rect style="width:0;height:1.5pt" o:hralign="center" o:hrstd="t" o:hr="t"/>
        </w:pict>
      </w:r>
    </w:p>
    <w:bookmarkEnd w:id="101"/>
    <w:bookmarkEnd w:id="102"/>
    <w:bookmarkStart w:id="110"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3"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3"/>
    <w:bookmarkStart w:id="104"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4"/>
    <w:bookmarkStart w:id="105"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5"/>
    <w:bookmarkStart w:id="106"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6"/>
    <w:bookmarkStart w:id="107"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7"/>
    <w:bookmarkStart w:id="108"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8"/>
    <w:bookmarkStart w:id="109"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2026-04-28T12:54:56Z</dcterms:created>
  <dcterms:modified xsi:type="dcterms:W3CDTF">2026-04-28T12:54:56Z</dcterms:modified>
</cp:coreProperties>
</file>

<file path=docProps/custom.xml><?xml version="1.0" encoding="utf-8"?>
<Properties xmlns="http://schemas.openxmlformats.org/officeDocument/2006/custom-properties" xmlns:vt="http://schemas.openxmlformats.org/officeDocument/2006/docPropsVTypes"/>
</file>