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pp-mes-fds-change-log-pre-release"/>
    <w:p>
      <w:pPr>
        <w:pStyle w:val="Heading1"/>
      </w:pPr>
      <w:r>
        <w:t xml:space="preserve">MPP MES — FDS Change Log (Pre-Release)</w:t>
      </w:r>
    </w:p>
    <w:p>
      <w:pPr>
        <w:pStyle w:val="FirstParagraph"/>
      </w:pPr>
      <w:r>
        <w:rPr>
          <w:b/>
          <w:bCs/>
        </w:rPr>
        <w:t xml:space="preserve">Companion document to:</w:t>
      </w:r>
      <w:r>
        <w:t xml:space="preserve"> </w:t>
      </w:r>
      <w:r>
        <w:rPr>
          <w:rStyle w:val="VerbatimChar"/>
        </w:rPr>
        <w:t xml:space="preserve">MPP_MES_FDS.docx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Pre-release — change log lives here while the FDS is in active development. On customer-review release the change log will be reintegrated into the FDS itself.</w:t>
      </w:r>
      <w:r>
        <w:t xml:space="preserve"> </w:t>
      </w:r>
      <w:r>
        <w:rPr>
          <w:b/>
          <w:bCs/>
        </w:rPr>
        <w:t xml:space="preserve">Maintained by:</w:t>
      </w:r>
      <w:r>
        <w:t xml:space="preserve"> </w:t>
      </w:r>
      <w:r>
        <w:t xml:space="preserve">Blue Ridge Automation</w:t>
      </w:r>
    </w:p>
    <w:p>
      <w:r>
        <w:pict>
          <v:rect style="width:0;height:1.5pt" o:hralign="center" o:hrstd="t" o:hr="t"/>
        </w:pict>
      </w:r>
    </w:p>
    <w:bookmarkStart w:id="9" w:name="why-this-is-a-separate-document"/>
    <w:p>
      <w:pPr>
        <w:pStyle w:val="Heading2"/>
      </w:pPr>
      <w:r>
        <w:t xml:space="preserve">Why this is a separate document</w:t>
      </w:r>
    </w:p>
    <w:p>
      <w:pPr>
        <w:pStyle w:val="FirstParagraph"/>
      </w:pPr>
      <w:r>
        <w:t xml:space="preserve">Until the FDS is released to MPP for customer review, every working session produces revisions worth capturing — but the cumulative change history rapidly outgrows what fits cleanly inside the design document. Pages of revision history bury the design content and make the FDS unwieldy.</w:t>
      </w:r>
    </w:p>
    <w:p>
      <w:pPr>
        <w:pStyle w:val="BodyText"/>
      </w:pPr>
      <w:r>
        <w:t xml:space="preserve">We therefore keep two artifacts during development: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MPP_MES_FDS.docx</w:t>
      </w:r>
      <w:r>
        <w:t xml:space="preserve"> </w:t>
      </w:r>
      <w:r>
        <w:t xml:space="preserve">— the design document. Front matter shows the current version + date; no in-document change log.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MPP_MES_FDS_CHANGELOG.docx</w:t>
      </w:r>
      <w:r>
        <w:t xml:space="preserve"> </w:t>
      </w:r>
      <w:r>
        <w:t xml:space="preserve">— this document. The full revision history of the FDS through pre-release.</w:t>
      </w:r>
    </w:p>
    <w:p>
      <w:pPr>
        <w:pStyle w:val="FirstParagraph"/>
      </w:pPr>
      <w:r>
        <w:t xml:space="preserve">At customer-review release, this change log is reintegrated into the FDS in a tightened form (one entry per release, not per working-session turn) and this standalone artifact is retired or archived. From that point forward, the customer-facing FDS carries its own in-document change log.</w:t>
      </w:r>
    </w:p>
    <w:bookmarkEnd w:id="9"/>
    <w:bookmarkStart w:id="10" w:name="convention"/>
    <w:p>
      <w:pPr>
        <w:pStyle w:val="Heading2"/>
      </w:pPr>
      <w:r>
        <w:t xml:space="preserve">Convention</w:t>
      </w:r>
    </w:p>
    <w:p>
      <w:pPr>
        <w:pStyle w:val="FirstParagraph"/>
      </w:pPr>
      <w:r>
        <w:t xml:space="preserve">Newest at top. Each entry:</w:t>
      </w:r>
      <w:r>
        <w:t xml:space="preserve"> </w:t>
      </w:r>
      <w:r>
        <w:rPr>
          <w:b/>
          <w:bCs/>
        </w:rPr>
        <w:t xml:space="preserve">§ section(s) — driver/topic.</w:t>
      </w:r>
      <w:r>
        <w:t xml:space="preserve"> </w:t>
      </w:r>
      <w:r>
        <w:t xml:space="preserve">Specific FDS-XX-NNN req IDs created or rewritten. Companion data model / OIR / ERD versions where applicable.</w:t>
      </w:r>
    </w:p>
    <w:p>
      <w:r>
        <w:pict>
          <v:rect style="width:0;height:1.5pt" o:hralign="center" o:hrstd="t" o:hr="t"/>
        </w:pict>
      </w:r>
    </w:p>
    <w:bookmarkEnd w:id="10"/>
    <w:bookmarkStart w:id="11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0.11m</w:t>
            </w:r>
          </w:p>
        </w:tc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2026-04-28 working session — clarity, factual corrections, plant-reality alignment.</w:t>
            </w:r>
            <w:r>
              <w:t xml:space="preserve"> </w:t>
            </w:r>
            <w:r>
              <w:t xml:space="preserve">Consolidated revision entry covering all in-session edits.</w:t>
            </w:r>
            <w:r>
              <w:rPr>
                <w:b/>
                <w:bCs/>
              </w:rPr>
              <w:t xml:space="preserve">Editorial / formatting.</w:t>
            </w:r>
            <w:r>
              <w:t xml:space="preserve"> </w:t>
            </w:r>
            <w:r>
              <w:t xml:space="preserve">Twenty numbered-list intros gained a blank line before the first item (pandoc was rendering them as paragraphs in docx). Document-wide strip of internal</w:t>
            </w:r>
            <w:r>
              <w:t xml:space="preserve"> </w:t>
            </w:r>
            <w:r>
              <w:t xml:space="preserve">“Arc 1”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“Arc 2 Phase N”</w:t>
            </w:r>
            <w:r>
              <w:t xml:space="preserve"> </w:t>
            </w:r>
            <w:r>
              <w:t xml:space="preserve">project-execution markers from body prose (revision-history mentions retained as metadata) — the FDS describes WHAT the system does; WHEN each piece is built belongs in the phased plan. The FDS-05-038</w:t>
            </w:r>
            <w:r>
              <w:t xml:space="preserve"> </w:t>
            </w:r>
            <w:r>
              <w:t xml:space="preserve">“Implementation deferred”</w:t>
            </w:r>
            <w:r>
              <w:t xml:space="preserve"> </w:t>
            </w:r>
            <w:r>
              <w:t xml:space="preserve">admonition (which tracked Phase 1–8 codebase delta) was deleted entirely.</w:t>
            </w:r>
            <w:r>
              <w:rPr>
                <w:b/>
                <w:bCs/>
              </w:rPr>
              <w:t xml:space="preserve">Cross-document references.</w:t>
            </w:r>
            <w:r>
              <w:t xml:space="preserve"> </w:t>
            </w:r>
            <w:r>
              <w:t xml:space="preserve">All references to project deliverables updated to point at their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counterparts (</w:t>
            </w:r>
            <w:r>
              <w:rPr>
                <w:rStyle w:val="VerbatimChar"/>
              </w:rPr>
              <w:t xml:space="preserve">MPP_MES_DATA_MODEL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MPP_MES_SUMMARY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MPP_MES_USER_JOURNEYS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MPP_MES_Open_Issues_Register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MPP_MES_ERD.html</w:t>
            </w:r>
            <w:r>
              <w:t xml:space="preserve"> </w:t>
            </w:r>
            <w:r>
              <w:t xml:space="preserve">stays as HTML;</w:t>
            </w:r>
            <w:r>
              <w:t xml:space="preserve"> </w:t>
            </w:r>
            <w:r>
              <w:rPr>
                <w:rStyle w:val="VerbatimChar"/>
              </w:rPr>
              <w:t xml:space="preserve">sql_best_practices_mes.md</w:t>
            </w:r>
            <w:r>
              <w:t xml:space="preserve"> </w:t>
            </w:r>
            <w:r>
              <w:t xml:space="preserve">stays as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(no docx counterpart);</w:t>
            </w:r>
            <w:r>
              <w:t xml:space="preserve"> </w:t>
            </w:r>
            <w:r>
              <w:rPr>
                <w:rStyle w:val="VerbatimChar"/>
              </w:rPr>
              <w:t xml:space="preserve">Meeting_Notes/*.md</w:t>
            </w:r>
            <w:r>
              <w:t xml:space="preserve"> </w:t>
            </w:r>
            <w:r>
              <w:t xml:space="preserve">stay as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(working notes, not deliverables).</w:t>
            </w:r>
            <w:r>
              <w:rPr>
                <w:b/>
                <w:bCs/>
              </w:rPr>
              <w:t xml:space="preserve">§1.2 / §1.7 / Glossary / Related-Docs.</w:t>
            </w:r>
            <w:r>
              <w:t xml:space="preserve"> </w:t>
            </w:r>
            <w:r>
              <w:t xml:space="preserve">Schema count corrected from 7 to 8 (Tools schema was missing); FDS-01-002 now enumerates all eight (Location, Parts, Lots, Workorder, Quality, OEE, Tools, Audit). Related-docs version on Data Model bumped from v1.7 (~70 tables) to v1.9 (~73 tables).</w:t>
            </w:r>
            <w:r>
              <w:rPr>
                <w:b/>
                <w:bCs/>
              </w:rPr>
              <w:t xml:space="preserve">§1.4 Data Flow Architecture.</w:t>
            </w:r>
            <w:r>
              <w:t xml:space="preserve"> </w:t>
            </w:r>
            <w:r>
              <w:t xml:space="preserve">ASCII layer diagram in a code block replaced with a proper 4-column table (Layer / Mutability / Tables / What it answers). FDS-01-007 expanded — Tag Historian MAY share the SQL Server instance with the MES but SHALL use a separate database (different access patterns, retention, backup, tuning).</w:t>
            </w:r>
            <w:r>
              <w:rPr>
                <w:b/>
                <w:bCs/>
              </w:rPr>
              <w:t xml:space="preserve">§2.5 Terminals (+ §3.5 / §4.1 / §5.3 follow-ons).</w:t>
            </w:r>
            <w:r>
              <w:t xml:space="preserve"> </w:t>
            </w:r>
            <w:r>
              <w:t xml:space="preserve">Cell-context selection MAY use scan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dropdown (no longer scan-only). FDS-02-009 renamed and rewritten (</w:t>
            </w:r>
            <w:r>
              <w:t xml:space="preserve">“Cell Context Selection”</w:t>
            </w:r>
            <w:r>
              <w:t xml:space="preserve">). FDS-02-010 mode-derivation table refreshed: Cell-parent → Dedicated, WorkCenter-parent → Shared, Area-parent → Shared (was a binary table that lumped WorkCenter with Cell). Examples replaced — Dedicated = paired Machining + Assembly WorkCenter with two Cell-parented sibling terminals; Shared = Die Cast cabin parented to Area; new WorkCenter-shared row added. FDS-02-011 rewritten — dedicated terminals can’t change context; shared terminals change via scan or dropdown only. FDS-02-012 expanded to two eligibility paths (direct + BOM-derived) — components are eligible at any Cell where their parent Item is eligible, eliminating per-component-per-Cell row explosion. FDS-04-003 shared-terminal definition realigned with the new tier rule. FDS-05-008 movement step 2 wording updated for scan-or-dropdown.</w:t>
            </w:r>
            <w:r>
              <w:rPr>
                <w:b/>
                <w:bCs/>
              </w:rPr>
              <w:t xml:space="preserve">§3.6 ContainerConfig + §6.6 Non-Serialized Assembly.</w:t>
            </w:r>
            <w:r>
              <w:t xml:space="preserve"> </w:t>
            </w:r>
            <w:r>
              <w:t xml:space="preserve">Non-serialized closure granularity corrected — validation is</w:t>
            </w:r>
            <w:r>
              <w:t xml:space="preserve"> </w:t>
            </w:r>
            <w:r>
              <w:rPr>
                <w:b/>
                <w:bCs/>
              </w:rPr>
              <w:t xml:space="preserve">tray-level</w:t>
            </w:r>
            <w:r>
              <w:t xml:space="preserve">, with the container as the accumulator.</w:t>
            </w:r>
            <w:r>
              <w:t xml:space="preserve"> </w:t>
            </w:r>
            <w:r>
              <w:rPr>
                <w:rStyle w:val="VerbatimChar"/>
              </w:rPr>
              <w:t xml:space="preserve">ClosureMethod</w:t>
            </w:r>
            <w:r>
              <w:t xml:space="preserve"> </w:t>
            </w:r>
            <w:r>
              <w:t xml:space="preserve">extended with a third value</w:t>
            </w:r>
            <w:r>
              <w:t xml:space="preserve"> </w:t>
            </w:r>
            <w:r>
              <w:rPr>
                <w:rStyle w:val="VerbatimChar"/>
              </w:rPr>
              <w:t xml:space="preserve">ByVision</w:t>
            </w:r>
            <w:r>
              <w:t xml:space="preserve"> </w:t>
            </w:r>
            <w:r>
              <w:t xml:space="preserve">(camera validates each part, PLC asserts</w:t>
            </w:r>
            <w:r>
              <w:t xml:space="preserve"> </w:t>
            </w:r>
            <w:r>
              <w:rPr>
                <w:rStyle w:val="VerbatimChar"/>
              </w:rPr>
              <w:t xml:space="preserve">TrayFullFlag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PartsPerTray</w:t>
            </w:r>
            <w:r>
              <w:t xml:space="preserve">); code values renamed to UpperCamelCase per project convention (</w:t>
            </w:r>
            <w:r>
              <w:rPr>
                <w:rStyle w:val="VerbatimChar"/>
              </w:rPr>
              <w:t xml:space="preserve">ByCount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ByWeight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ByVision</w:t>
            </w:r>
            <w:r>
              <w:t xml:space="preserve">; was</w:t>
            </w:r>
            <w:r>
              <w:t xml:space="preserve"> </w:t>
            </w:r>
            <w:r>
              <w:rPr>
                <w:rStyle w:val="VerbatimChar"/>
              </w:rPr>
              <w:t xml:space="preserve">BY_COUNT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BY_WEIGHT</w:t>
            </w:r>
            <w:r>
              <w:t xml:space="preserve">). FDS-03-017 reframed as a two-stage trigger (tray validates, container accumulates). FDS-06-013 (Non-Serialized Assembly) rewritten to drive ConsumptionEvents per tray pass and increment a running container count. FDS-06-014 fully rewritten —</w:t>
            </w:r>
            <w:r>
              <w:t xml:space="preserve"> </w:t>
            </w:r>
            <w:r>
              <w:rPr>
                <w:rStyle w:val="VerbatimChar"/>
              </w:rPr>
              <w:t xml:space="preserve">ClosureMethod</w:t>
            </w:r>
            <w:r>
              <w:t xml:space="preserve"> </w:t>
            </w:r>
            <w:r>
              <w:t xml:space="preserve">table now describes tray-level triggers; container fill is derived in MES from accumulated tray closes (no PLC</w:t>
            </w:r>
            <w:r>
              <w:t xml:space="preserve"> </w:t>
            </w:r>
            <w:r>
              <w:rPr>
                <w:rStyle w:val="VerbatimChar"/>
              </w:rPr>
              <w:t xml:space="preserve">ContainerFullFlag</w:t>
            </w:r>
            <w:r>
              <w:t xml:space="preserve"> </w:t>
            </w:r>
            <w:r>
              <w:t xml:space="preserve">tag needed). Three-tier signal chain made explicit: tray pass → container fill → WO auto-finish. FDS-03-020 prose corrected — was mischaracterizing FDS-03-019 as a</w:t>
            </w:r>
            <w:r>
              <w:t xml:space="preserve"> </w:t>
            </w:r>
            <w:r>
              <w:t xml:space="preserve">“per-container cap”</w:t>
            </w:r>
            <w:r>
              <w:t xml:space="preserve">; it is a per-Item LOT-volume cap at a Cell.</w:t>
            </w:r>
            <w:r>
              <w:rPr>
                <w:b/>
                <w:bCs/>
              </w:rPr>
              <w:t xml:space="preserve">§5.1 / §5.2 LOT Identity + Creation.</w:t>
            </w:r>
            <w:r>
              <w:t xml:space="preserve"> </w:t>
            </w:r>
            <w:r>
              <w:t xml:space="preserve">FDS-05-003 LOT Attributes table cleaned up — legacy</w:t>
            </w:r>
            <w:r>
              <w:t xml:space="preserve"> </w:t>
            </w:r>
            <w:r>
              <w:rPr>
                <w:rStyle w:val="VerbatimChar"/>
              </w:rPr>
              <w:t xml:space="preserve">DieNumber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CavityNumber</w:t>
            </w:r>
            <w:r>
              <w:t xml:space="preserve"> </w:t>
            </w:r>
            <w:r>
              <w:t xml:space="preserve">rows removed (superseded by</w:t>
            </w:r>
            <w:r>
              <w:t xml:space="preserve"> </w:t>
            </w:r>
            <w:r>
              <w:rPr>
                <w:rStyle w:val="VerbatimChar"/>
              </w:rPr>
              <w:t xml:space="preserve">ToolId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ToolCavityId</w:t>
            </w:r>
            <w:r>
              <w:t xml:space="preserve"> </w:t>
            </w:r>
            <w:r>
              <w:t xml:space="preserve">per Arc 2 v1.9; columns persist until follow-up migration but the FDS no longer surfaces them as design attributes).</w:t>
            </w:r>
            <w:r>
              <w:t xml:space="preserve"> </w:t>
            </w:r>
            <w:r>
              <w:rPr>
                <w:rStyle w:val="VerbatimChar"/>
              </w:rPr>
              <w:t xml:space="preserve">LotOriginType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LotStatus</w:t>
            </w:r>
            <w:r>
              <w:t xml:space="preserve"> </w:t>
            </w:r>
            <w:r>
              <w:t xml:space="preserve">code values rewritten in UpperCamelCase (was</w:t>
            </w:r>
            <w:r>
              <w:t xml:space="preserve"> </w:t>
            </w:r>
            <w:r>
              <w:rPr>
                <w:rStyle w:val="VerbatimChar"/>
              </w:rPr>
              <w:t xml:space="preserve">RECEIVED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MaxPieceCount</w:t>
            </w:r>
            <w:r>
              <w:t xml:space="preserve"> </w:t>
            </w:r>
            <w:r>
              <w:t xml:space="preserve">row clarified as inferred from</w:t>
            </w:r>
            <w:r>
              <w:t xml:space="preserve"> </w:t>
            </w:r>
            <w:r>
              <w:rPr>
                <w:rStyle w:val="VerbatimChar"/>
              </w:rPr>
              <w:t xml:space="preserve">Parts.Item.MaxLotSize</w:t>
            </w:r>
            <w:r>
              <w:t xml:space="preserve"> </w:t>
            </w:r>
            <w:r>
              <w:t xml:space="preserve">(semantic</w:t>
            </w:r>
            <w:r>
              <w:t xml:space="preserve"> </w:t>
            </w:r>
            <w:r>
              <w:rPr>
                <w:rStyle w:val="VerbatimChar"/>
              </w:rPr>
              <w:t xml:space="preserve">PartsPerBasket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 </w:t>
            </w:r>
            <w:r>
              <w:t xml:space="preserve">row notes selection is constrained by FDS-02-012 eligibility. FDS-05-004 step 5 wording updated —</w:t>
            </w:r>
            <w:r>
              <w:t xml:space="preserve"> </w:t>
            </w:r>
            <w:r>
              <w:t xml:space="preserve">“Part number is implied by the current order / schedule”</w:t>
            </w:r>
            <w:r>
              <w:t xml:space="preserve"> </w:t>
            </w:r>
            <w:r>
              <w:t xml:space="preserve">was stale (Production WOs are MVP-LITE / invisible per OI-07); now states the operator picks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 </w:t>
            </w:r>
            <w:r>
              <w:t xml:space="preserve">from a dropdown constrained by FDS-02-012 (Option 2 closure of the auto-populate question — no Tool→Item FK added).</w:t>
            </w:r>
            <w:r>
              <w:rPr>
                <w:b/>
                <w:bCs/>
              </w:rPr>
              <w:t xml:space="preserve">§5.10 + FDS-05-033 — Part-identity rename boundary.</w:t>
            </w:r>
            <w:r>
              <w:t xml:space="preserve"> </w:t>
            </w:r>
            <w:r>
              <w:t xml:space="preserve">Moved one step downstream — was described as</w:t>
            </w:r>
            <w:r>
              <w:t xml:space="preserve"> </w:t>
            </w:r>
            <w:r>
              <w:rPr>
                <w:b/>
                <w:bCs/>
              </w:rPr>
              <w:t xml:space="preserve">Casting → Trim</w:t>
            </w:r>
            <w:r>
              <w:t xml:space="preserve"> </w:t>
            </w:r>
            <w:r>
              <w:t xml:space="preserve">(factually incorrect); actually happens at</w:t>
            </w:r>
            <w:r>
              <w:t xml:space="preserve"> </w:t>
            </w:r>
            <w:r>
              <w:rPr>
                <w:b/>
                <w:bCs/>
              </w:rPr>
              <w:t xml:space="preserve">Trim → Machining</w:t>
            </w:r>
            <w:r>
              <w:t xml:space="preserve">. Within Casting and Trim the LOT retains a single cast-part identity (Trim’s sprue/deburr work is yield loss via</w:t>
            </w:r>
            <w:r>
              <w:t xml:space="preserve"> </w:t>
            </w:r>
            <w:r>
              <w:rPr>
                <w:rStyle w:val="VerbatimChar"/>
              </w:rPr>
              <w:t xml:space="preserve">RejectEvent</w:t>
            </w:r>
            <w:r>
              <w:t xml:space="preserve"> </w:t>
            </w:r>
            <w:r>
              <w:t xml:space="preserve">on the same LOT, not a rename). Section heading, requirement title, body prose, BOM/</w:t>
            </w:r>
            <w:r>
              <w:rPr>
                <w:rStyle w:val="VerbatimChar"/>
              </w:rPr>
              <w:t xml:space="preserve">ConsumptionEvent</w:t>
            </w:r>
            <w:r>
              <w:t xml:space="preserve"> </w:t>
            </w:r>
            <w:r>
              <w:t xml:space="preserve">example labels (</w:t>
            </w:r>
            <w:r>
              <w:rPr>
                <w:rStyle w:val="VerbatimChar"/>
              </w:rPr>
              <w:t xml:space="preserve">cast</w:t>
            </w:r>
            <w:r>
              <w:t xml:space="preserve">/</w:t>
            </w:r>
            <w:r>
              <w:rPr>
                <w:rStyle w:val="VerbatimChar"/>
              </w:rPr>
              <w:t xml:space="preserve">trim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trim</w:t>
            </w:r>
            <w:r>
              <w:t xml:space="preserve">/</w:t>
            </w:r>
            <w:r>
              <w:rPr>
                <w:rStyle w:val="VerbatimChar"/>
              </w:rPr>
              <w:t xml:space="preserve">machined</w:t>
            </w:r>
            <w:r>
              <w:t xml:space="preserve">), and backward-trace narrative all rewritten consistently. Backward trace from a shipped LOT lands on cast machine / die / cavity in one read after the single Machining-IN consumption hop (the trim/cast LOT and its Die Cast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rows share one</w:t>
            </w:r>
            <w:r>
              <w:t xml:space="preserve"> </w:t>
            </w:r>
            <w:r>
              <w:rPr>
                <w:rStyle w:val="VerbatimChar"/>
              </w:rPr>
              <w:t xml:space="preserve">LotId</w:t>
            </w:r>
            <w:r>
              <w:t xml:space="preserve">).</w:t>
            </w:r>
            <w:r>
              <w:rPr>
                <w:b/>
                <w:bCs/>
              </w:rPr>
              <w:t xml:space="preserve">§5.4 + §6.3 + §6.4 — Trim → Machining workflow.</w:t>
            </w:r>
            <w:r>
              <w:t xml:space="preserve"> </w:t>
            </w:r>
            <w:r>
              <w:t xml:space="preserve">Plant-reality alignment. Sub-LOT split moved from Machining IN to</w:t>
            </w:r>
            <w:r>
              <w:t xml:space="preserve"> </w:t>
            </w:r>
            <w:r>
              <w:rPr>
                <w:b/>
                <w:bCs/>
              </w:rPr>
              <w:t xml:space="preserve">Trim OUT</w:t>
            </w:r>
            <w:r>
              <w:t xml:space="preserve">: FDS-05-009 retitled and rewritten — at Trim OUT the parent LOT splits N ways and each sub-LOT is routed to a destination Machining Cell’s FIFO queue (operator selects via scan or dropdown). Sub-LOTs inherit cast/trim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; the rename to the machined Item happens at Machining IN per FDS-05-033. FDS-06-006 (Trim OUT) rewritten to combine the Trim ProductionEvent with the FDS-05-009 sub-LOT split + LotMovement to Machining FIFO. FDS-06-007 (Machining IN) rewritten — no scan-to-receive; operator picks the next sub-LOT from the Cell’s FIFO queue and the system applies the FDS-05-033 rename consumption. FDS-06-008 (Machining OUT) rewritten as event-driven auto-completion: PLC signals completion → MES writes the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and auto-moves the machined LOT to the</w:t>
            </w:r>
            <w:r>
              <w:t xml:space="preserve"> </w:t>
            </w:r>
            <w:r>
              <w:rPr>
                <w:b/>
                <w:bCs/>
              </w:rPr>
              <w:t xml:space="preserve">coupled downstream Cell</w:t>
            </w:r>
            <w:r>
              <w:t xml:space="preserve"> </w:t>
            </w:r>
            <w:r>
              <w:t xml:space="preserve">(typically the paired Assembly Cell). New</w:t>
            </w:r>
            <w:r>
              <w:t xml:space="preserve"> </w:t>
            </w:r>
            <w:r>
              <w:rPr>
                <w:rStyle w:val="VerbatimChar"/>
              </w:rPr>
              <w:t xml:space="preserve">CoupledDownstreamCellLocationId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on Machining Cells controls the auto-move target (NULL = operator-driven path). Pairing is set up at deployment via the Configuration Tool.</w:t>
            </w:r>
            <w:r>
              <w:rPr>
                <w:b/>
                <w:bCs/>
              </w:rPr>
              <w:t xml:space="preserve">Schema posture.</w:t>
            </w:r>
            <w:r>
              <w:t xml:space="preserve"> </w:t>
            </w:r>
            <w:r>
              <w:t xml:space="preserve">No schema change in this session.</w:t>
            </w:r>
            <w:r>
              <w:t xml:space="preserve"> </w:t>
            </w:r>
            <w:r>
              <w:rPr>
                <w:rStyle w:val="VerbatimChar"/>
              </w:rPr>
              <w:t xml:space="preserve">Parts.v_EffectiveItemLocation</w:t>
            </w:r>
            <w:r>
              <w:t xml:space="preserve"> </w:t>
            </w:r>
            <w:r>
              <w:t xml:space="preserve">(Direct ∪ BomDerived) is a derived view fronting the FDS-02-012 eligibility check at scan-in.</w:t>
            </w:r>
            <w:r>
              <w:t xml:space="preserve"> </w:t>
            </w:r>
            <w:r>
              <w:rPr>
                <w:b/>
                <w:bCs/>
              </w:rPr>
              <w:t xml:space="preserve">Data model follow-ups flagged for next pass:</w:t>
            </w:r>
            <w:r>
              <w:t xml:space="preserve"> </w:t>
            </w:r>
            <w:r>
              <w:t xml:space="preserve">seed</w:t>
            </w:r>
            <w:r>
              <w:t xml:space="preserve"> </w:t>
            </w:r>
            <w:r>
              <w:rPr>
                <w:rStyle w:val="VerbatimChar"/>
              </w:rPr>
              <w:t xml:space="preserve">CoupledDownstreamCellLocationId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LocationAttributeDefinition</w:t>
            </w:r>
            <w:r>
              <w:t xml:space="preserve"> </w:t>
            </w:r>
            <w:r>
              <w:t xml:space="preserve">under Machining Cell type.</w:t>
            </w:r>
            <w:r>
              <w:t xml:space="preserve"> </w:t>
            </w:r>
            <w:r>
              <w:rPr>
                <w:b/>
                <w:bCs/>
              </w:rPr>
              <w:t xml:space="preserve">FDS follow-up flagged:</w:t>
            </w:r>
            <w:r>
              <w:t xml:space="preserve"> </w:t>
            </w:r>
            <w:r>
              <w:t xml:space="preserve">FDS-06-028 (WO Auto-Finish, §6.10) wording could be sharpened to reference the new tray-by-tray validation source — consistent at the WO tier today but the camera-count description predates the tray-level reframe.</w:t>
            </w:r>
            <w:r>
              <w:rPr>
                <w:b/>
                <w:bCs/>
              </w:rPr>
              <w:t xml:space="preserve">Stale implementation-status note removed.</w:t>
            </w:r>
            <w:r>
              <w:t xml:space="preserve"> </w:t>
            </w:r>
            <w:r>
              <w:t xml:space="preserve">FDS-06-025 carried a callout flagging the OI-07 SQL correction as queued; that migration (</w:t>
            </w:r>
            <w:r>
              <w:rPr>
                <w:rStyle w:val="VerbatimChar"/>
              </w:rPr>
              <w:t xml:space="preserve">0013_oi07_oi12_corrections.sql</w:t>
            </w:r>
            <w:r>
              <w:t xml:space="preserve">) landed earlier in the session with test</w:t>
            </w:r>
            <w:r>
              <w:t xml:space="preserve"> </w:t>
            </w:r>
            <w:r>
              <w:rPr>
                <w:rStyle w:val="VerbatimChar"/>
              </w:rPr>
              <w:t xml:space="preserve">0019/010_Phase_E_additives.sql</w:t>
            </w:r>
            <w:r>
              <w:t xml:space="preserve"> </w:t>
            </w:r>
            <w:r>
              <w:t xml:space="preserve">updated and 858/858 tests passing. The OIR-appendix OI-07 row also shed its trailing</w:t>
            </w:r>
            <w:r>
              <w:t xml:space="preserve"> </w:t>
            </w:r>
            <w:r>
              <w:t xml:space="preserve">“SQL correction migration queued”</w:t>
            </w:r>
            <w:r>
              <w:t xml:space="preserve"> </w:t>
            </w:r>
            <w:r>
              <w:t xml:space="preserve">note for the same reason. Implementation-status metadata of this kind belongs in the SQL repo / phased plan, not the FDS body.</w:t>
            </w:r>
            <w:r>
              <w:rPr>
                <w:b/>
                <w:bCs/>
              </w:rPr>
              <w:t xml:space="preserve">Deleted-requirement tombstones removed.</w:t>
            </w:r>
            <w:r>
              <w:t xml:space="preserve"> </w:t>
            </w:r>
            <w:r>
              <w:t xml:space="preserve">Two tombstone blocks pulled from the body — the FDS-06-027</w:t>
            </w:r>
            <w:r>
              <w:t xml:space="preserve"> </w:t>
            </w:r>
            <w:r>
              <w:rPr>
                <w:i/>
                <w:iCs/>
              </w:rPr>
              <w:t xml:space="preserve">DELETED</w:t>
            </w:r>
            <w:r>
              <w:t xml:space="preserve"> </w:t>
            </w:r>
            <w:r>
              <w:t xml:space="preserve">note (per OI-07 correction) just before FDS-06-028, and the FDS-05-023</w:t>
            </w:r>
            <w:r>
              <w:t xml:space="preserve"> </w:t>
            </w:r>
            <w:r>
              <w:rPr>
                <w:i/>
                <w:iCs/>
              </w:rPr>
              <w:t xml:space="preserve">[Superseded v0.11]</w:t>
            </w:r>
            <w:r>
              <w:t xml:space="preserve"> </w:t>
            </w:r>
            <w:r>
              <w:t xml:space="preserve">heading + body before FDS-05-024 (cavity-parallel LOTs as peers, not sublots). Both slots are simply unused; the FDS body does not need to explain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number is empty. The change log is the appropriate place for that history. FDS-06-028’s</w:t>
            </w:r>
            <w:r>
              <w:t xml:space="preserve"> </w:t>
            </w:r>
            <w:r>
              <w:rPr>
                <w:rStyle w:val="VerbatimChar"/>
              </w:rPr>
              <w:t xml:space="preserve">(extended v0.11g)</w:t>
            </w:r>
            <w:r>
              <w:t xml:space="preserve"> </w:t>
            </w:r>
            <w:r>
              <w:t xml:space="preserve">title trailer also stripped (same category of stale version-decoration as the earlier pass).</w:t>
            </w:r>
            <w:r>
              <w:rPr>
                <w:b/>
                <w:bCs/>
              </w:rPr>
              <w:t xml:space="preserve">Anti-pattern explanations removed.</w:t>
            </w:r>
            <w:r>
              <w:t xml:space="preserve"> </w:t>
            </w:r>
            <w:r>
              <w:t xml:space="preserve">FDS-07-006a previously carried two</w:t>
            </w:r>
            <w:r>
              <w:t xml:space="preserve"> </w:t>
            </w:r>
            <w:r>
              <w:t xml:space="preserve">“we are not doing X”</w:t>
            </w:r>
            <w:r>
              <w:t xml:space="preserve"> </w:t>
            </w:r>
            <w:r>
              <w:t xml:space="preserve">callouts —</w:t>
            </w:r>
            <w:r>
              <w:t xml:space="preserve"> </w:t>
            </w:r>
            <w:r>
              <w:rPr>
                <w:i/>
                <w:iCs/>
              </w:rPr>
              <w:t xml:space="preserve">“No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sendRequestAsync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re-send-to-self pattern”</w:t>
            </w:r>
            <w:r>
              <w:t xml:space="preserve"> </w:t>
            </w:r>
            <w:r>
              <w:t xml:space="preserve">(with rationale about thread-pool exhaustion) and</w:t>
            </w:r>
            <w:r>
              <w:t xml:space="preserve"> </w:t>
            </w:r>
            <w:r>
              <w:rPr>
                <w:i/>
                <w:iCs/>
              </w:rPr>
              <w:t xml:space="preserve">“No polling on the print path”</w:t>
            </w:r>
            <w:r>
              <w:t xml:space="preserve"> </w:t>
            </w:r>
            <w:r>
              <w:t xml:space="preserve">(with rationale about Gateway timers). Both stripped; the retry policy now states only what the system does (</w:t>
            </w:r>
            <w:r>
              <w:t xml:space="preserve">“3 attempts, fixed 2s gap, inline within the single message-handler invocation”</w:t>
            </w:r>
            <w:r>
              <w:t xml:space="preserve">). Going-forward rule: design specs say what the system does, not what it doesn’t. Roads-not-taken belong in design-review notes, not the FDS.</w:t>
            </w:r>
            <w:r>
              <w:rPr>
                <w:b/>
                <w:bCs/>
              </w:rPr>
              <w:t xml:space="preserve">FDS-07-006b — print failure surfacing reframed.</w:t>
            </w:r>
            <w:r>
              <w:t xml:space="preserve"> </w:t>
            </w:r>
            <w:r>
              <w:t xml:space="preserve">The previous spec had every Perspective session bind a</w:t>
            </w:r>
            <w:r>
              <w:t xml:space="preserve"> </w:t>
            </w:r>
            <w:r>
              <w:rPr>
                <w:rStyle w:val="VerbatimChar"/>
              </w:rPr>
              <w:t xml:space="preserve">SELECT * FROM Lots.ShippingLabel WHERE PrintFailedAt IS NOT NULL AND TerminalLocationId = @MyTerminalId</w:t>
            </w:r>
            <w:r>
              <w:t xml:space="preserve"> </w:t>
            </w:r>
            <w:r>
              <w:t xml:space="preserve">query — at 200 terminals × 5s cadence that’s 40 q/s of mostly-empty results, scaling linearly with terminal count. Replaced with a</w:t>
            </w:r>
            <w:r>
              <w:t xml:space="preserve"> </w:t>
            </w:r>
            <w:r>
              <w:rPr>
                <w:b/>
                <w:bCs/>
              </w:rPr>
              <w:t xml:space="preserve">fan-out broadcast</w:t>
            </w:r>
            <w:r>
              <w:t xml:space="preserve"> </w:t>
            </w:r>
            <w:r>
              <w:t xml:space="preserve">model: a single Gateway timer script (5s cadence) queries the DB once, fires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system.util.sendMessage('mes', 'print-failure-alert', {ShippingLabelId, TerminalLocationId, ...})</w:t>
            </w:r>
            <w:r>
              <w:t xml:space="preserve"> </w:t>
            </w:r>
            <w:r>
              <w:t xml:space="preserve">for each failed/stranded label, and each Perspective session has a message handler that filters by its own bound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</w:t>
            </w:r>
            <w:r>
              <w:t xml:space="preserve">. One DB query per 5 seconds regardless of terminal count; session-side filter is a cheap branch. Same operator UX (Retry / Reprint / Acknowledge) — Acknowledge now sets a new</w:t>
            </w:r>
            <w:r>
              <w:t xml:space="preserve"> </w:t>
            </w:r>
            <w:r>
              <w:rPr>
                <w:rStyle w:val="VerbatimChar"/>
              </w:rPr>
              <w:t xml:space="preserve">Lots.ShippingLabel.BannerAcknowledgedAt DATETIME2(3) NULL</w:t>
            </w:r>
            <w:r>
              <w:t xml:space="preserve"> </w:t>
            </w:r>
            <w:r>
              <w:t xml:space="preserve">column so subsequent sweeps suppress the alert without losing the</w:t>
            </w:r>
            <w:r>
              <w:t xml:space="preserve"> </w:t>
            </w:r>
            <w:r>
              <w:rPr>
                <w:rStyle w:val="VerbatimChar"/>
              </w:rPr>
              <w:t xml:space="preserve">PrintFailedAt</w:t>
            </w:r>
            <w:r>
              <w:t xml:space="preserve"> </w:t>
            </w:r>
            <w:r>
              <w:t xml:space="preserve">audit trail.</w:t>
            </w:r>
            <w:r>
              <w:t xml:space="preserve"> </w:t>
            </w:r>
            <w:r>
              <w:rPr>
                <w:b/>
                <w:bCs/>
              </w:rPr>
              <w:t xml:space="preserve">Data model follow-up flagged:</w:t>
            </w:r>
            <w:r>
              <w:t xml:space="preserve"> </w:t>
            </w: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BannerAcknowledgedAt</w:t>
            </w:r>
            <w:r>
              <w:t xml:space="preserve"> </w:t>
            </w:r>
            <w:r>
              <w:t xml:space="preserve">column to</w:t>
            </w:r>
            <w:r>
              <w:t xml:space="preserve"> </w:t>
            </w:r>
            <w:r>
              <w:rPr>
                <w:rStyle w:val="VerbatimChar"/>
              </w:rPr>
              <w:t xml:space="preserve">Lots.ShippingLabel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Architectural pattern note:</w:t>
            </w:r>
            <w:r>
              <w:t xml:space="preserve"> </w:t>
            </w:r>
            <w:r>
              <w:t xml:space="preserve">“Gateway-broadcast-with-session-filter”</w:t>
            </w:r>
            <w:r>
              <w:t xml:space="preserve"> </w:t>
            </w:r>
            <w:r>
              <w:t xml:space="preserve">is reusable (hold notifications, AIM pool alarms, etc.) — if used more than twice we should hoist it to a cross-cutting requirement (FDS-01-NNN) sibling to FDS-01-014 (Gateway-script-async). Not landed yet — flagging.</w:t>
            </w:r>
            <w:r>
              <w:rPr>
                <w:b/>
                <w:bCs/>
              </w:rPr>
              <w:t xml:space="preserve">OIR appendix — new entry OI-33.</w:t>
            </w:r>
            <w:r>
              <w:t xml:space="preserve"> </w:t>
            </w:r>
            <w:r>
              <w:t xml:space="preserve">Flagged FDS-07-010a (AIM Shipper ID pool empty-pool hard-fail behavior) for customer validation. The hard-fail design is a deliberate operational choice — production stops on affected lines until the pool refills, with no soft-fallback or placeholder-then-reconcile path. MPP Operations / IT need to explicitly affirm hard-fail is the desired posture (trucks cannot ship without valid Honda-issued AIM IDs, so a pile of un-shippable containers obscuring the integration outage is the alternative). Marked HIGH criticality. Status header bumped from</w:t>
            </w:r>
            <w:r>
              <w:t xml:space="preserve"> </w:t>
            </w:r>
            <w:r>
              <w:t xml:space="preserve">“12 unresolved (2 In Review, 10 Open)”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“13 unresolved (2 In Review, 11 Open)”</w:t>
            </w:r>
            <w:r>
              <w:t xml:space="preserve"> </w:t>
            </w:r>
            <w:r>
              <w:t xml:space="preserve">and date refreshed to 2026-04-28.</w:t>
            </w:r>
            <w:r>
              <w:rPr>
                <w:b/>
                <w:bCs/>
              </w:rPr>
              <w:t xml:space="preserve">Version references in body — cleaned.</w:t>
            </w:r>
            <w:r>
              <w:t xml:space="preserve"> </w:t>
            </w:r>
            <w:r>
              <w:t xml:space="preserve">FDS describes current design; references to</w:t>
            </w:r>
            <w:r>
              <w:t xml:space="preserve"> </w:t>
            </w:r>
            <w:r>
              <w:t xml:space="preserve">“what changed since v0.X”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“pre-v0.9 MVP-Lite design”</w:t>
            </w:r>
            <w:r>
              <w:t xml:space="preserve"> </w:t>
            </w:r>
            <w:r>
              <w:t xml:space="preserve">framing pulled out. Specific edits: FDS-03-017a header trailer</w:t>
            </w:r>
            <w:r>
              <w:t xml:space="preserve"> </w:t>
            </w:r>
            <w:r>
              <w:rPr>
                <w:rStyle w:val="VerbatimChar"/>
              </w:rPr>
              <w:t xml:space="preserve">(Checkpoint Shape, v0.11)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(Checkpoint Shape)</w:t>
            </w:r>
            <w:r>
              <w:t xml:space="preserve">. FDS-06-022 sentence</w:t>
            </w:r>
            <w:r>
              <w:t xml:space="preserve"> </w:t>
            </w:r>
            <w:r>
              <w:t xml:space="preserve">“Auto-generation semantics are unchanged from the pre-v0.9 MVP-Lite design.”</w:t>
            </w:r>
            <w:r>
              <w:t xml:space="preserve"> </w:t>
            </w:r>
            <w:r>
              <w:t xml:space="preserve">stripped (the requirement already says what the system does). FDS-06-025 sentence</w:t>
            </w:r>
            <w:r>
              <w:t xml:space="preserve"> </w:t>
            </w:r>
            <w:r>
              <w:t xml:space="preserve">“Existing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rows created before v1.7 SHALL be backfilled to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. Create-proc defaults SHALL set</w:t>
            </w:r>
            <w:r>
              <w:t xml:space="preserve"> </w:t>
            </w:r>
            <w:r>
              <w:rPr>
                <w:rStyle w:val="VerbatimChar"/>
              </w:rPr>
              <w:t xml:space="preserve">WorkOrderTypeId = Production</w:t>
            </w:r>
            <w:r>
              <w:t xml:space="preserve"> </w:t>
            </w:r>
            <w:r>
              <w:t xml:space="preserve">so Phase 1–8 callers keep working unchanged.”</w:t>
            </w:r>
            <w:r>
              <w:t xml:space="preserve"> </w:t>
            </w:r>
            <w:r>
              <w:t xml:space="preserve">reduced to just the create-proc default rule (backfill-mechanics + Phase 1–8 caller compat are migration concerns, not design). FDS-06-029</w:t>
            </w:r>
            <w:r>
              <w:t xml:space="preserve"> </w:t>
            </w:r>
            <w:r>
              <w:rPr>
                <w:rStyle w:val="VerbatimChar"/>
              </w:rPr>
              <w:t xml:space="preserve">&gt; Note (v0.11):</w:t>
            </w:r>
            <w:r>
              <w:t xml:space="preserve"> </w:t>
            </w:r>
            <w:r>
              <w:t xml:space="preserve">callout reframed as plain prose (</w:t>
            </w:r>
            <w:r>
              <w:t xml:space="preserve">“</w:t>
            </w:r>
            <w:r>
              <w:rPr>
                <w:b/>
                <w:bCs/>
              </w:rPr>
              <w:t xml:space="preserve">Cumulative GoodCount derivation.</w:t>
            </w:r>
            <w:r>
              <w:t xml:space="preserve"> </w:t>
            </w:r>
            <w:r>
              <w:t xml:space="preserve">…”</w:t>
            </w:r>
            <w:r>
              <w:t xml:space="preserve">) describing the rule directly without</w:t>
            </w:r>
            <w:r>
              <w:t xml:space="preserve"> </w:t>
            </w:r>
            <w:r>
              <w:t xml:space="preserve">“the v0.11 reshape removed…”</w:t>
            </w:r>
            <w:r>
              <w:t xml:space="preserve"> </w:t>
            </w:r>
            <w:r>
              <w:t xml:space="preserve">framing.</w:t>
            </w:r>
            <w:r>
              <w:t xml:space="preserve"> </w:t>
            </w:r>
            <w:r>
              <w:rPr>
                <w:b/>
                <w:bCs/>
              </w:rPr>
              <w:t xml:space="preserve">Bonus continuity fix in same area:</w:t>
            </w:r>
            <w:r>
              <w:t xml:space="preserve"> </w:t>
            </w:r>
            <w:r>
              <w:t xml:space="preserve">FDS-05-027 step 1 was telling the merge proc to resolve dies via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Workorder.ProductionEvent.DieIdentifier</w:t>
            </w:r>
            <w:r>
              <w:t xml:space="preserve"> </w:t>
            </w:r>
            <w:r>
              <w:t xml:space="preserve">(column dropped in Arc 2 v1.9 reshape) and pointed at</w:t>
            </w:r>
            <w:r>
              <w:t xml:space="preserve"> </w:t>
            </w:r>
            <w:r>
              <w:t xml:space="preserve">“Data Model v1.7 §7”</w:t>
            </w:r>
            <w:r>
              <w:t xml:space="preserve"> </w:t>
            </w:r>
            <w:r>
              <w:t xml:space="preserve">— both stale. Updated to use</w:t>
            </w:r>
            <w:r>
              <w:t xml:space="preserve"> </w:t>
            </w:r>
            <w:r>
              <w:rPr>
                <w:rStyle w:val="VerbatimChar"/>
              </w:rPr>
              <w:t xml:space="preserve">Lots.Lot.ToolId</w:t>
            </w:r>
            <w:r>
              <w:t xml:space="preserve"> </w:t>
            </w:r>
            <w:r>
              <w:t xml:space="preserve">directly (the current die FK on Lot, populated at die-cast LOT create per FDS-05-034). External version citations preserved: Flexware FRS v1.0 (input requirements) and Data Model v1.9 (current companion-doc cross-references) are correct as-is.</w:t>
            </w:r>
            <w:r>
              <w:rPr>
                <w:b/>
                <w:bCs/>
              </w:rPr>
              <w:t xml:space="preserve">§9.4 Shift Management — End-of-shift time entry rewrite + cleanup.</w:t>
            </w:r>
            <w:r>
              <w:t xml:space="preserve"> </w:t>
            </w:r>
            <w:r>
              <w:t xml:space="preserve">Section reframed to match plant reality: the only operator time entry is a single end-of-shift submission capturing whether lunch was taken and which breaks. No live per-break entry during the shift; no minute-level adjustment of the shift window.</w:t>
            </w:r>
            <w:r>
              <w:t xml:space="preserve"> </w:t>
            </w:r>
            <w:r>
              <w:rPr>
                <w:b/>
                <w:bCs/>
              </w:rPr>
              <w:t xml:space="preserve">FDS-09-013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t xml:space="preserve">“Break Logging”</w:t>
            </w:r>
            <w:r>
              <w:t xml:space="preserve">) rewritten as</w:t>
            </w:r>
            <w:r>
              <w:t xml:space="preserve"> </w:t>
            </w:r>
            <w:r>
              <w:t xml:space="preserve">“End-of-Shift Time Entry”</w:t>
            </w:r>
            <w:r>
              <w:t xml:space="preserve"> </w:t>
            </w:r>
            <w:r>
              <w:t xml:space="preserve">— visibility window of ~15 min before / after scheduled shift end; dedicated terminals (Cell-parented) take a single button press; shared terminals (WorkCenter- or Area-parented) prompt button → initials → time category (Regular default) → lunch yes/no → breaks selected → submit. Submission writes</w:t>
            </w:r>
            <w:r>
              <w:t xml:space="preserve"> </w:t>
            </w:r>
            <w:r>
              <w:rPr>
                <w:rStyle w:val="VerbatimChar"/>
              </w:rPr>
              <w:t xml:space="preserve">Oee.DowntimeEvent</w:t>
            </w:r>
            <w:r>
              <w:t xml:space="preserve"> </w:t>
            </w:r>
            <w:r>
              <w:t xml:space="preserve">rows for each selected lunch / break with durations populated from the shift-schedule break configuration (no operator-entered durations).</w:t>
            </w:r>
            <w:r>
              <w:t xml:space="preserve"> </w:t>
            </w:r>
            <w:r>
              <w:rPr>
                <w:b/>
                <w:bCs/>
              </w:rPr>
              <w:t xml:space="preserve">FDS-09-010</w:t>
            </w:r>
            <w:r>
              <w:t xml:space="preserve"> </w:t>
            </w:r>
            <w:r>
              <w:t xml:space="preserve">awkward</w:t>
            </w:r>
            <w:r>
              <w:t xml:space="preserve"> </w:t>
            </w:r>
            <w:r>
              <w:rPr>
                <w:rStyle w:val="VerbatimChar"/>
              </w:rPr>
              <w:t xml:space="preserve">&gt; Note:</w:t>
            </w:r>
            <w:r>
              <w:t xml:space="preserve"> </w:t>
            </w:r>
            <w:r>
              <w:t xml:space="preserve">callout (UJ-10 reference + open-events-at-shift-boundary clarification) collapsed into the body — the substantive rule kept (</w:t>
            </w:r>
            <w:r>
              <w:t xml:space="preserve">“Open events at the shift boundary remain open; the incoming shift operator closes them when the machine resumes”</w:t>
            </w:r>
            <w:r>
              <w:t xml:space="preserve">) without the admonition framing or User-Journey-Assumption reference.</w:t>
            </w:r>
            <w:r>
              <w:t xml:space="preserve"> </w:t>
            </w:r>
            <w:r>
              <w:rPr>
                <w:b/>
                <w:bCs/>
              </w:rPr>
              <w:t xml:space="preserve">§9.4 intro</w:t>
            </w:r>
            <w:r>
              <w:t xml:space="preserve"> </w:t>
            </w:r>
            <w:r>
              <w:t xml:space="preserve">updated to point at FDS-09-013 for the time-entry mechanism and to drop the</w:t>
            </w:r>
            <w:r>
              <w:t xml:space="preserve"> </w:t>
            </w:r>
            <w:r>
              <w:t xml:space="preserve">“MPP owes the spreadsheet template”</w:t>
            </w:r>
            <w:r>
              <w:t xml:space="preserve"> </w:t>
            </w:r>
            <w:r>
              <w:t xml:space="preserve">project-execution note.</w:t>
            </w:r>
            <w:r>
              <w:t xml:space="preserve"> </w:t>
            </w:r>
            <w:r>
              <w:rPr>
                <w:b/>
                <w:bCs/>
              </w:rPr>
              <w:t xml:space="preserve">FDS-09-015</w:t>
            </w:r>
            <w:r>
              <w:t xml:space="preserve"> </w:t>
            </w:r>
            <w:r>
              <w:t xml:space="preserve">stripped the OI-03 reference from its optional-summary paragraph (events-not-auto-splitting is a design fact, not requiring an OI cite). The</w:t>
            </w:r>
            <w:r>
              <w:t xml:space="preserve"> </w:t>
            </w:r>
            <w:r>
              <w:t xml:space="preserve">“Implementation note (UJ-10 Q1 from Jacques)”</w:t>
            </w:r>
            <w:r>
              <w:t xml:space="preserve"> </w:t>
            </w:r>
            <w:r>
              <w:t xml:space="preserve">callout reframed as a plain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Performance.</w:t>
            </w:r>
            <w:r>
              <w:t xml:space="preserve">”</w:t>
            </w:r>
            <w:r>
              <w:t xml:space="preserve"> </w:t>
            </w:r>
            <w:r>
              <w:t xml:space="preserve">paragraph describing the recommended index on</w:t>
            </w:r>
            <w:r>
              <w:t xml:space="preserve"> </w:t>
            </w:r>
            <w:r>
              <w:rPr>
                <w:rStyle w:val="VerbatimChar"/>
              </w:rPr>
              <w:t xml:space="preserve">Lots.LotMovement (ToLocationId, MovedAt DESC)</w:t>
            </w:r>
            <w:r>
              <w:t xml:space="preserve"> </w:t>
            </w:r>
            <w:r>
              <w:t xml:space="preserve">— same content, no Jacques attribution or UJ ID, fits the established communication standard.</w:t>
            </w:r>
            <w:r>
              <w:t xml:space="preserve"> </w:t>
            </w:r>
            <w:r>
              <w:rPr>
                <w:b/>
                <w:bCs/>
              </w:rPr>
              <w:t xml:space="preserve">OIR appendix — new entry OI-34.</w:t>
            </w:r>
            <w:r>
              <w:t xml:space="preserve"> </w:t>
            </w:r>
            <w:r>
              <w:t xml:space="preserve">Open question on how MPP wants to leverage the production schedules they author beyond the basic shift-window timing currently imported (target quotas per shift? line-scheduling drift detection? throughput planning?). Marked MEDIUM, owner MPP Production Control. Status header bumped to 14 unresolved (2 In Review, 12 Open).</w:t>
            </w:r>
            <w:r>
              <w:rPr>
                <w:b/>
                <w:bCs/>
              </w:rPr>
              <w:t xml:space="preserve">FDS-10-010 — stranded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“new column”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callout removed.</w:t>
            </w:r>
            <w:r>
              <w:t xml:space="preserve"> </w:t>
            </w:r>
            <w:r>
              <w:t xml:space="preserve">The body claimed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Quality.DefectCode.LeaderFlagOnFirstOccurrence BIT</w:t>
            </w:r>
            <w:r>
              <w:t xml:space="preserve"> </w:t>
            </w:r>
            <w:r>
              <w:t xml:space="preserve">would make the leader-flag branching configurable per defect type. That column never landed in the data model and never made it into SQL — confirmed by direct check of</w:t>
            </w:r>
            <w:r>
              <w:t xml:space="preserve"> </w:t>
            </w:r>
            <w:r>
              <w:rPr>
                <w:rStyle w:val="VerbatimChar"/>
              </w:rPr>
              <w:t xml:space="preserve">MPP_MES_DATA_MODEL.md</w:t>
            </w:r>
            <w:r>
              <w:t xml:space="preserve"> </w:t>
            </w:r>
            <w:r>
              <w:t xml:space="preserve">§DefectCode (line 1043) and full grep of the</w:t>
            </w:r>
            <w:r>
              <w:t xml:space="preserve"> </w:t>
            </w:r>
            <w:r>
              <w:rPr>
                <w:rStyle w:val="VerbatimChar"/>
              </w:rPr>
              <w:t xml:space="preserve">sql/</w:t>
            </w:r>
            <w:r>
              <w:t xml:space="preserve"> </w:t>
            </w:r>
            <w:r>
              <w:t xml:space="preserve">tree (zero hits). Reframed as hardcoded-by-event-type: each failure category (Wrong-part / Wrong-orientation / PartDisposition / Barcode) is knowable at the point of failure from the source data (vision-vs-operator comparison, vision orientation flag, PLC PartDisposition tag, MES barcode-read rejection), so no</w:t>
            </w:r>
            <w:r>
              <w:t xml:space="preserve"> </w:t>
            </w:r>
            <w:r>
              <w:rPr>
                <w:rStyle w:val="VerbatimChar"/>
              </w:rPr>
              <w:t xml:space="preserve">DefectCode</w:t>
            </w:r>
            <w:r>
              <w:t xml:space="preserve"> </w:t>
            </w:r>
            <w:r>
              <w:t xml:space="preserve">configuration lookup is needed. The branching is hardcoded in the line-stop handler. Same external behaviour, no schema change.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0.11l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Stale-PENDING callout cleanup + OIR appendix refresh.</w:t>
            </w:r>
            <w:r>
              <w:t xml:space="preserve"> </w:t>
            </w:r>
            <w:r>
              <w:t xml:space="preserve">Converted 5 stale</w:t>
            </w:r>
            <w:r>
              <w:t xml:space="preserve"> </w:t>
            </w:r>
            <w:r>
              <w:rPr>
                <w:rStyle w:val="VerbatimChar"/>
              </w:rPr>
              <w:t xml:space="preserve">🔶 PENDING</w:t>
            </w:r>
            <w:r>
              <w:t xml:space="preserve"> </w:t>
            </w:r>
            <w:r>
              <w:t xml:space="preserve">callouts to flowing prose now that the underlying decisions are Resolved per OIR v2.14 (UJ-02 LTT pre-printing × 2, UJ-14 warm-up shots, UJ-16 HardwareInterlockBypassed flag — Option A on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</w:t>
            </w:r>
            <w:r>
              <w:t xml:space="preserve">, OI-02 weight-based container closure). Updated stale schema reference</w:t>
            </w:r>
            <w:r>
              <w:t xml:space="preserve"> </w:t>
            </w:r>
            <w:r>
              <w:rPr>
                <w:rStyle w:val="VerbatimChar"/>
              </w:rPr>
              <w:t xml:space="preserve">ContainerShippingLabel.ShipperId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Lots.ShippingLabel.ShipperId</w:t>
            </w:r>
            <w:r>
              <w:t xml:space="preserve"> </w:t>
            </w:r>
            <w:r>
              <w:t xml:space="preserve">in §12.5. Replaced the embedded Open Items Register (was at v2.4 grid with 14 stale rows ending mid-table) with a clean unresolved-only register: 12 items (2 In Review, 10 Open) with FDS section, description, criticality, owner. Resolved items absorbed into FDS body sections as design fact; full historical record points to canonical</w:t>
            </w:r>
            <w:r>
              <w:t xml:space="preserve"> </w:t>
            </w:r>
            <w:r>
              <w:rPr>
                <w:rStyle w:val="VerbatimChar"/>
              </w:rPr>
              <w:t xml:space="preserve">MPP_MES_Open_Issues_Register.md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0.11k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Editorial cleanup pass.</w:t>
            </w:r>
            <w:r>
              <w:t xml:space="preserve"> </w:t>
            </w:r>
            <w:r>
              <w:t xml:space="preserve">Added Table of Contents. Removed 5</w:t>
            </w:r>
            <w:r>
              <w:t xml:space="preserve"> </w:t>
            </w:r>
            <w:r>
              <w:t xml:space="preserve">“Spark Dependency”</w:t>
            </w:r>
            <w:r>
              <w:t xml:space="preserve"> </w:t>
            </w:r>
            <w:r>
              <w:t xml:space="preserve">parenthetical citations. Renamed all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</w:t>
            </w:r>
            <w:r>
              <w:t xml:space="preserve"> </w:t>
            </w:r>
            <w:r>
              <w:t xml:space="preserve">references to</w:t>
            </w:r>
            <w:r>
              <w:t xml:space="preserve"> </w:t>
            </w:r>
            <w:r>
              <w:rPr>
                <w:rStyle w:val="VerbatimChar"/>
              </w:rPr>
              <w:t xml:space="preserve">system.util.sendRequestAsync</w:t>
            </w:r>
            <w:r>
              <w:t xml:space="preserve"> </w:t>
            </w:r>
            <w:r>
              <w:t xml:space="preserve">(the real Ignition API for error-surfacing async dispatch — the</w:t>
            </w:r>
            <w:r>
              <w:t xml:space="preserve"> </w:t>
            </w:r>
            <w:r>
              <w:t xml:space="preserve">“Async”</w:t>
            </w:r>
            <w:r>
              <w:t xml:space="preserve"> </w:t>
            </w:r>
            <w:r>
              <w:t xml:space="preserve">suffix on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was incorrect). Removed</w:t>
            </w:r>
            <w:r>
              <w:t xml:space="preserve"> </w:t>
            </w:r>
            <w:r>
              <w:rPr>
                <w:rStyle w:val="VerbatimChar"/>
              </w:rPr>
              <w:t xml:space="preserve">NumberOfCavities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rStyle w:val="VerbatimChar"/>
              </w:rPr>
              <w:t xml:space="preserve">DieCastMachine</w:t>
            </w:r>
            <w:r>
              <w:t xml:space="preserve"> </w:t>
            </w:r>
            <w:r>
              <w:t xml:space="preserve">LocationAttribute example — cavity data lives on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 </w:t>
            </w:r>
            <w:r>
              <w:t xml:space="preserve">per Data Model v1.9 §15. Stripped section-header decoration trailers (</w:t>
            </w:r>
            <w:r>
              <w:rPr>
                <w:rStyle w:val="VerbatimChar"/>
              </w:rPr>
              <w:t xml:space="preserve">(revised vX.YZ)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(vX.YZ, OI-NN)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(OI-NN resolved DATE)</w:t>
            </w:r>
            <w:r>
              <w:t xml:space="preserve">) from ~30 headers; converted decision-noted callout blocks (REVISED OI-09 / OI-05 / OI-11 / OI-07 / OI-04) to flowing prose; stripped inline</w:t>
            </w:r>
            <w:r>
              <w:t xml:space="preserve"> </w:t>
            </w:r>
            <w:r>
              <w:rPr>
                <w:rStyle w:val="VerbatimChar"/>
              </w:rPr>
              <w:t xml:space="preserve">(OI-XX revised)</w:t>
            </w:r>
            <w:r>
              <w:t xml:space="preserve"> </w:t>
            </w:r>
            <w:r>
              <w:t xml:space="preserve">and prefix-bold</w:t>
            </w:r>
            <w:r>
              <w:t xml:space="preserve"> </w:t>
            </w:r>
            <w:r>
              <w:rPr>
                <w:rStyle w:val="VerbatimChar"/>
              </w:rPr>
              <w:t xml:space="preserve">**OI-XX (...):**</w:t>
            </w:r>
            <w:r>
              <w:t xml:space="preserve"> </w:t>
            </w:r>
            <w:r>
              <w:t xml:space="preserve">decision-trailers throughout. No requirement IDs added or retired; no scope changes.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0.11j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§1.6, §4.3, §6.5, §7.2, §7.3, §9.4, §10.3 — UJ batch closures (UJ-09, -10, -17, -18 with downstream design impact).</w:t>
            </w:r>
            <w:r>
              <w:t xml:space="preserve"> </w:t>
            </w:r>
            <w:r>
              <w:t xml:space="preserve">FDS-01-014 NEW (Gateway-script-async cross-cutting integration pattern, UJ-18); FDS-04-007 elevated-action list extended (UJ-09 BOM substitute override); FDS-06-011 extended (UJ-09 supervisor-override flow at scan-in); FDS-07-005 amended (print extracted from atomic block, UJ-18); FDS-07-006a NEW (print dispatch + 3×2s retry, UJ-18); FDS-07-006b NEW (banner + safety-sweep + stranded-prints alarm at 5, UJ-18); FDS-09-015 NEW (shift-end summary screen, UJ-10 Option D); FDS-10-013 NEW (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LocationAttribute, UJ-17 Option A). Data Model v1.9i (</w:t>
            </w:r>
            <w:r>
              <w:rPr>
                <w:rStyle w:val="VerbatimChar"/>
              </w:rPr>
              <w:t xml:space="preserve">Lots.ShippingLabel</w:t>
            </w:r>
            <w:r>
              <w:t xml:space="preserve"> </w:t>
            </w:r>
            <w:r>
              <w:t xml:space="preserve">+5 print-state columns). OIR v2.14.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0.11i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§7.2, §7.4 — UJ-04 AIM Shipper ID local pool.</w:t>
            </w:r>
            <w:r>
              <w:t xml:space="preserve"> </w:t>
            </w:r>
            <w:r>
              <w:t xml:space="preserve">FDS-07-005 rewritten, FDS-07-008 amended, FDS-07-010 rewritten; FDS-07-010a/b/c NEW. Data Model v1.9h.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0.11h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§5.3 — OI-21 Pausable LOT at Workstation.</w:t>
            </w:r>
            <w:r>
              <w:t xml:space="preserve"> </w:t>
            </w:r>
            <w:r>
              <w:t xml:space="preserve">FDS-05-038 NEW. Data Model v1.9g.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0.11g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§6.10 — OI-16 PLC confirm + RequiresCompletionConfirm LocationAttribute.</w:t>
            </w:r>
            <w:r>
              <w:t xml:space="preserve"> </w:t>
            </w:r>
            <w:r>
              <w:t xml:space="preserve">FDS-06-028 extended. Data Model v1.9f.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0.11f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§5.1 — OI-23 Lot derived quantities as a view.</w:t>
            </w:r>
            <w:r>
              <w:t xml:space="preserve"> </w:t>
            </w:r>
            <w:r>
              <w:t xml:space="preserve">FDS-05-031 rewritten. Data Model v1.9e.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0.11e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§2.5, §4 — OI-08 Terminal mode by parent Location tier.</w:t>
            </w:r>
            <w:r>
              <w:t xml:space="preserve"> </w:t>
            </w:r>
            <w:r>
              <w:t xml:space="preserve">FDS-02-010, FDS-04-003 rewritten. (No data model change.)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0.11d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§3.5 — OI-18 ItemLocation hierarchy cascade.</w:t>
            </w:r>
            <w:r>
              <w:t xml:space="preserve"> </w:t>
            </w:r>
            <w:r>
              <w:t xml:space="preserve">FDS-03-014 rewritten; FDS-03-015, FDS-03-018 extended. Data Model v1.9d.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0.11c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§3.6 — OI-12 MaxParts moved to Parts.Item.</w:t>
            </w:r>
            <w:r>
              <w:t xml:space="preserve"> </w:t>
            </w:r>
            <w:r>
              <w:t xml:space="preserve">FDS-03-019 rewritten. Data Model v1.9c.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0.11b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§6.10 — OI-07 WorkOrderType corrected to single Production seed.</w:t>
            </w:r>
            <w:r>
              <w:t xml:space="preserve"> </w:t>
            </w:r>
            <w:r>
              <w:t xml:space="preserve">FDS-06-022 renamed; FDS-06-027 deleted; FDS-06-025, FDS-06-028 updated. Data Model v1.9b.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§3.4, §5.1, §5.2, §5.3, §5.4, §5.5, §6.2, §6.10, §16 (NEW) — Arc 2 model revisions (Tool/Cavity on Lot, ProductionEvent checkpoint shape, IdentifierSequence, cavity-parallel LOTs as peers).</w:t>
            </w:r>
            <w:r>
              <w:t xml:space="preserve"> </w:t>
            </w:r>
            <w:r>
              <w:t xml:space="preserve">FDS-03-017a rewritten; FDS-05-003 revised; FDS-05-030, -034, -035, -036, -037 NEW; FDS-06-003 revised; FDS-06-030 NEW; FDS-16-001..003 NEW. Data Model v1.9.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0.10-rev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§5.10 — OI-11 Casting → Trim via 1-line BOM (no new schema).</w:t>
            </w:r>
            <w:r>
              <w:t xml:space="preserve"> </w:t>
            </w:r>
            <w:r>
              <w:t xml:space="preserve">FDS-05-033..035 consolidated into FDS-05-033. Data Model v1.8-rev.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§1.4, §3.1, §3.5, §3.6, §4.3, §5.1, §5.3, §5.10, §6.8, §6.10, §8.2, §12.5, §14 — Phase E of OI review refactor (OI-11..23).</w:t>
            </w:r>
            <w:r>
              <w:t xml:space="preserve"> </w:t>
            </w:r>
            <w:r>
              <w:t xml:space="preserve">FDS-01-013, FDS-03-018, FDS-03-019, FDS-03-020, FDS-05-031, FDS-05-032, FDS-05-033, FDS-06-023a, FDS-06-028, FDS-06-029, FDS-08-007a, FDS-12-009..011 NEW; FDS-03-001, FDS-04-007 extended. Data Model v1.8.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0.9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§2.5, §5.4, §5.5, §6.10, §9.4, §10.3 — Phase D of OI review refactor (OI-04, -05, -07, -08 addenda, -09 addenda, -03).</w:t>
            </w:r>
            <w:r>
              <w:t xml:space="preserve"> </w:t>
            </w:r>
            <w:r>
              <w:t xml:space="preserve">FDS-02-010..014, FDS-05-022..024 NEW; FDS-05-025..027 (merge rules); FDS-06-025..027; FDS-09-012..014 NEW; FDS-10-005 rewritten; FDS-10-009..012 NEW. Data Model v1.7.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2026-04-21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§1.6, §4 — OI-06 security rewrite (initials-based operator presence; AD elevation per-action; clock# + PIN removed).</w:t>
            </w:r>
            <w:r>
              <w:t xml:space="preserve"> </w:t>
            </w:r>
            <w:r>
              <w:t xml:space="preserve">FDS-01-010 updated; FDS-04-001..010 (entire section rewritten); FDS-04-009, FDS-04-010 NEW. Data Model v1.6.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2026-04-15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§3.4, §6.2 — Production data collection capture (template→event gap closed).</w:t>
            </w:r>
            <w:r>
              <w:t xml:space="preserve"> </w:t>
            </w:r>
            <w:r>
              <w:t xml:space="preserve">FDS-03-012 rewritten; FDS-03-017a NEW; FDS-06-001, FDS-06-003 rewritten. Data Model v1.4.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2026-04-15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 — Phase 5/6 SQL completion + Ignition JDBC convention.</w:t>
            </w:r>
            <w:r>
              <w:t xml:space="preserve"> </w:t>
            </w:r>
            <w:r>
              <w:t xml:space="preserve">FDS-11-011 NEW (single-result-set / no-OUTPUT-params rule). Data Model v1.3.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2026-04-10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§11 — Audit fourth log stream (FailureLog).</w:t>
            </w:r>
            <w:r>
              <w:t xml:space="preserve"> </w:t>
            </w:r>
            <w:r>
              <w:t xml:space="preserve">FDS-11-004 NEW; FDS-11-005..010 renumbered.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2026-04-10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§2.1–2.5, §5.3, §5.20, §6.19, §7.19 — Location model restructure (LocationType / LocationTypeDefinition / LocationAttributeDefinition).</w:t>
            </w:r>
            <w:r>
              <w:t xml:space="preserve"> </w:t>
            </w:r>
            <w:r>
              <w:t xml:space="preserve">FDS-05-008 NEW; FDS-05-004, FDS-05-020, FDS-06-019, FDS-07-019 updated. Word table styling added.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2026-04-09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§2.2, §2.3 — Naming convention to UpperCamelCase; Department merged into Area; Enterprise added to ISA-95 hierarchy.</w:t>
            </w:r>
            <w:r>
              <w:t xml:space="preserve"> </w:t>
            </w:r>
            <w:r>
              <w:t xml:space="preserve">FDS-02-001, FDS-02-003 updated.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2026-04-09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§1.4, §1.6, §2.5, §3.6, §4.2, §5.4, §5.5, §6.3, §6.5, §6.6, §6.10, §10.3 — OI/UJ design decisions integrated (OI-01, OI-08, OI-09 resolved).</w:t>
            </w:r>
            <w:r>
              <w:t xml:space="preserve"> </w:t>
            </w:r>
            <w:r>
              <w:t xml:space="preserve">FRS references added throughout OI register.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2026-04-06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Initial draft — front matter, architecture, plant model, master data.</w:t>
            </w:r>
          </w:p>
        </w:tc>
      </w:tr>
    </w:tbl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2026-04-28T18:53:14Z</dcterms:created>
  <dcterms:modified xsi:type="dcterms:W3CDTF">2026-04-28T18:53:14Z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