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3B" w:rsidRPr="006C47FD" w:rsidRDefault="00CC2F98" w:rsidP="00F2103B">
      <w:pPr>
        <w:jc w:val="center"/>
        <w:rPr>
          <w:rFonts w:ascii="Arial" w:hAnsi="Arial" w:cs="Arial"/>
          <w:b/>
          <w:sz w:val="32"/>
        </w:rPr>
      </w:pPr>
      <w:r w:rsidRPr="00CC2F98">
        <w:rPr>
          <w:rFonts w:ascii="Arial" w:hAnsi="Arial" w:cs="Arial"/>
          <w:b/>
          <w:sz w:val="32"/>
        </w:rPr>
        <w:t>Principaux diplômes et formations préparés dans les établissements publics sous tutelle du ministère en charge de l'Enseignement supérieur</w:t>
      </w:r>
    </w:p>
    <w:p w:rsidR="00CC2F98" w:rsidRPr="00CC2F98" w:rsidRDefault="00CC2F98" w:rsidP="00CC2F98">
      <w:pPr>
        <w:rPr>
          <w:rFonts w:ascii="Arial" w:hAnsi="Arial" w:cs="Arial"/>
        </w:rPr>
      </w:pPr>
      <w:r w:rsidRPr="00CC2F98">
        <w:rPr>
          <w:rFonts w:ascii="Arial" w:hAnsi="Arial" w:cs="Arial"/>
        </w:rPr>
        <w:t>Ce jeu de données présente la liste et les effectifs d'étudiants inscrits dans les principaux diplômes et formations préparés dans les établissements publics sous tutelle du ministère en charge de l'Enseignement supérieur en France pour les années universitaires 2006-07 à 201</w:t>
      </w:r>
      <w:r w:rsidR="005C4600">
        <w:rPr>
          <w:rFonts w:ascii="Arial" w:hAnsi="Arial" w:cs="Arial"/>
        </w:rPr>
        <w:t>7-18</w:t>
      </w:r>
      <w:r w:rsidRPr="00CC2F98">
        <w:rPr>
          <w:rFonts w:ascii="Arial" w:hAnsi="Arial" w:cs="Arial"/>
        </w:rPr>
        <w:t>.</w:t>
      </w:r>
    </w:p>
    <w:p w:rsidR="00CC2F98" w:rsidRPr="00CC2F98" w:rsidRDefault="00CC2F98" w:rsidP="00CC2F98">
      <w:pPr>
        <w:rPr>
          <w:rFonts w:ascii="Arial" w:hAnsi="Arial" w:cs="Arial"/>
        </w:rPr>
      </w:pPr>
      <w:r w:rsidRPr="00CC2F98">
        <w:rPr>
          <w:rFonts w:ascii="Arial" w:hAnsi="Arial" w:cs="Arial"/>
        </w:rPr>
        <w:t>Il décline ces informations selon l'établissement, la localisation de la formation (jusqu'à la commune), la discipline de la formation et le sexe de l'étudiant.</w:t>
      </w:r>
    </w:p>
    <w:p w:rsidR="00CF2BC6" w:rsidRPr="006C47FD" w:rsidRDefault="00CC2F98" w:rsidP="00CC2F98">
      <w:pPr>
        <w:rPr>
          <w:rFonts w:ascii="Arial" w:hAnsi="Arial" w:cs="Arial"/>
        </w:rPr>
      </w:pPr>
      <w:r w:rsidRPr="00CC2F98">
        <w:rPr>
          <w:rFonts w:ascii="Arial" w:hAnsi="Arial" w:cs="Arial"/>
        </w:rPr>
        <w:t>Les données sont tirées du système d'information sur le suivi de l'étudiant (SISE). Les inscriptions sont observées à la date du 15 janvier, sauf pour l’université de la Nouvelle-Calédonie qui dispose d’un délai supplémentaire pour prendre en compte le calendrier austral.</w:t>
      </w:r>
    </w:p>
    <w:p w:rsidR="000F3ED8" w:rsidRPr="006C47FD" w:rsidRDefault="00EE7629" w:rsidP="00EE7629">
      <w:pPr>
        <w:rPr>
          <w:rFonts w:ascii="Arial" w:hAnsi="Arial" w:cs="Arial"/>
        </w:rPr>
      </w:pPr>
      <w:r w:rsidRPr="006C47FD">
        <w:rPr>
          <w:rFonts w:ascii="Arial" w:hAnsi="Arial" w:cs="Arial"/>
          <w:b/>
        </w:rPr>
        <w:t>Producteur</w:t>
      </w:r>
      <w:r w:rsidRPr="006C47FD">
        <w:rPr>
          <w:rFonts w:ascii="Arial" w:hAnsi="Arial" w:cs="Arial"/>
        </w:rPr>
        <w:t xml:space="preserve"> : </w:t>
      </w:r>
      <w:r w:rsidR="00D55E98" w:rsidRPr="00D55E98">
        <w:rPr>
          <w:rFonts w:ascii="Arial" w:hAnsi="Arial" w:cs="Arial"/>
        </w:rPr>
        <w:t xml:space="preserve">Ministère </w:t>
      </w:r>
      <w:r w:rsidR="003F063D">
        <w:rPr>
          <w:rFonts w:ascii="Arial" w:hAnsi="Arial" w:cs="Arial"/>
        </w:rPr>
        <w:t>de l'Enseignement supérieur,</w:t>
      </w:r>
      <w:r w:rsidR="00D55E98" w:rsidRPr="00D55E98">
        <w:rPr>
          <w:rFonts w:ascii="Arial" w:hAnsi="Arial" w:cs="Arial"/>
        </w:rPr>
        <w:t xml:space="preserve"> de la Recherche</w:t>
      </w:r>
      <w:r w:rsidR="003F063D">
        <w:rPr>
          <w:rFonts w:ascii="Arial" w:hAnsi="Arial" w:cs="Arial"/>
        </w:rPr>
        <w:t xml:space="preserve"> et de l’Innovation</w:t>
      </w:r>
      <w:r w:rsidRPr="006C47FD">
        <w:rPr>
          <w:rFonts w:ascii="Arial" w:hAnsi="Arial" w:cs="Arial"/>
        </w:rPr>
        <w:t xml:space="preserve"> &gt; Sous-direction des </w:t>
      </w:r>
      <w:r w:rsidR="002B5F5B" w:rsidRPr="006C47FD">
        <w:rPr>
          <w:rFonts w:ascii="Arial" w:hAnsi="Arial" w:cs="Arial"/>
        </w:rPr>
        <w:t>S</w:t>
      </w:r>
      <w:r w:rsidRPr="006C47FD">
        <w:rPr>
          <w:rFonts w:ascii="Arial" w:hAnsi="Arial" w:cs="Arial"/>
        </w:rPr>
        <w:t>ystèmes d'information et études statistiques</w:t>
      </w:r>
    </w:p>
    <w:p w:rsidR="00EE7629" w:rsidRPr="006C47FD" w:rsidRDefault="00EE7629" w:rsidP="00EE7629">
      <w:pPr>
        <w:rPr>
          <w:rFonts w:ascii="Arial" w:hAnsi="Arial" w:cs="Arial"/>
        </w:rPr>
      </w:pPr>
      <w:r w:rsidRPr="006C47FD">
        <w:rPr>
          <w:rFonts w:ascii="Arial" w:hAnsi="Arial" w:cs="Arial"/>
          <w:b/>
        </w:rPr>
        <w:t>Période</w:t>
      </w:r>
      <w:r w:rsidRPr="006C47FD">
        <w:rPr>
          <w:rFonts w:ascii="Arial" w:hAnsi="Arial" w:cs="Arial"/>
        </w:rPr>
        <w:t xml:space="preserve"> : du 01-09-20</w:t>
      </w:r>
      <w:r w:rsidR="00F9113E">
        <w:rPr>
          <w:rFonts w:ascii="Arial" w:hAnsi="Arial" w:cs="Arial"/>
        </w:rPr>
        <w:t>06</w:t>
      </w:r>
      <w:r w:rsidRPr="006C47FD">
        <w:rPr>
          <w:rFonts w:ascii="Arial" w:hAnsi="Arial" w:cs="Arial"/>
        </w:rPr>
        <w:t xml:space="preserve"> au 31-08-201</w:t>
      </w:r>
      <w:r w:rsidR="005C4600">
        <w:rPr>
          <w:rFonts w:ascii="Arial" w:hAnsi="Arial" w:cs="Arial"/>
        </w:rPr>
        <w:t>8</w:t>
      </w:r>
    </w:p>
    <w:p w:rsidR="00EE7629" w:rsidRPr="006C47FD" w:rsidRDefault="00EE7629" w:rsidP="00EE7629">
      <w:pPr>
        <w:rPr>
          <w:rFonts w:ascii="Arial" w:hAnsi="Arial" w:cs="Arial"/>
        </w:rPr>
      </w:pPr>
      <w:r w:rsidRPr="006C47FD">
        <w:rPr>
          <w:rFonts w:ascii="Arial" w:hAnsi="Arial" w:cs="Arial"/>
          <w:b/>
        </w:rPr>
        <w:t>Licence</w:t>
      </w:r>
      <w:r w:rsidRPr="006C47FD">
        <w:rPr>
          <w:rFonts w:ascii="Arial" w:hAnsi="Arial" w:cs="Arial"/>
        </w:rPr>
        <w:t xml:space="preserve"> : </w:t>
      </w:r>
      <w:hyperlink r:id="rId6" w:history="1">
        <w:r w:rsidRPr="006C47FD">
          <w:rPr>
            <w:rStyle w:val="Lienhypertexte"/>
            <w:rFonts w:ascii="Arial" w:hAnsi="Arial" w:cs="Arial"/>
          </w:rPr>
          <w:t>Licence Ouverte/Open Licence</w:t>
        </w:r>
      </w:hyperlink>
    </w:p>
    <w:p w:rsidR="00EE7629" w:rsidRPr="006C47FD" w:rsidRDefault="00EE7629" w:rsidP="00EE7629">
      <w:pPr>
        <w:rPr>
          <w:rFonts w:ascii="Arial" w:hAnsi="Arial" w:cs="Arial"/>
        </w:rPr>
      </w:pPr>
      <w:r w:rsidRPr="006C47FD">
        <w:rPr>
          <w:rFonts w:ascii="Arial" w:hAnsi="Arial" w:cs="Arial"/>
          <w:b/>
        </w:rPr>
        <w:t>Langue</w:t>
      </w:r>
      <w:r w:rsidRPr="006C47FD">
        <w:rPr>
          <w:rFonts w:ascii="Arial" w:hAnsi="Arial" w:cs="Arial"/>
        </w:rPr>
        <w:t xml:space="preserve"> : français </w:t>
      </w:r>
    </w:p>
    <w:p w:rsidR="00EE7629" w:rsidRPr="006C47FD" w:rsidRDefault="00EE7629" w:rsidP="00EE7629">
      <w:pPr>
        <w:rPr>
          <w:rFonts w:ascii="Arial" w:hAnsi="Arial" w:cs="Arial"/>
        </w:rPr>
      </w:pPr>
      <w:r w:rsidRPr="006C47FD">
        <w:rPr>
          <w:rFonts w:ascii="Arial" w:hAnsi="Arial" w:cs="Arial"/>
          <w:b/>
        </w:rPr>
        <w:t>Couverture géographique</w:t>
      </w:r>
      <w:r w:rsidRPr="006C47FD">
        <w:rPr>
          <w:rFonts w:ascii="Arial" w:hAnsi="Arial" w:cs="Arial"/>
        </w:rPr>
        <w:t xml:space="preserve"> : France métropolitaine, départements et collectivités d'outre-mer</w:t>
      </w:r>
      <w:bookmarkStart w:id="0" w:name="_GoBack"/>
      <w:bookmarkEnd w:id="0"/>
    </w:p>
    <w:p w:rsidR="00F2103B" w:rsidRPr="00255B6C" w:rsidRDefault="00F2103B" w:rsidP="00F2103B">
      <w:pPr>
        <w:rPr>
          <w:rFonts w:ascii="Arial" w:hAnsi="Arial" w:cs="Arial"/>
        </w:rPr>
      </w:pPr>
      <w:r w:rsidRPr="00255B6C">
        <w:rPr>
          <w:rFonts w:ascii="Arial" w:hAnsi="Arial" w:cs="Arial"/>
        </w:rPr>
        <w:t xml:space="preserve">Le jeu de données comprend </w:t>
      </w:r>
      <w:r w:rsidR="00CC2F98">
        <w:rPr>
          <w:rFonts w:ascii="Arial" w:hAnsi="Arial" w:cs="Arial"/>
        </w:rPr>
        <w:t>62</w:t>
      </w:r>
      <w:r w:rsidR="009615BB">
        <w:rPr>
          <w:rFonts w:ascii="Arial" w:hAnsi="Arial" w:cs="Arial"/>
        </w:rPr>
        <w:t xml:space="preserve"> variables et </w:t>
      </w:r>
      <w:r w:rsidR="005C4600" w:rsidRPr="005C4600">
        <w:rPr>
          <w:rFonts w:ascii="Arial" w:hAnsi="Arial" w:cs="Arial"/>
        </w:rPr>
        <w:t>358 850</w:t>
      </w:r>
      <w:r w:rsidR="00695CFA" w:rsidRPr="00695CFA">
        <w:rPr>
          <w:rFonts w:ascii="Arial" w:hAnsi="Arial" w:cs="Arial"/>
        </w:rPr>
        <w:t xml:space="preserve"> </w:t>
      </w:r>
      <w:r w:rsidR="00255B6C" w:rsidRPr="00255B6C">
        <w:rPr>
          <w:rFonts w:ascii="Arial" w:hAnsi="Arial" w:cs="Arial"/>
        </w:rPr>
        <w:t>enregistrements</w:t>
      </w:r>
      <w:r w:rsidRPr="00255B6C">
        <w:rPr>
          <w:rFonts w:ascii="Arial" w:hAnsi="Arial" w:cs="Arial"/>
        </w:rPr>
        <w:t> :</w:t>
      </w:r>
    </w:p>
    <w:p w:rsidR="00D93C8F" w:rsidRDefault="00D93C8F" w:rsidP="00F2103B">
      <w:pPr>
        <w:rPr>
          <w:rFonts w:ascii="Arial" w:hAnsi="Arial" w:cs="Arial"/>
        </w:rPr>
      </w:pPr>
      <w:r w:rsidRPr="006C47FD">
        <w:rPr>
          <w:rFonts w:ascii="Arial" w:hAnsi="Arial" w:cs="Arial"/>
          <w:b/>
        </w:rPr>
        <w:t>Téléchargement</w:t>
      </w:r>
      <w:r w:rsidRPr="006C47FD">
        <w:rPr>
          <w:rFonts w:ascii="Arial" w:hAnsi="Arial" w:cs="Arial"/>
        </w:rPr>
        <w:t> :</w:t>
      </w:r>
      <w:r w:rsidR="000F3ED8" w:rsidRPr="006C47FD">
        <w:rPr>
          <w:rFonts w:ascii="Arial" w:hAnsi="Arial" w:cs="Arial"/>
        </w:rPr>
        <w:t xml:space="preserve"> </w:t>
      </w:r>
      <w:hyperlink r:id="rId7" w:history="1">
        <w:r w:rsidR="00CC2F98" w:rsidRPr="00DC2FE8">
          <w:rPr>
            <w:rStyle w:val="Lienhypertexte"/>
            <w:rFonts w:ascii="Arial" w:hAnsi="Arial" w:cs="Arial"/>
          </w:rPr>
          <w:t>https://data.enseignementsup-recherche.gouv.fr/explore/dataset/fr-esr-principaux-diplomes-et-formations-prepares-etablissements-publics/</w:t>
        </w:r>
      </w:hyperlink>
      <w:r w:rsidR="00CC2F98">
        <w:rPr>
          <w:rFonts w:ascii="Arial" w:hAnsi="Arial" w:cs="Arial"/>
        </w:rPr>
        <w:t xml:space="preserve"> </w:t>
      </w:r>
    </w:p>
    <w:p w:rsidR="001B5508" w:rsidRDefault="00A30682" w:rsidP="00F2103B">
      <w:pPr>
        <w:rPr>
          <w:rFonts w:ascii="Arial" w:hAnsi="Arial" w:cs="Arial"/>
        </w:rPr>
      </w:pPr>
      <w:r w:rsidRPr="00A30682">
        <w:rPr>
          <w:rFonts w:ascii="Arial" w:hAnsi="Arial" w:cs="Arial"/>
          <w:b/>
        </w:rPr>
        <w:t>Effectifs de référence du jeu de données par rentrée universitaire</w:t>
      </w:r>
      <w:r>
        <w:rPr>
          <w:rFonts w:ascii="Arial" w:hAnsi="Arial" w:cs="Arial"/>
        </w:rPr>
        <w:t> :</w:t>
      </w:r>
    </w:p>
    <w:tbl>
      <w:tblPr>
        <w:tblStyle w:val="Grilledutableau"/>
        <w:tblW w:w="9852"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28"/>
        <w:gridCol w:w="727"/>
        <w:gridCol w:w="727"/>
        <w:gridCol w:w="727"/>
        <w:gridCol w:w="727"/>
        <w:gridCol w:w="727"/>
        <w:gridCol w:w="727"/>
        <w:gridCol w:w="727"/>
        <w:gridCol w:w="727"/>
        <w:gridCol w:w="727"/>
        <w:gridCol w:w="727"/>
        <w:gridCol w:w="727"/>
        <w:gridCol w:w="727"/>
      </w:tblGrid>
      <w:tr w:rsidR="005C4600" w:rsidRPr="001B5508" w:rsidTr="005C4600">
        <w:trPr>
          <w:jc w:val="center"/>
        </w:trPr>
        <w:tc>
          <w:tcPr>
            <w:tcW w:w="1128" w:type="dxa"/>
          </w:tcPr>
          <w:p w:rsidR="005C4600" w:rsidRPr="00CF151F" w:rsidRDefault="005C4600" w:rsidP="00CF151F">
            <w:pPr>
              <w:rPr>
                <w:rFonts w:ascii="Arial" w:hAnsi="Arial" w:cs="Arial"/>
                <w:sz w:val="12"/>
                <w:szCs w:val="12"/>
              </w:rPr>
            </w:pPr>
          </w:p>
        </w:tc>
        <w:tc>
          <w:tcPr>
            <w:tcW w:w="727" w:type="dxa"/>
            <w:vAlign w:val="center"/>
          </w:tcPr>
          <w:p w:rsidR="005C4600" w:rsidRPr="00CF151F" w:rsidRDefault="005C4600" w:rsidP="00CF151F">
            <w:pPr>
              <w:jc w:val="right"/>
              <w:rPr>
                <w:sz w:val="12"/>
                <w:szCs w:val="12"/>
              </w:rPr>
            </w:pPr>
            <w:r w:rsidRPr="00CF151F">
              <w:rPr>
                <w:sz w:val="12"/>
                <w:szCs w:val="12"/>
              </w:rPr>
              <w:t>2006-07</w:t>
            </w:r>
          </w:p>
        </w:tc>
        <w:tc>
          <w:tcPr>
            <w:tcW w:w="727" w:type="dxa"/>
            <w:vAlign w:val="center"/>
          </w:tcPr>
          <w:p w:rsidR="005C4600" w:rsidRPr="00CF151F" w:rsidRDefault="005C4600" w:rsidP="00CF151F">
            <w:pPr>
              <w:jc w:val="right"/>
              <w:rPr>
                <w:sz w:val="12"/>
                <w:szCs w:val="12"/>
              </w:rPr>
            </w:pPr>
            <w:r w:rsidRPr="00CF151F">
              <w:rPr>
                <w:sz w:val="12"/>
                <w:szCs w:val="12"/>
              </w:rPr>
              <w:t>2007-08</w:t>
            </w:r>
          </w:p>
        </w:tc>
        <w:tc>
          <w:tcPr>
            <w:tcW w:w="727" w:type="dxa"/>
            <w:vAlign w:val="center"/>
          </w:tcPr>
          <w:p w:rsidR="005C4600" w:rsidRPr="00CF151F" w:rsidRDefault="005C4600" w:rsidP="00CF151F">
            <w:pPr>
              <w:jc w:val="right"/>
              <w:rPr>
                <w:sz w:val="12"/>
                <w:szCs w:val="12"/>
              </w:rPr>
            </w:pPr>
            <w:r w:rsidRPr="00CF151F">
              <w:rPr>
                <w:sz w:val="12"/>
                <w:szCs w:val="12"/>
              </w:rPr>
              <w:t>2008-09</w:t>
            </w:r>
          </w:p>
        </w:tc>
        <w:tc>
          <w:tcPr>
            <w:tcW w:w="727" w:type="dxa"/>
            <w:vAlign w:val="center"/>
          </w:tcPr>
          <w:p w:rsidR="005C4600" w:rsidRPr="00CF151F" w:rsidRDefault="005C4600" w:rsidP="00CF151F">
            <w:pPr>
              <w:jc w:val="right"/>
              <w:rPr>
                <w:sz w:val="12"/>
                <w:szCs w:val="12"/>
              </w:rPr>
            </w:pPr>
            <w:r w:rsidRPr="00CF151F">
              <w:rPr>
                <w:sz w:val="12"/>
                <w:szCs w:val="12"/>
              </w:rPr>
              <w:t>2009-10</w:t>
            </w:r>
          </w:p>
        </w:tc>
        <w:tc>
          <w:tcPr>
            <w:tcW w:w="727" w:type="dxa"/>
            <w:vAlign w:val="center"/>
          </w:tcPr>
          <w:p w:rsidR="005C4600" w:rsidRPr="00CF151F" w:rsidRDefault="005C4600" w:rsidP="00CF151F">
            <w:pPr>
              <w:jc w:val="right"/>
              <w:rPr>
                <w:sz w:val="12"/>
                <w:szCs w:val="12"/>
              </w:rPr>
            </w:pPr>
            <w:r w:rsidRPr="00CF151F">
              <w:rPr>
                <w:sz w:val="12"/>
                <w:szCs w:val="12"/>
              </w:rPr>
              <w:t>2010-11</w:t>
            </w:r>
          </w:p>
        </w:tc>
        <w:tc>
          <w:tcPr>
            <w:tcW w:w="727" w:type="dxa"/>
            <w:vAlign w:val="center"/>
          </w:tcPr>
          <w:p w:rsidR="005C4600" w:rsidRPr="00CF151F" w:rsidRDefault="005C4600" w:rsidP="00CF151F">
            <w:pPr>
              <w:jc w:val="right"/>
              <w:rPr>
                <w:sz w:val="12"/>
                <w:szCs w:val="12"/>
              </w:rPr>
            </w:pPr>
            <w:r w:rsidRPr="00CF151F">
              <w:rPr>
                <w:sz w:val="12"/>
                <w:szCs w:val="12"/>
              </w:rPr>
              <w:t>2011-12</w:t>
            </w:r>
          </w:p>
        </w:tc>
        <w:tc>
          <w:tcPr>
            <w:tcW w:w="727" w:type="dxa"/>
            <w:vAlign w:val="center"/>
          </w:tcPr>
          <w:p w:rsidR="005C4600" w:rsidRPr="00CF151F" w:rsidRDefault="005C4600" w:rsidP="00CF151F">
            <w:pPr>
              <w:jc w:val="right"/>
              <w:rPr>
                <w:sz w:val="12"/>
                <w:szCs w:val="12"/>
              </w:rPr>
            </w:pPr>
            <w:r w:rsidRPr="00CF151F">
              <w:rPr>
                <w:sz w:val="12"/>
                <w:szCs w:val="12"/>
              </w:rPr>
              <w:t>2012-13</w:t>
            </w:r>
          </w:p>
        </w:tc>
        <w:tc>
          <w:tcPr>
            <w:tcW w:w="727" w:type="dxa"/>
            <w:vAlign w:val="center"/>
          </w:tcPr>
          <w:p w:rsidR="005C4600" w:rsidRPr="00CF151F" w:rsidRDefault="005C4600" w:rsidP="00CF151F">
            <w:pPr>
              <w:jc w:val="right"/>
              <w:rPr>
                <w:sz w:val="12"/>
                <w:szCs w:val="12"/>
              </w:rPr>
            </w:pPr>
            <w:r w:rsidRPr="00CF151F">
              <w:rPr>
                <w:sz w:val="12"/>
                <w:szCs w:val="12"/>
              </w:rPr>
              <w:t>2013-14</w:t>
            </w:r>
          </w:p>
        </w:tc>
        <w:tc>
          <w:tcPr>
            <w:tcW w:w="727" w:type="dxa"/>
            <w:vAlign w:val="center"/>
          </w:tcPr>
          <w:p w:rsidR="005C4600" w:rsidRPr="00CF151F" w:rsidRDefault="005C4600" w:rsidP="00CF151F">
            <w:pPr>
              <w:jc w:val="right"/>
              <w:rPr>
                <w:sz w:val="12"/>
                <w:szCs w:val="12"/>
              </w:rPr>
            </w:pPr>
            <w:r w:rsidRPr="00CF151F">
              <w:rPr>
                <w:sz w:val="12"/>
                <w:szCs w:val="12"/>
              </w:rPr>
              <w:t>2014-15</w:t>
            </w:r>
          </w:p>
        </w:tc>
        <w:tc>
          <w:tcPr>
            <w:tcW w:w="727" w:type="dxa"/>
            <w:vAlign w:val="center"/>
          </w:tcPr>
          <w:p w:rsidR="005C4600" w:rsidRPr="00CF151F" w:rsidRDefault="005C4600" w:rsidP="00CF151F">
            <w:pPr>
              <w:jc w:val="right"/>
              <w:rPr>
                <w:sz w:val="12"/>
                <w:szCs w:val="12"/>
              </w:rPr>
            </w:pPr>
            <w:r w:rsidRPr="00CF151F">
              <w:rPr>
                <w:sz w:val="12"/>
                <w:szCs w:val="12"/>
              </w:rPr>
              <w:t>2015-16</w:t>
            </w:r>
          </w:p>
        </w:tc>
        <w:tc>
          <w:tcPr>
            <w:tcW w:w="727" w:type="dxa"/>
            <w:vAlign w:val="center"/>
          </w:tcPr>
          <w:p w:rsidR="005C4600" w:rsidRPr="00CF151F" w:rsidRDefault="005C4600" w:rsidP="00CF151F">
            <w:pPr>
              <w:jc w:val="right"/>
              <w:rPr>
                <w:sz w:val="12"/>
                <w:szCs w:val="12"/>
              </w:rPr>
            </w:pPr>
            <w:r w:rsidRPr="00CF151F">
              <w:rPr>
                <w:sz w:val="12"/>
                <w:szCs w:val="12"/>
              </w:rPr>
              <w:t>2016-17</w:t>
            </w:r>
          </w:p>
        </w:tc>
        <w:tc>
          <w:tcPr>
            <w:tcW w:w="727" w:type="dxa"/>
          </w:tcPr>
          <w:p w:rsidR="005C4600" w:rsidRPr="00CF151F" w:rsidRDefault="005C4600" w:rsidP="005C4600">
            <w:pPr>
              <w:jc w:val="right"/>
              <w:rPr>
                <w:sz w:val="12"/>
                <w:szCs w:val="12"/>
              </w:rPr>
            </w:pPr>
            <w:r w:rsidRPr="00CF151F">
              <w:rPr>
                <w:sz w:val="12"/>
                <w:szCs w:val="12"/>
              </w:rPr>
              <w:t>201</w:t>
            </w:r>
            <w:r>
              <w:rPr>
                <w:sz w:val="12"/>
                <w:szCs w:val="12"/>
              </w:rPr>
              <w:t>7</w:t>
            </w:r>
            <w:r w:rsidRPr="00CF151F">
              <w:rPr>
                <w:sz w:val="12"/>
                <w:szCs w:val="12"/>
              </w:rPr>
              <w:t>-1</w:t>
            </w:r>
            <w:r>
              <w:rPr>
                <w:sz w:val="12"/>
                <w:szCs w:val="12"/>
              </w:rPr>
              <w:t>8</w:t>
            </w:r>
          </w:p>
        </w:tc>
      </w:tr>
      <w:tr w:rsidR="00CF3869" w:rsidRPr="001B5508" w:rsidTr="00CF3869">
        <w:trPr>
          <w:jc w:val="center"/>
        </w:trPr>
        <w:tc>
          <w:tcPr>
            <w:tcW w:w="1128" w:type="dxa"/>
            <w:tcBorders>
              <w:bottom w:val="single" w:sz="4" w:space="0" w:color="auto"/>
            </w:tcBorders>
          </w:tcPr>
          <w:p w:rsidR="00CF3869" w:rsidRPr="00CF151F" w:rsidRDefault="00CF3869" w:rsidP="00CF151F">
            <w:pPr>
              <w:rPr>
                <w:rFonts w:ascii="Arial" w:hAnsi="Arial" w:cs="Arial"/>
                <w:sz w:val="12"/>
                <w:szCs w:val="12"/>
              </w:rPr>
            </w:pPr>
            <w:r w:rsidRPr="00CF151F">
              <w:rPr>
                <w:rFonts w:ascii="Arial" w:hAnsi="Arial" w:cs="Arial"/>
                <w:sz w:val="12"/>
                <w:szCs w:val="12"/>
              </w:rPr>
              <w:t>Inscriptions principales</w:t>
            </w:r>
          </w:p>
        </w:tc>
        <w:tc>
          <w:tcPr>
            <w:tcW w:w="727" w:type="dxa"/>
            <w:vAlign w:val="center"/>
          </w:tcPr>
          <w:p w:rsidR="00CF3869" w:rsidRPr="00CF3869" w:rsidRDefault="00CF3869" w:rsidP="00CF3869">
            <w:pPr>
              <w:jc w:val="right"/>
              <w:rPr>
                <w:sz w:val="12"/>
              </w:rPr>
            </w:pPr>
            <w:r w:rsidRPr="00CF3869">
              <w:rPr>
                <w:sz w:val="12"/>
              </w:rPr>
              <w:t>1 520 174</w:t>
            </w:r>
          </w:p>
        </w:tc>
        <w:tc>
          <w:tcPr>
            <w:tcW w:w="727" w:type="dxa"/>
            <w:vAlign w:val="center"/>
          </w:tcPr>
          <w:p w:rsidR="00CF3869" w:rsidRPr="00CF3869" w:rsidRDefault="00CF3869" w:rsidP="00CF3869">
            <w:pPr>
              <w:jc w:val="right"/>
              <w:rPr>
                <w:sz w:val="12"/>
              </w:rPr>
            </w:pPr>
            <w:r w:rsidRPr="00CF3869">
              <w:rPr>
                <w:sz w:val="12"/>
              </w:rPr>
              <w:t>1 485 518</w:t>
            </w:r>
          </w:p>
        </w:tc>
        <w:tc>
          <w:tcPr>
            <w:tcW w:w="727" w:type="dxa"/>
            <w:vAlign w:val="center"/>
          </w:tcPr>
          <w:p w:rsidR="00CF3869" w:rsidRPr="00CF3869" w:rsidRDefault="00CF3869" w:rsidP="00CF3869">
            <w:pPr>
              <w:jc w:val="right"/>
              <w:rPr>
                <w:sz w:val="12"/>
              </w:rPr>
            </w:pPr>
            <w:r w:rsidRPr="00CF3869">
              <w:rPr>
                <w:sz w:val="12"/>
              </w:rPr>
              <w:t>1 470 150</w:t>
            </w:r>
          </w:p>
        </w:tc>
        <w:tc>
          <w:tcPr>
            <w:tcW w:w="727" w:type="dxa"/>
            <w:vAlign w:val="center"/>
          </w:tcPr>
          <w:p w:rsidR="00CF3869" w:rsidRPr="00CF3869" w:rsidRDefault="00CF3869" w:rsidP="00CF3869">
            <w:pPr>
              <w:jc w:val="right"/>
              <w:rPr>
                <w:sz w:val="12"/>
              </w:rPr>
            </w:pPr>
            <w:r w:rsidRPr="00CF3869">
              <w:rPr>
                <w:sz w:val="12"/>
              </w:rPr>
              <w:t>1 512 790</w:t>
            </w:r>
          </w:p>
        </w:tc>
        <w:tc>
          <w:tcPr>
            <w:tcW w:w="727" w:type="dxa"/>
            <w:vAlign w:val="center"/>
          </w:tcPr>
          <w:p w:rsidR="00CF3869" w:rsidRPr="00CF3869" w:rsidRDefault="00CF3869" w:rsidP="00CF3869">
            <w:pPr>
              <w:jc w:val="right"/>
              <w:rPr>
                <w:sz w:val="12"/>
              </w:rPr>
            </w:pPr>
            <w:r w:rsidRPr="00CF3869">
              <w:rPr>
                <w:sz w:val="12"/>
              </w:rPr>
              <w:t>1 507 005</w:t>
            </w:r>
          </w:p>
        </w:tc>
        <w:tc>
          <w:tcPr>
            <w:tcW w:w="727" w:type="dxa"/>
            <w:vAlign w:val="center"/>
          </w:tcPr>
          <w:p w:rsidR="00CF3869" w:rsidRPr="00CF3869" w:rsidRDefault="00CF3869" w:rsidP="00CF3869">
            <w:pPr>
              <w:jc w:val="right"/>
              <w:rPr>
                <w:sz w:val="12"/>
              </w:rPr>
            </w:pPr>
            <w:r w:rsidRPr="00CF3869">
              <w:rPr>
                <w:sz w:val="12"/>
              </w:rPr>
              <w:t>1 510 256</w:t>
            </w:r>
          </w:p>
        </w:tc>
        <w:tc>
          <w:tcPr>
            <w:tcW w:w="727" w:type="dxa"/>
            <w:vAlign w:val="center"/>
          </w:tcPr>
          <w:p w:rsidR="00CF3869" w:rsidRPr="00CF3869" w:rsidRDefault="00CF3869" w:rsidP="00CF3869">
            <w:pPr>
              <w:jc w:val="right"/>
              <w:rPr>
                <w:sz w:val="12"/>
              </w:rPr>
            </w:pPr>
            <w:r w:rsidRPr="00CF3869">
              <w:rPr>
                <w:sz w:val="12"/>
              </w:rPr>
              <w:t>1 520 926</w:t>
            </w:r>
          </w:p>
        </w:tc>
        <w:tc>
          <w:tcPr>
            <w:tcW w:w="727" w:type="dxa"/>
            <w:vAlign w:val="center"/>
          </w:tcPr>
          <w:p w:rsidR="00CF3869" w:rsidRPr="00CF3869" w:rsidRDefault="00CF3869" w:rsidP="00CF3869">
            <w:pPr>
              <w:jc w:val="right"/>
              <w:rPr>
                <w:sz w:val="12"/>
              </w:rPr>
            </w:pPr>
            <w:r w:rsidRPr="00CF3869">
              <w:rPr>
                <w:sz w:val="12"/>
              </w:rPr>
              <w:t>1 560 636</w:t>
            </w:r>
          </w:p>
        </w:tc>
        <w:tc>
          <w:tcPr>
            <w:tcW w:w="727" w:type="dxa"/>
            <w:vAlign w:val="center"/>
          </w:tcPr>
          <w:p w:rsidR="00CF3869" w:rsidRPr="00CF3869" w:rsidRDefault="00CF3869" w:rsidP="00CF3869">
            <w:pPr>
              <w:jc w:val="right"/>
              <w:rPr>
                <w:sz w:val="12"/>
              </w:rPr>
            </w:pPr>
            <w:r w:rsidRPr="00CF3869">
              <w:rPr>
                <w:sz w:val="12"/>
              </w:rPr>
              <w:t>1 589 325</w:t>
            </w:r>
          </w:p>
        </w:tc>
        <w:tc>
          <w:tcPr>
            <w:tcW w:w="727" w:type="dxa"/>
            <w:vAlign w:val="center"/>
          </w:tcPr>
          <w:p w:rsidR="00CF3869" w:rsidRPr="00CF3869" w:rsidRDefault="00CF3869" w:rsidP="00CF3869">
            <w:pPr>
              <w:jc w:val="right"/>
              <w:rPr>
                <w:sz w:val="12"/>
              </w:rPr>
            </w:pPr>
            <w:r w:rsidRPr="00CF3869">
              <w:rPr>
                <w:sz w:val="12"/>
              </w:rPr>
              <w:t>1 645 900</w:t>
            </w:r>
          </w:p>
        </w:tc>
        <w:tc>
          <w:tcPr>
            <w:tcW w:w="727" w:type="dxa"/>
            <w:vAlign w:val="center"/>
          </w:tcPr>
          <w:p w:rsidR="00CF3869" w:rsidRPr="00CF3869" w:rsidRDefault="00CF3869" w:rsidP="00CF3869">
            <w:pPr>
              <w:jc w:val="right"/>
              <w:rPr>
                <w:sz w:val="12"/>
              </w:rPr>
            </w:pPr>
            <w:r w:rsidRPr="00CF3869">
              <w:rPr>
                <w:sz w:val="12"/>
              </w:rPr>
              <w:t>1 677 788</w:t>
            </w:r>
          </w:p>
        </w:tc>
        <w:tc>
          <w:tcPr>
            <w:tcW w:w="727" w:type="dxa"/>
            <w:vAlign w:val="center"/>
          </w:tcPr>
          <w:p w:rsidR="00CF3869" w:rsidRPr="00CF3869" w:rsidRDefault="00CF3869" w:rsidP="00CF3869">
            <w:pPr>
              <w:jc w:val="right"/>
              <w:rPr>
                <w:sz w:val="12"/>
              </w:rPr>
            </w:pPr>
            <w:r w:rsidRPr="00CF3869">
              <w:rPr>
                <w:sz w:val="12"/>
              </w:rPr>
              <w:t>1 694 229</w:t>
            </w:r>
          </w:p>
        </w:tc>
      </w:tr>
      <w:tr w:rsidR="00CF3869" w:rsidRPr="001B5508" w:rsidTr="00CF3869">
        <w:trPr>
          <w:jc w:val="center"/>
        </w:trPr>
        <w:tc>
          <w:tcPr>
            <w:tcW w:w="1128" w:type="dxa"/>
            <w:tcBorders>
              <w:top w:val="single" w:sz="4" w:space="0" w:color="auto"/>
              <w:bottom w:val="single" w:sz="4" w:space="0" w:color="auto"/>
            </w:tcBorders>
          </w:tcPr>
          <w:p w:rsidR="00CF3869" w:rsidRPr="00CF151F" w:rsidRDefault="00CF3869" w:rsidP="00CF151F">
            <w:pPr>
              <w:rPr>
                <w:rFonts w:ascii="Arial" w:hAnsi="Arial" w:cs="Arial"/>
                <w:sz w:val="12"/>
                <w:szCs w:val="12"/>
              </w:rPr>
            </w:pPr>
            <w:r w:rsidRPr="00CF151F">
              <w:rPr>
                <w:rFonts w:ascii="Arial" w:hAnsi="Arial" w:cs="Arial"/>
                <w:sz w:val="12"/>
                <w:szCs w:val="12"/>
              </w:rPr>
              <w:t>Inscriptions totales</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1 590 965</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1 554 950</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1 545 076</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1 592 436</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1 580 148</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1 582 923</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1 593 200</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1 638 687</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1 667 227</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1 729 147</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1 757 166</w:t>
            </w:r>
          </w:p>
        </w:tc>
        <w:tc>
          <w:tcPr>
            <w:tcW w:w="727" w:type="dxa"/>
            <w:tcBorders>
              <w:bottom w:val="single" w:sz="4" w:space="0" w:color="auto"/>
            </w:tcBorders>
            <w:vAlign w:val="center"/>
          </w:tcPr>
          <w:p w:rsidR="00CF3869" w:rsidRPr="00CF3869" w:rsidRDefault="00CF3869" w:rsidP="00CF3869">
            <w:pPr>
              <w:jc w:val="right"/>
              <w:rPr>
                <w:sz w:val="12"/>
              </w:rPr>
            </w:pPr>
            <w:r w:rsidRPr="00CF3869">
              <w:rPr>
                <w:sz w:val="12"/>
              </w:rPr>
              <w:t>1 775 707</w:t>
            </w:r>
          </w:p>
        </w:tc>
      </w:tr>
    </w:tbl>
    <w:p w:rsidR="00CD6BE1" w:rsidRPr="006C47FD" w:rsidRDefault="00CD6BE1">
      <w:pPr>
        <w:rPr>
          <w:rFonts w:ascii="Arial" w:hAnsi="Arial" w:cs="Arial"/>
          <w:b/>
        </w:rPr>
        <w:sectPr w:rsidR="00CD6BE1" w:rsidRPr="006C47FD" w:rsidSect="00D93C8F">
          <w:pgSz w:w="11906" w:h="16838"/>
          <w:pgMar w:top="1418" w:right="1418" w:bottom="1418" w:left="1418" w:header="709" w:footer="709" w:gutter="0"/>
          <w:cols w:space="708"/>
          <w:docGrid w:linePitch="360"/>
        </w:sectPr>
      </w:pPr>
    </w:p>
    <w:p w:rsidR="005652D1" w:rsidRPr="006C47FD" w:rsidRDefault="005652D1" w:rsidP="005652D1">
      <w:pPr>
        <w:rPr>
          <w:rFonts w:ascii="Arial" w:hAnsi="Arial" w:cs="Arial"/>
        </w:rPr>
      </w:pPr>
      <w:r w:rsidRPr="006C47FD">
        <w:rPr>
          <w:rFonts w:ascii="Arial" w:hAnsi="Arial" w:cs="Arial"/>
        </w:rPr>
        <w:lastRenderedPageBreak/>
        <w:t xml:space="preserve">Ces données ne prennent pas en compte les effectifs d’inscrits de certains </w:t>
      </w:r>
      <w:r w:rsidR="00AF61F6" w:rsidRPr="00AF61F6">
        <w:rPr>
          <w:rFonts w:ascii="Arial" w:hAnsi="Arial" w:cs="Arial"/>
        </w:rPr>
        <w:t>établissements publics sous tutelle du ministère en charge de l’Enseignement supérieur et de la Recherche</w:t>
      </w:r>
      <w:r w:rsidRPr="006C47FD">
        <w:rPr>
          <w:rFonts w:ascii="Arial" w:hAnsi="Arial" w:cs="Arial"/>
        </w:rPr>
        <w:t>, dont les informations remontent par un autre dispositif que le système d’information SISE :</w:t>
      </w:r>
      <w:r w:rsidRPr="006C47FD">
        <w:rPr>
          <w:rFonts w:ascii="Arial" w:hAnsi="Arial" w:cs="Arial"/>
        </w:rPr>
        <w:br/>
        <w:t>- Conservatoire national des arts et métiers</w:t>
      </w:r>
      <w:r w:rsidR="00FB4B97">
        <w:rPr>
          <w:rFonts w:ascii="Arial" w:hAnsi="Arial" w:cs="Arial"/>
        </w:rPr>
        <w:t> ;</w:t>
      </w:r>
      <w:r w:rsidRPr="006C47FD">
        <w:rPr>
          <w:rFonts w:ascii="Arial" w:hAnsi="Arial" w:cs="Arial"/>
        </w:rPr>
        <w:br/>
      </w:r>
      <w:r w:rsidR="00FB4B97">
        <w:rPr>
          <w:rFonts w:ascii="Arial" w:hAnsi="Arial" w:cs="Arial"/>
        </w:rPr>
        <w:t xml:space="preserve">- </w:t>
      </w:r>
      <w:r w:rsidR="00FB4B97" w:rsidRPr="00FB4B97">
        <w:rPr>
          <w:rFonts w:ascii="Arial" w:hAnsi="Arial" w:cs="Arial"/>
        </w:rPr>
        <w:t>École nationale supérieure des arts et techniques du théâtre</w:t>
      </w:r>
      <w:r w:rsidR="00FB4B97">
        <w:rPr>
          <w:rFonts w:ascii="Arial" w:hAnsi="Arial" w:cs="Arial"/>
        </w:rPr>
        <w:t> ;</w:t>
      </w:r>
      <w:r w:rsidRPr="006C47FD">
        <w:rPr>
          <w:rFonts w:ascii="Arial" w:hAnsi="Arial" w:cs="Arial"/>
        </w:rPr>
        <w:br/>
        <w:t>- École nationale supérieure Louis Lumière</w:t>
      </w:r>
      <w:r w:rsidR="00FB4B97">
        <w:rPr>
          <w:rFonts w:ascii="Arial" w:hAnsi="Arial" w:cs="Arial"/>
        </w:rPr>
        <w:t> ;</w:t>
      </w:r>
      <w:r w:rsidRPr="006C47FD">
        <w:rPr>
          <w:rFonts w:ascii="Arial" w:hAnsi="Arial" w:cs="Arial"/>
        </w:rPr>
        <w:br/>
        <w:t>- Institut national supérieur de formation et de recherche pour l'éducation des jeunes handicapés et les enseignements adaptés</w:t>
      </w:r>
      <w:r w:rsidR="00FB4B97">
        <w:rPr>
          <w:rFonts w:ascii="Arial" w:hAnsi="Arial" w:cs="Arial"/>
        </w:rPr>
        <w:t>.</w:t>
      </w:r>
    </w:p>
    <w:p w:rsidR="008F3743" w:rsidRPr="006C47FD" w:rsidRDefault="000D20EB">
      <w:pPr>
        <w:rPr>
          <w:rFonts w:ascii="Arial" w:hAnsi="Arial" w:cs="Arial"/>
        </w:rPr>
      </w:pPr>
      <w:r w:rsidRPr="006C47FD">
        <w:rPr>
          <w:rFonts w:ascii="Arial" w:hAnsi="Arial" w:cs="Arial"/>
        </w:rPr>
        <w:t xml:space="preserve">Les données géographiques reprennent les identifiants définis dans le </w:t>
      </w:r>
      <w:hyperlink r:id="rId8" w:history="1">
        <w:r w:rsidRPr="006C47FD">
          <w:rPr>
            <w:rStyle w:val="Lienhypertexte"/>
            <w:rFonts w:ascii="Arial" w:hAnsi="Arial" w:cs="Arial"/>
            <w:color w:val="auto"/>
          </w:rPr>
          <w:t>code officiel géographique</w:t>
        </w:r>
      </w:hyperlink>
      <w:r w:rsidRPr="006C47FD">
        <w:rPr>
          <w:rFonts w:ascii="Arial" w:hAnsi="Arial" w:cs="Arial"/>
        </w:rPr>
        <w:t xml:space="preserve"> auquel est accolé un préfixe pour les niveaux géographiques correspondant aux départements (D), aux académies (A) et aux régions</w:t>
      </w:r>
      <w:r w:rsidR="000E7181">
        <w:rPr>
          <w:rFonts w:ascii="Arial" w:hAnsi="Arial" w:cs="Arial"/>
        </w:rPr>
        <w:t xml:space="preserve"> anciennes et nouvelles</w:t>
      </w:r>
      <w:r w:rsidRPr="006C47FD">
        <w:rPr>
          <w:rFonts w:ascii="Arial" w:hAnsi="Arial" w:cs="Arial"/>
        </w:rPr>
        <w:t xml:space="preserve"> (R). </w:t>
      </w:r>
      <w:r w:rsidR="005F626B" w:rsidRPr="006C47FD">
        <w:rPr>
          <w:rFonts w:ascii="Arial" w:hAnsi="Arial" w:cs="Arial"/>
        </w:rPr>
        <w:t>Les identifiants des unités urbaines</w:t>
      </w:r>
      <w:r w:rsidR="007968D5" w:rsidRPr="006C47FD">
        <w:rPr>
          <w:rFonts w:ascii="Arial" w:hAnsi="Arial" w:cs="Arial"/>
        </w:rPr>
        <w:t xml:space="preserve"> (définition INSEE 2010)</w:t>
      </w:r>
      <w:r w:rsidR="005F626B" w:rsidRPr="006C47FD">
        <w:rPr>
          <w:rFonts w:ascii="Arial" w:hAnsi="Arial" w:cs="Arial"/>
        </w:rPr>
        <w:t xml:space="preserve"> sont préfixés avec les lettres UU. Les communes rurales et les communes des collectivités d’outre-mer sont respectivement </w:t>
      </w:r>
      <w:r w:rsidR="00D34426" w:rsidRPr="006C47FD">
        <w:rPr>
          <w:rFonts w:ascii="Arial" w:hAnsi="Arial" w:cs="Arial"/>
        </w:rPr>
        <w:t>identifiées</w:t>
      </w:r>
      <w:r w:rsidR="005F626B" w:rsidRPr="006C47FD">
        <w:rPr>
          <w:rFonts w:ascii="Arial" w:hAnsi="Arial" w:cs="Arial"/>
        </w:rPr>
        <w:t xml:space="preserve"> avec les </w:t>
      </w:r>
      <w:r w:rsidR="00D34426" w:rsidRPr="006C47FD">
        <w:rPr>
          <w:rFonts w:ascii="Arial" w:hAnsi="Arial" w:cs="Arial"/>
        </w:rPr>
        <w:t>préfixes</w:t>
      </w:r>
      <w:r w:rsidR="005F626B" w:rsidRPr="006C47FD">
        <w:rPr>
          <w:rFonts w:ascii="Arial" w:hAnsi="Arial" w:cs="Arial"/>
        </w:rPr>
        <w:t xml:space="preserve"> CR et TOM suivi du code </w:t>
      </w:r>
      <w:proofErr w:type="gramStart"/>
      <w:r w:rsidR="005F626B" w:rsidRPr="006C47FD">
        <w:rPr>
          <w:rFonts w:ascii="Arial" w:hAnsi="Arial" w:cs="Arial"/>
        </w:rPr>
        <w:t>commune</w:t>
      </w:r>
      <w:proofErr w:type="gramEnd"/>
      <w:r w:rsidR="005F626B" w:rsidRPr="006C47FD">
        <w:rPr>
          <w:rFonts w:ascii="Arial" w:hAnsi="Arial" w:cs="Arial"/>
        </w:rPr>
        <w:t>.</w:t>
      </w:r>
    </w:p>
    <w:p w:rsidR="00EE7629" w:rsidRDefault="00EE7629">
      <w:pPr>
        <w:rPr>
          <w:rFonts w:ascii="Arial" w:hAnsi="Arial" w:cs="Arial"/>
        </w:rPr>
      </w:pPr>
      <w:r w:rsidRPr="006C47FD">
        <w:rPr>
          <w:rFonts w:ascii="Arial" w:hAnsi="Arial" w:cs="Arial"/>
        </w:rPr>
        <w:t xml:space="preserve">Mayotte a changé de statut le 31 mars 2011, passant de collectivité d’outre-mer (COM) à département d’outre-mer (DOM). Ce changement de statut a été </w:t>
      </w:r>
      <w:proofErr w:type="spellStart"/>
      <w:r w:rsidRPr="006C47FD">
        <w:rPr>
          <w:rFonts w:ascii="Arial" w:hAnsi="Arial" w:cs="Arial"/>
        </w:rPr>
        <w:t>rétropolé</w:t>
      </w:r>
      <w:proofErr w:type="spellEnd"/>
      <w:r w:rsidRPr="006C47FD">
        <w:rPr>
          <w:rFonts w:ascii="Arial" w:hAnsi="Arial" w:cs="Arial"/>
        </w:rPr>
        <w:t xml:space="preserve"> sur l’ensemble de la série.</w:t>
      </w:r>
    </w:p>
    <w:p w:rsidR="0031555E" w:rsidRPr="0031555E" w:rsidRDefault="0031555E" w:rsidP="0031555E">
      <w:pPr>
        <w:rPr>
          <w:rFonts w:ascii="Arial" w:hAnsi="Arial" w:cs="Arial"/>
          <w:b/>
        </w:rPr>
      </w:pPr>
      <w:r w:rsidRPr="0031555E">
        <w:rPr>
          <w:rFonts w:ascii="Arial" w:hAnsi="Arial" w:cs="Arial"/>
          <w:b/>
        </w:rPr>
        <w:t>ESPE, Cadre National des Formations et conventions EPSCP–CPGE : impacts sur les évolutions d’effectifs mesurées</w:t>
      </w:r>
    </w:p>
    <w:p w:rsidR="0031555E" w:rsidRPr="0031555E" w:rsidRDefault="0031555E" w:rsidP="0031555E">
      <w:pPr>
        <w:rPr>
          <w:rFonts w:ascii="Arial" w:hAnsi="Arial" w:cs="Arial"/>
        </w:rPr>
      </w:pPr>
      <w:r w:rsidRPr="0031555E">
        <w:rPr>
          <w:rFonts w:ascii="Arial" w:hAnsi="Arial" w:cs="Arial"/>
        </w:rPr>
        <w:t>Créées par la loi 2013-595 du 8 juillet 2013, les écoles supérieures du professorat et de l’éducation (ESPE) forment les futurs enseignants de la maternelle au supérieur à compter de la rentrée 2013, remplaçant les instituts universitaires de formation des maîtres (IUFM). Ces nouvelles écoles organisent les formations du master MEEF (Métiers de l’Enseignement, de l’Education et de la Formation) dédié aux métiers de l’enseignement, de l’éducation et de la formation qui préparent aux nouveaux concours de recrutement. Du fait de la mise en place des ESPE, il n’est pas possible de réaliser des évolutions par établissements pour le cursus master et par extension sur les effectifs globaux, car tous les masters préparant aux concours d’enseignement n’étaient pas identifiés au sein des établissements les années précédentes. On considère dans l’enquête SISE que les masters MEEF et les « DU formation enseignement adaptée » sont les seules formations prises en charge par les ESPE. Les inscriptions pour les lauréats au concours sont possibles soit dans un M2 MEEF soit, pour les parcours adaptés définis par les commissions académiques, dans un« DU formation adaptée enseignement » spécifique (dispensés de diplôme ou déjà titulaire d’un master ne souhaitant pas se réinscrire en master MEEF). En 2013-2014, première année de mise en place des ESPE, les masters MEEF n’existaient qu’en M1.</w:t>
      </w:r>
    </w:p>
    <w:p w:rsidR="0031555E" w:rsidRPr="0031555E" w:rsidRDefault="0031555E" w:rsidP="0031555E">
      <w:pPr>
        <w:rPr>
          <w:rFonts w:ascii="Arial" w:hAnsi="Arial" w:cs="Arial"/>
        </w:rPr>
      </w:pPr>
      <w:r w:rsidRPr="0031555E">
        <w:rPr>
          <w:rFonts w:ascii="Arial" w:hAnsi="Arial" w:cs="Arial"/>
        </w:rPr>
        <w:t xml:space="preserve">Par ailleurs, deux nouvelles dispositions règlementaires impactent les évolutions observées cette année et créent des ruptures statistiques : </w:t>
      </w:r>
    </w:p>
    <w:p w:rsidR="0031555E" w:rsidRPr="0031555E" w:rsidRDefault="0031555E" w:rsidP="0031555E">
      <w:pPr>
        <w:rPr>
          <w:rFonts w:ascii="Arial" w:hAnsi="Arial" w:cs="Arial"/>
        </w:rPr>
      </w:pPr>
      <w:r w:rsidRPr="0031555E">
        <w:rPr>
          <w:rFonts w:ascii="Arial" w:hAnsi="Arial" w:cs="Arial"/>
        </w:rPr>
        <w:t>- Le nouveau Cadre National des Formations (CNF), mis en place pour les diplômes de Licence. Le CNF réduit considérablement le nombre d’intitulés de diplôme. Certains de ces intitulés sont devenus plus précis, conduisant à un classement par discipline plus aisé : c’est le cas des licences de sciences, moins fréquemment classées en « pluri-sciences », mais davantage en « sciences fondamentales et applications » ou en « sciences de la nature et de la vie ». À l’inverse, d’autres intitulés sont plus généraux, notamment dans les disciplines littéraires (Licence mention Humanités par exemple) et sont plus fréquemment classés en « pluri-lettres, langues, sciences humaines ».</w:t>
      </w:r>
    </w:p>
    <w:p w:rsidR="0031555E" w:rsidRDefault="0031555E" w:rsidP="0031555E">
      <w:pPr>
        <w:rPr>
          <w:rFonts w:ascii="Arial" w:hAnsi="Arial" w:cs="Arial"/>
        </w:rPr>
      </w:pPr>
      <w:r w:rsidRPr="0031555E">
        <w:rPr>
          <w:rFonts w:ascii="Arial" w:hAnsi="Arial" w:cs="Arial"/>
        </w:rPr>
        <w:lastRenderedPageBreak/>
        <w:t>- La mise en place progressive de conventions entre les lycées possédant des classes préparatoires aux grandes écoles (CPGE) et les Établissements publics à caractère scientifique, culturel et professionnel (EPSCP), dont font partie les universités, augmente significativement le nombre d’inscriptions en licence LMD à partir de cette année, même si les doubles inscriptions étaient déjà possibles et effectives auparavant. Les inscriptions comptabilisées en université incluent ces doubles inscriptions. Ces deux évolutions impactent surtout les effectifs détaillés par discipline en L1, filière qui accueille la grande majorité des nouveaux entrants. L’impact sur les effectifs totaux est plus marginal. Les évolutions tenant compte des doubles inscriptions sont à périmètre réglementaire constant.</w:t>
      </w:r>
    </w:p>
    <w:p w:rsidR="002747F8" w:rsidRDefault="002747F8" w:rsidP="0031555E">
      <w:pPr>
        <w:rPr>
          <w:rFonts w:ascii="Arial" w:hAnsi="Arial" w:cs="Arial"/>
        </w:rPr>
      </w:pPr>
      <w:r>
        <w:rPr>
          <w:rFonts w:ascii="Arial" w:hAnsi="Arial" w:cs="Arial"/>
        </w:rPr>
        <w:t>Variables</w:t>
      </w:r>
    </w:p>
    <w:tbl>
      <w:tblPr>
        <w:tblW w:w="98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5"/>
        <w:gridCol w:w="2601"/>
        <w:gridCol w:w="2937"/>
        <w:gridCol w:w="2717"/>
      </w:tblGrid>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jc w:val="center"/>
              <w:rPr>
                <w:rFonts w:ascii="Arial" w:hAnsi="Arial" w:cs="Arial"/>
                <w:b/>
                <w:color w:val="000000"/>
                <w:sz w:val="14"/>
                <w:szCs w:val="14"/>
                <w:lang w:eastAsia="fr-FR"/>
              </w:rPr>
            </w:pPr>
            <w:r w:rsidRPr="00F42C38">
              <w:rPr>
                <w:rFonts w:ascii="Arial" w:hAnsi="Arial" w:cs="Arial"/>
                <w:b/>
                <w:color w:val="000000"/>
                <w:sz w:val="14"/>
                <w:szCs w:val="14"/>
                <w:lang w:eastAsia="fr-FR"/>
              </w:rPr>
              <w:t>Variables</w:t>
            </w:r>
          </w:p>
        </w:tc>
        <w:tc>
          <w:tcPr>
            <w:tcW w:w="2620" w:type="dxa"/>
            <w:shd w:val="clear" w:color="auto" w:fill="auto"/>
            <w:vAlign w:val="center"/>
            <w:hideMark/>
          </w:tcPr>
          <w:p w:rsidR="00F42C38" w:rsidRPr="00F42C38" w:rsidRDefault="00F42C38" w:rsidP="00F42C38">
            <w:pPr>
              <w:spacing w:after="0" w:line="240" w:lineRule="auto"/>
              <w:jc w:val="center"/>
              <w:rPr>
                <w:rFonts w:ascii="Arial" w:hAnsi="Arial" w:cs="Arial"/>
                <w:b/>
                <w:color w:val="000000"/>
                <w:sz w:val="14"/>
                <w:szCs w:val="14"/>
                <w:lang w:eastAsia="fr-FR"/>
              </w:rPr>
            </w:pPr>
            <w:r w:rsidRPr="00F42C38">
              <w:rPr>
                <w:rFonts w:ascii="Arial" w:hAnsi="Arial" w:cs="Arial"/>
                <w:b/>
                <w:color w:val="000000"/>
                <w:sz w:val="14"/>
                <w:szCs w:val="14"/>
                <w:lang w:eastAsia="fr-FR"/>
              </w:rPr>
              <w:t>Description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b/>
                <w:color w:val="000000"/>
                <w:sz w:val="14"/>
                <w:szCs w:val="14"/>
                <w:lang w:eastAsia="fr-FR"/>
              </w:rPr>
            </w:pPr>
            <w:r w:rsidRPr="00F42C38">
              <w:rPr>
                <w:rFonts w:ascii="Arial" w:hAnsi="Arial" w:cs="Arial"/>
                <w:b/>
                <w:color w:val="000000"/>
                <w:sz w:val="14"/>
                <w:szCs w:val="14"/>
                <w:lang w:eastAsia="fr-FR"/>
              </w:rPr>
              <w:t>Exemple 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b/>
                <w:color w:val="000000"/>
                <w:sz w:val="14"/>
                <w:szCs w:val="14"/>
                <w:lang w:eastAsia="fr-FR"/>
              </w:rPr>
            </w:pPr>
            <w:r w:rsidRPr="00F42C38">
              <w:rPr>
                <w:rFonts w:ascii="Arial" w:hAnsi="Arial" w:cs="Arial"/>
                <w:b/>
                <w:color w:val="000000"/>
                <w:sz w:val="14"/>
                <w:szCs w:val="14"/>
                <w:lang w:eastAsia="fr-FR"/>
              </w:rPr>
              <w:t>Exemple 2</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rentree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Rentrée universitaire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2016</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2016</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rentree_lib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2016-17</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2016-17</w:t>
            </w:r>
          </w:p>
        </w:tc>
      </w:tr>
      <w:tr w:rsidR="00F42C38" w:rsidRPr="00F42C38" w:rsidTr="00F42C38">
        <w:trPr>
          <w:trHeight w:val="36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etablissement_type2</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Type d'établissement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Université</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École supérieure du professorat et de l'éducation</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etablissement_type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Typologie d'établissement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TYPO22</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ESPE</w:t>
            </w:r>
          </w:p>
        </w:tc>
      </w:tr>
      <w:tr w:rsidR="00F42C38" w:rsidRPr="00F42C38" w:rsidTr="00F42C38">
        <w:trPr>
          <w:trHeight w:val="36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etablissement_type_lib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Universités pluridisciplinaires hors santé</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Écoles supérieures du professorat et de l'éducation</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etablissement</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0561718N</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0352863X</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etablissement_lib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Université de Bretagne-Sud</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ESPE de Bretagne</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etablissement_sigle</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Sigle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UBS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element_wikidata</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 xml:space="preserve">Élément </w:t>
            </w:r>
            <w:proofErr w:type="spellStart"/>
            <w:r w:rsidRPr="00F42C38">
              <w:rPr>
                <w:rFonts w:ascii="Arial" w:hAnsi="Arial" w:cs="Arial"/>
                <w:sz w:val="14"/>
                <w:szCs w:val="14"/>
                <w:lang w:eastAsia="fr-FR"/>
              </w:rPr>
              <w:t>wikidata</w:t>
            </w:r>
            <w:proofErr w:type="spellEnd"/>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https://www.wikidata.org/entity/Q1125958</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identifiant_eter</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Identifiant ETER</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FR0108</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FR0293</w:t>
            </w:r>
          </w:p>
        </w:tc>
      </w:tr>
      <w:tr w:rsidR="00F42C38" w:rsidRPr="00F42C38" w:rsidTr="00F42C38">
        <w:trPr>
          <w:trHeight w:val="54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champ_statistique</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 xml:space="preserve">Champ statistique (universités et établissements assimilés France </w:t>
            </w:r>
            <w:proofErr w:type="spellStart"/>
            <w:r w:rsidRPr="00F42C38">
              <w:rPr>
                <w:rFonts w:ascii="Arial" w:hAnsi="Arial" w:cs="Arial"/>
                <w:sz w:val="14"/>
                <w:szCs w:val="14"/>
                <w:lang w:eastAsia="fr-FR"/>
              </w:rPr>
              <w:t>métro+DOM</w:t>
            </w:r>
            <w:proofErr w:type="spellEnd"/>
            <w:r w:rsidRPr="00F42C38">
              <w:rPr>
                <w:rFonts w:ascii="Arial" w:hAnsi="Arial" w:cs="Arial"/>
                <w:sz w:val="14"/>
                <w:szCs w:val="14"/>
                <w:lang w:eastAsia="fr-FR"/>
              </w:rPr>
              <w: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oui</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oui</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dn_de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Type de diplôme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DN</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DN</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dn_de_lib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Diplômes nationaux</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Diplômes nationaux</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cursus_lmd</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CURSUS_LMD</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cursus_lmd_lib</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Cycle universitaire (cursus LMD)</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2ème cycle</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2ème cycle</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diplome_rgp</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Regroupement de diplômes</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Master</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Master</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diplome</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DIPLOME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MAST_M_AUTRES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MAST_M_ENSEIGNEMENT</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diplome_lib</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Diplôme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Autres masters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Master enseignement</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typ_diplome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Type de diplôme ou de formation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XB</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XD</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typ_diplome_lib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Master LMD</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Master enseignement</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diplom</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Code diplôme SISE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2214734</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2500249</w:t>
            </w:r>
          </w:p>
        </w:tc>
      </w:tr>
      <w:tr w:rsidR="00F42C38" w:rsidRPr="00F42C38" w:rsidTr="00F42C38">
        <w:trPr>
          <w:trHeight w:val="54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libelle_intitule_1</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Libellé du diplôme ou de la formation 1</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DROIT, ECONOMIE, GESTION : DROIT PUBLIC DROIT PRIVE</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METIERS DE L'ENSEIGNEMENT, DE L'EDUCATION ET DE LA FORMATION (MEEF), 2e DEGRE</w:t>
            </w:r>
          </w:p>
        </w:tc>
      </w:tr>
      <w:tr w:rsidR="00F42C38" w:rsidRPr="00F42C38" w:rsidTr="00F42C38">
        <w:trPr>
          <w:trHeight w:val="548"/>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libelle_intitule_2</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Libellé du diplôme ou de la formation 2</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PRATIQUE CONTRACTUELLE ET CONTENTIEUX DES AFFAIRES (GESTION DES RISQUES JURIDIQUES)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niveau</w:t>
            </w:r>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Niveau dans le diplôme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01</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niveau_lib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1ère année</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1ère année</w:t>
            </w:r>
          </w:p>
        </w:tc>
      </w:tr>
      <w:tr w:rsidR="00F42C38" w:rsidRPr="00F42C38" w:rsidTr="00F42C38">
        <w:trPr>
          <w:trHeight w:val="54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disciplines_selection</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Sélection disciplinaire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Droit, sciences économiques, AES&gt;Droit, sciences politiques&gt;Sciences juridiques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Lettres, langues et sciences humaines&gt;Sciences humaines et sociales&gt;Sciences de l'éducation</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gd_disciscipline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Grande discipline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DSA</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LLSH</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gd_disciscipline_lib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Droit, sciences économiques, AES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Lettres, langues et sciences humaines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discipline</w:t>
            </w:r>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Discipline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06</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discipline_lib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Droit, sciences politiques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Sciences humaines et sociales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sect_disciplinaire</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Secteur disciplinaire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36</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34</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sect_disciplinaire_lib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Sciences juridiques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Sciences de l'éducation</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spec_dut_rgp_lib</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Regroupement des spécialités de DUT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Sans objet</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Sans objet</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spec_dut</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Spécialité de DUT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AUTRES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AUTRES</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spec_dut_lib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Sans objet</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Sans objet</w:t>
            </w:r>
          </w:p>
        </w:tc>
      </w:tr>
      <w:tr w:rsidR="00F42C38" w:rsidRPr="00F42C38" w:rsidTr="00F42C38">
        <w:trPr>
          <w:trHeight w:val="36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effectif</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Nombre d'étudiants inscrits (inscriptions principales)</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25</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28</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femmes</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Dont femmes</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20</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r w:rsidRPr="00F42C38">
              <w:rPr>
                <w:rFonts w:ascii="Arial" w:hAnsi="Arial" w:cs="Arial"/>
                <w:color w:val="000000"/>
                <w:sz w:val="14"/>
                <w:szCs w:val="14"/>
                <w:lang w:eastAsia="fr-FR"/>
              </w:rPr>
              <w:t>hommes</w:t>
            </w:r>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Dont hommes</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4</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8</w:t>
            </w:r>
          </w:p>
        </w:tc>
      </w:tr>
      <w:tr w:rsidR="00F42C38" w:rsidRPr="00F42C38" w:rsidTr="00F42C38">
        <w:trPr>
          <w:trHeight w:val="54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lastRenderedPageBreak/>
              <w:t>effectif_sans_cpge</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Nombre d'étudiants inscrits (inscriptions principales) hors étudiants inscrits en parallèle en CPGE</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25</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28</w:t>
            </w:r>
          </w:p>
        </w:tc>
      </w:tr>
      <w:tr w:rsidR="00F42C38" w:rsidRPr="00F42C38" w:rsidTr="00F42C38">
        <w:trPr>
          <w:trHeight w:val="360"/>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effectif_total</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Nombre total d'étudiants inscrits (inscriptions principales et secondes)</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25</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29</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localisation_etab</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Localisation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Bretagne&gt;Rennes&gt;Morbihan&gt;Lorient</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Bretagne&gt;Rennes&gt;Ille-et-Vilaine&gt;Rennes</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localisation_ins</w:t>
            </w:r>
            <w:proofErr w:type="spellEnd"/>
          </w:p>
        </w:tc>
        <w:tc>
          <w:tcPr>
            <w:tcW w:w="2620" w:type="dxa"/>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Localisation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Bretagne&gt;Rennes&gt;Morbihan&gt;Vannes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Bretagne&gt;Rennes&gt;Morbihan&gt;Vannes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com_etab</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Commune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56121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35238</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com_etab_lib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Lorient</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uucr_etab</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Unité urbaine ou commune rurale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UU56601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UU35701</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uucr_etab_lib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Lorient</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dep_etab</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Département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D056</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D035</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dep_etab_lib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Morbihan</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Ille-et-Vilaine</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aca_etab</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Académie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A14</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A14</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aca_etab_lib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reg_etab</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Région du siège de l’établissement</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R53</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R53</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reg_etab_lib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com_ins</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Commune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56260</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56260</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com_ins_lib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Vannes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Vannes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uucr_ins</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Unité urbaine ou commune rurale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UU56501</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UU56501</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uucr_ins_lib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Vannes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Vannes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dep_ins</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Département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D056</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D056</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dep_ins_lib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Morbihan</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Morbihan</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aca_ins</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Académie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A14</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A14</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aca_ins_lib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Rennes</w:t>
            </w:r>
          </w:p>
        </w:tc>
      </w:tr>
      <w:tr w:rsidR="00F42C38" w:rsidRPr="00F42C38" w:rsidTr="00F42C38">
        <w:trPr>
          <w:trHeight w:val="285"/>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reg_ins</w:t>
            </w:r>
            <w:proofErr w:type="spellEnd"/>
          </w:p>
        </w:tc>
        <w:tc>
          <w:tcPr>
            <w:tcW w:w="2620" w:type="dxa"/>
            <w:vMerge w:val="restart"/>
            <w:shd w:val="clear" w:color="auto" w:fill="auto"/>
            <w:vAlign w:val="center"/>
            <w:hideMark/>
          </w:tcPr>
          <w:p w:rsidR="00F42C38" w:rsidRPr="00F42C38" w:rsidRDefault="00F42C38" w:rsidP="00F42C38">
            <w:pPr>
              <w:spacing w:after="0" w:line="240" w:lineRule="auto"/>
              <w:rPr>
                <w:rFonts w:ascii="Arial" w:hAnsi="Arial" w:cs="Arial"/>
                <w:sz w:val="14"/>
                <w:szCs w:val="14"/>
                <w:lang w:eastAsia="fr-FR"/>
              </w:rPr>
            </w:pPr>
            <w:r w:rsidRPr="00F42C38">
              <w:rPr>
                <w:rFonts w:ascii="Arial" w:hAnsi="Arial" w:cs="Arial"/>
                <w:sz w:val="14"/>
                <w:szCs w:val="14"/>
                <w:lang w:eastAsia="fr-FR"/>
              </w:rPr>
              <w:t>Région de l'unité d'inscription</w:t>
            </w: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R53</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R53</w:t>
            </w:r>
          </w:p>
        </w:tc>
      </w:tr>
      <w:tr w:rsidR="00F42C38" w:rsidRPr="00F42C38" w:rsidTr="00F42C38">
        <w:trPr>
          <w:trHeight w:val="203"/>
        </w:trPr>
        <w:tc>
          <w:tcPr>
            <w:tcW w:w="1540" w:type="dxa"/>
            <w:shd w:val="clear" w:color="auto" w:fill="auto"/>
            <w:vAlign w:val="center"/>
            <w:hideMark/>
          </w:tcPr>
          <w:p w:rsidR="00F42C38" w:rsidRPr="00F42C38" w:rsidRDefault="00F42C38" w:rsidP="00F42C38">
            <w:pPr>
              <w:spacing w:after="0" w:line="240" w:lineRule="auto"/>
              <w:rPr>
                <w:rFonts w:ascii="Arial" w:hAnsi="Arial" w:cs="Arial"/>
                <w:color w:val="000000"/>
                <w:sz w:val="14"/>
                <w:szCs w:val="14"/>
                <w:lang w:eastAsia="fr-FR"/>
              </w:rPr>
            </w:pPr>
            <w:proofErr w:type="spellStart"/>
            <w:r w:rsidRPr="00F42C38">
              <w:rPr>
                <w:rFonts w:ascii="Arial" w:hAnsi="Arial" w:cs="Arial"/>
                <w:color w:val="000000"/>
                <w:sz w:val="14"/>
                <w:szCs w:val="14"/>
                <w:lang w:eastAsia="fr-FR"/>
              </w:rPr>
              <w:t>reg_ins_lib</w:t>
            </w:r>
            <w:proofErr w:type="spellEnd"/>
          </w:p>
        </w:tc>
        <w:tc>
          <w:tcPr>
            <w:tcW w:w="2620" w:type="dxa"/>
            <w:vMerge/>
            <w:vAlign w:val="center"/>
            <w:hideMark/>
          </w:tcPr>
          <w:p w:rsidR="00F42C38" w:rsidRPr="00F42C38" w:rsidRDefault="00F42C38" w:rsidP="00F42C38">
            <w:pPr>
              <w:spacing w:after="0" w:line="240" w:lineRule="auto"/>
              <w:rPr>
                <w:rFonts w:ascii="Arial" w:hAnsi="Arial" w:cs="Arial"/>
                <w:sz w:val="14"/>
                <w:szCs w:val="14"/>
                <w:lang w:eastAsia="fr-FR"/>
              </w:rPr>
            </w:pPr>
          </w:p>
        </w:tc>
        <w:tc>
          <w:tcPr>
            <w:tcW w:w="294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w:t>
            </w:r>
          </w:p>
        </w:tc>
        <w:tc>
          <w:tcPr>
            <w:tcW w:w="2720" w:type="dxa"/>
            <w:shd w:val="clear" w:color="auto" w:fill="auto"/>
            <w:vAlign w:val="center"/>
            <w:hideMark/>
          </w:tcPr>
          <w:p w:rsidR="00F42C38" w:rsidRPr="00F42C38" w:rsidRDefault="00F42C38" w:rsidP="00F42C38">
            <w:pPr>
              <w:spacing w:after="0" w:line="240" w:lineRule="auto"/>
              <w:jc w:val="center"/>
              <w:rPr>
                <w:rFonts w:ascii="Arial" w:hAnsi="Arial" w:cs="Arial"/>
                <w:color w:val="000000"/>
                <w:sz w:val="14"/>
                <w:szCs w:val="14"/>
                <w:lang w:eastAsia="fr-FR"/>
              </w:rPr>
            </w:pPr>
            <w:r w:rsidRPr="00F42C38">
              <w:rPr>
                <w:rFonts w:ascii="Arial" w:hAnsi="Arial" w:cs="Arial"/>
                <w:color w:val="000000"/>
                <w:sz w:val="14"/>
                <w:szCs w:val="14"/>
                <w:lang w:eastAsia="fr-FR"/>
              </w:rPr>
              <w:t>Bretagne</w:t>
            </w:r>
          </w:p>
        </w:tc>
      </w:tr>
    </w:tbl>
    <w:p w:rsidR="00F42C38" w:rsidRDefault="00F42C38" w:rsidP="00CC2F98">
      <w:pPr>
        <w:rPr>
          <w:rFonts w:ascii="Arial" w:hAnsi="Arial" w:cs="Arial"/>
        </w:rPr>
      </w:pPr>
    </w:p>
    <w:p w:rsidR="00CC2F98" w:rsidRDefault="00CC2F98" w:rsidP="00CC2F98">
      <w:pPr>
        <w:rPr>
          <w:rFonts w:ascii="Arial" w:hAnsi="Arial" w:cs="Arial"/>
        </w:rPr>
      </w:pPr>
      <w:r w:rsidRPr="006C47FD">
        <w:rPr>
          <w:rFonts w:ascii="Arial" w:hAnsi="Arial" w:cs="Arial"/>
        </w:rPr>
        <w:t>Types d’établissements</w:t>
      </w:r>
    </w:p>
    <w:tbl>
      <w:tblPr>
        <w:tblW w:w="0" w:type="auto"/>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5827"/>
      </w:tblGrid>
      <w:tr w:rsidR="00CC2F98" w:rsidRPr="001F665E" w:rsidTr="00CC2F98">
        <w:tc>
          <w:tcPr>
            <w:tcW w:w="5827" w:type="dxa"/>
            <w:shd w:val="clear" w:color="auto" w:fill="4BACC6" w:themeFill="accent5"/>
            <w:noWrap/>
          </w:tcPr>
          <w:p w:rsidR="00CC2F98" w:rsidRPr="001F665E" w:rsidRDefault="00CC2F98" w:rsidP="00CC2F98">
            <w:pPr>
              <w:spacing w:before="20" w:after="20" w:line="240" w:lineRule="auto"/>
              <w:rPr>
                <w:rFonts w:ascii="Arial" w:hAnsi="Arial" w:cs="Arial"/>
                <w:color w:val="000000"/>
                <w:sz w:val="16"/>
                <w:szCs w:val="16"/>
                <w:lang w:eastAsia="fr-FR"/>
              </w:rPr>
            </w:pPr>
            <w:r w:rsidRPr="00392DC0">
              <w:rPr>
                <w:rFonts w:ascii="Arial" w:hAnsi="Arial" w:cs="Arial"/>
                <w:color w:val="000000"/>
                <w:sz w:val="16"/>
                <w:szCs w:val="16"/>
                <w:lang w:eastAsia="fr-FR"/>
              </w:rPr>
              <w:t>ETABLISSEMENT_TYPE2</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Communauté d'universités et établissements</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École normale supérieure</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École supérieure du professorat et de l'éducation</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Écoles habilitées à délivrer un diplôme d'ingénieur</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Écoles nationales supérieures d'ingénieurs</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Établissements d'enseignement supérieur privés rattachés à un EPSCP</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Grand établissement</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Institut national polytechnique</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Institut universitaire de formation des maîtres</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Instituts et écoles extérieurs aux universités</w:t>
            </w:r>
          </w:p>
        </w:tc>
      </w:tr>
      <w:tr w:rsidR="00CC2F98" w:rsidRPr="00392DC0" w:rsidTr="00CC2F98">
        <w:tc>
          <w:tcPr>
            <w:tcW w:w="5827" w:type="dxa"/>
            <w:shd w:val="clear" w:color="auto" w:fill="auto"/>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Université</w:t>
            </w:r>
          </w:p>
        </w:tc>
      </w:tr>
      <w:tr w:rsidR="00CC2F98" w:rsidRPr="00392DC0" w:rsidTr="00CC2F98">
        <w:tc>
          <w:tcPr>
            <w:tcW w:w="5827" w:type="dxa"/>
            <w:shd w:val="clear" w:color="auto" w:fill="F2F2F2" w:themeFill="background1" w:themeFillShade="F2"/>
            <w:noWrap/>
            <w:hideMark/>
          </w:tcPr>
          <w:p w:rsidR="00CC2F98" w:rsidRPr="00392DC0" w:rsidRDefault="00CC2F98" w:rsidP="00CC2F98">
            <w:pPr>
              <w:spacing w:before="20" w:after="20" w:line="240" w:lineRule="auto"/>
              <w:rPr>
                <w:rFonts w:ascii="Arial" w:hAnsi="Arial" w:cs="Arial"/>
                <w:sz w:val="16"/>
                <w:szCs w:val="16"/>
              </w:rPr>
            </w:pPr>
            <w:r w:rsidRPr="00392DC0">
              <w:rPr>
                <w:rFonts w:ascii="Arial" w:hAnsi="Arial" w:cs="Arial"/>
                <w:sz w:val="16"/>
                <w:szCs w:val="16"/>
              </w:rPr>
              <w:t>Autre établissement</w:t>
            </w:r>
          </w:p>
        </w:tc>
      </w:tr>
    </w:tbl>
    <w:p w:rsidR="00CC2F98" w:rsidRPr="006C47FD" w:rsidRDefault="00CC2F98" w:rsidP="00CC2F98">
      <w:pPr>
        <w:rPr>
          <w:rFonts w:ascii="Arial" w:hAnsi="Arial" w:cs="Arial"/>
        </w:rPr>
      </w:pPr>
    </w:p>
    <w:tbl>
      <w:tblPr>
        <w:tblW w:w="0" w:type="auto"/>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72"/>
        <w:gridCol w:w="3855"/>
      </w:tblGrid>
      <w:tr w:rsidR="00CC2F98" w:rsidRPr="00870EE9" w:rsidTr="00CC2F98">
        <w:tc>
          <w:tcPr>
            <w:tcW w:w="0" w:type="auto"/>
            <w:shd w:val="clear" w:color="auto" w:fill="4BACC6" w:themeFill="accent5"/>
            <w:noWrap/>
          </w:tcPr>
          <w:p w:rsidR="00CC2F98" w:rsidRPr="00870EE9" w:rsidRDefault="00CC2F98" w:rsidP="00CC2F98">
            <w:pPr>
              <w:spacing w:before="20" w:after="20" w:line="240" w:lineRule="auto"/>
              <w:rPr>
                <w:rFonts w:ascii="Arial" w:hAnsi="Arial" w:cs="Arial"/>
                <w:color w:val="000000"/>
                <w:sz w:val="16"/>
                <w:szCs w:val="16"/>
                <w:lang w:eastAsia="fr-FR"/>
              </w:rPr>
            </w:pPr>
            <w:r w:rsidRPr="00870EE9">
              <w:rPr>
                <w:rFonts w:ascii="Arial" w:hAnsi="Arial" w:cs="Arial"/>
                <w:color w:val="000000"/>
                <w:sz w:val="16"/>
                <w:szCs w:val="16"/>
                <w:lang w:eastAsia="fr-FR"/>
              </w:rPr>
              <w:t>ETABLISSEMENT_TYPE</w:t>
            </w:r>
          </w:p>
        </w:tc>
        <w:tc>
          <w:tcPr>
            <w:tcW w:w="3855" w:type="dxa"/>
            <w:shd w:val="clear" w:color="auto" w:fill="4BACC6"/>
            <w:noWrap/>
          </w:tcPr>
          <w:p w:rsidR="00CC2F98" w:rsidRPr="00870EE9" w:rsidRDefault="00CC2F98" w:rsidP="00CC2F98">
            <w:pPr>
              <w:spacing w:before="20" w:after="20" w:line="240" w:lineRule="auto"/>
              <w:rPr>
                <w:rFonts w:ascii="Arial" w:hAnsi="Arial" w:cs="Arial"/>
                <w:color w:val="000000"/>
                <w:sz w:val="16"/>
                <w:szCs w:val="16"/>
                <w:lang w:eastAsia="fr-FR"/>
              </w:rPr>
            </w:pPr>
            <w:proofErr w:type="spellStart"/>
            <w:r w:rsidRPr="00870EE9">
              <w:rPr>
                <w:rFonts w:ascii="Arial" w:hAnsi="Arial" w:cs="Arial"/>
                <w:color w:val="000000"/>
                <w:sz w:val="16"/>
                <w:szCs w:val="16"/>
                <w:lang w:eastAsia="fr-FR"/>
              </w:rPr>
              <w:t>ETABLISSEMENT_TYPE_lib</w:t>
            </w:r>
            <w:proofErr w:type="spellEnd"/>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TYPO10</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scientifiques et/ou médicales</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TYPO21</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pluridisciplinaires avec santé</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TYPO22</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pluridisciplinaires hors santé</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TYPO31</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tertiaires - lettres et sc. Humaines</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TYPO32</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tertiaires - droit et économie</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TYPO99</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Communautés d'universités et établissements</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IUFM</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Instituts universitaires de formation des maîtres</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ESPE</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Écoles supérieures du professorat et de l'éducation</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UT</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Universités de technologie</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IPINP</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Instituts polytechniques</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ECENTRALE</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Écoles centrales</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lastRenderedPageBreak/>
              <w:t>ENI</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Écoles nationales d'ingénieurs</w:t>
            </w:r>
          </w:p>
        </w:tc>
      </w:tr>
      <w:tr w:rsidR="00CC2F98" w:rsidRPr="00870EE9" w:rsidTr="00CC2F98">
        <w:tc>
          <w:tcPr>
            <w:tcW w:w="0" w:type="auto"/>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ENSCHIMIE</w:t>
            </w:r>
          </w:p>
        </w:tc>
        <w:tc>
          <w:tcPr>
            <w:tcW w:w="3855" w:type="dxa"/>
            <w:shd w:val="clear" w:color="auto" w:fill="auto"/>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Écoles nationales supérieures de chimie</w:t>
            </w:r>
          </w:p>
        </w:tc>
      </w:tr>
      <w:tr w:rsidR="00CC2F98" w:rsidRPr="00870EE9" w:rsidTr="00CC2F98">
        <w:tc>
          <w:tcPr>
            <w:tcW w:w="0" w:type="auto"/>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ENSI</w:t>
            </w:r>
          </w:p>
        </w:tc>
        <w:tc>
          <w:tcPr>
            <w:tcW w:w="3855" w:type="dxa"/>
            <w:shd w:val="clear" w:color="auto" w:fill="F2F2F2" w:themeFill="background1" w:themeFillShade="F2"/>
            <w:noWrap/>
            <w:hideMark/>
          </w:tcPr>
          <w:p w:rsidR="00CC2F98" w:rsidRPr="00870EE9" w:rsidRDefault="00CC2F98" w:rsidP="00CC2F98">
            <w:pPr>
              <w:spacing w:beforeLines="20" w:before="48" w:afterLines="20" w:after="48" w:line="240" w:lineRule="auto"/>
              <w:rPr>
                <w:rFonts w:ascii="Arial" w:hAnsi="Arial" w:cs="Arial"/>
                <w:sz w:val="16"/>
                <w:szCs w:val="16"/>
              </w:rPr>
            </w:pPr>
            <w:r w:rsidRPr="00E70857">
              <w:rPr>
                <w:rFonts w:ascii="Arial" w:hAnsi="Arial" w:cs="Arial"/>
                <w:sz w:val="16"/>
                <w:szCs w:val="16"/>
              </w:rPr>
              <w:t>École nationale supérieure d'ingénieurs</w:t>
            </w:r>
          </w:p>
        </w:tc>
      </w:tr>
      <w:tr w:rsidR="00CC2F98" w:rsidRPr="00870EE9" w:rsidTr="00CC2F98">
        <w:tc>
          <w:tcPr>
            <w:tcW w:w="0" w:type="auto"/>
            <w:shd w:val="clear" w:color="auto" w:fill="auto"/>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INSA</w:t>
            </w:r>
          </w:p>
        </w:tc>
        <w:tc>
          <w:tcPr>
            <w:tcW w:w="3855" w:type="dxa"/>
            <w:shd w:val="clear" w:color="auto" w:fill="auto"/>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Instituts nationaux de sciences appliquées</w:t>
            </w:r>
          </w:p>
        </w:tc>
      </w:tr>
      <w:tr w:rsidR="00CC2F98" w:rsidRPr="00870EE9" w:rsidTr="00CC2F98">
        <w:tc>
          <w:tcPr>
            <w:tcW w:w="0" w:type="auto"/>
            <w:shd w:val="clear" w:color="auto" w:fill="F2F2F2" w:themeFill="background1" w:themeFillShade="F2"/>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INGAUTRE</w:t>
            </w:r>
          </w:p>
        </w:tc>
        <w:tc>
          <w:tcPr>
            <w:tcW w:w="3855" w:type="dxa"/>
            <w:shd w:val="clear" w:color="auto" w:fill="F2F2F2" w:themeFill="background1" w:themeFillShade="F2"/>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Autres écoles d'ingénieurs</w:t>
            </w:r>
          </w:p>
        </w:tc>
      </w:tr>
      <w:tr w:rsidR="00CC2F98" w:rsidRPr="00870EE9" w:rsidTr="00CC2F98">
        <w:tc>
          <w:tcPr>
            <w:tcW w:w="0" w:type="auto"/>
            <w:shd w:val="clear" w:color="auto" w:fill="auto"/>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ENS</w:t>
            </w:r>
          </w:p>
        </w:tc>
        <w:tc>
          <w:tcPr>
            <w:tcW w:w="3855" w:type="dxa"/>
            <w:shd w:val="clear" w:color="auto" w:fill="auto"/>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Écoles normales supérieures</w:t>
            </w:r>
          </w:p>
        </w:tc>
      </w:tr>
      <w:tr w:rsidR="00CC2F98" w:rsidRPr="00870EE9" w:rsidTr="00CC2F98">
        <w:tc>
          <w:tcPr>
            <w:tcW w:w="0" w:type="auto"/>
            <w:shd w:val="clear" w:color="auto" w:fill="F2F2F2" w:themeFill="background1" w:themeFillShade="F2"/>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IEP</w:t>
            </w:r>
          </w:p>
        </w:tc>
        <w:tc>
          <w:tcPr>
            <w:tcW w:w="3855" w:type="dxa"/>
            <w:shd w:val="clear" w:color="auto" w:fill="F2F2F2" w:themeFill="background1" w:themeFillShade="F2"/>
            <w:noWrap/>
            <w:vAlign w:val="center"/>
            <w:hideMark/>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Instituts d'études politiques</w:t>
            </w:r>
          </w:p>
        </w:tc>
      </w:tr>
      <w:tr w:rsidR="00CC2F98" w:rsidRPr="00870EE9" w:rsidTr="00CC2F98">
        <w:tc>
          <w:tcPr>
            <w:tcW w:w="0" w:type="auto"/>
            <w:shd w:val="clear" w:color="auto" w:fill="auto"/>
            <w:noWrap/>
            <w:vAlign w:val="center"/>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AUTRE</w:t>
            </w:r>
          </w:p>
        </w:tc>
        <w:tc>
          <w:tcPr>
            <w:tcW w:w="3855" w:type="dxa"/>
            <w:shd w:val="clear" w:color="auto" w:fill="auto"/>
            <w:noWrap/>
            <w:vAlign w:val="center"/>
          </w:tcPr>
          <w:p w:rsidR="00CC2F98" w:rsidRPr="00870EE9" w:rsidRDefault="00CC2F98" w:rsidP="00CC2F98">
            <w:pPr>
              <w:spacing w:beforeLines="20" w:before="48" w:afterLines="20" w:after="48" w:line="240" w:lineRule="auto"/>
              <w:rPr>
                <w:rFonts w:ascii="Arial" w:hAnsi="Arial" w:cs="Arial"/>
                <w:sz w:val="16"/>
                <w:szCs w:val="16"/>
              </w:rPr>
            </w:pPr>
            <w:r w:rsidRPr="00870EE9">
              <w:rPr>
                <w:rFonts w:ascii="Arial" w:hAnsi="Arial" w:cs="Arial"/>
                <w:sz w:val="16"/>
                <w:szCs w:val="16"/>
              </w:rPr>
              <w:t>Autres établissements</w:t>
            </w:r>
          </w:p>
        </w:tc>
      </w:tr>
    </w:tbl>
    <w:p w:rsidR="00CC2F98" w:rsidRPr="006C47FD" w:rsidRDefault="00CC2F98" w:rsidP="00CC2F98">
      <w:pPr>
        <w:rPr>
          <w:rFonts w:ascii="Arial" w:hAnsi="Arial" w:cs="Arial"/>
        </w:rPr>
      </w:pPr>
    </w:p>
    <w:p w:rsidR="00CC2F98" w:rsidRDefault="00CC2F98" w:rsidP="00CC2F98">
      <w:pPr>
        <w:rPr>
          <w:rFonts w:ascii="Arial" w:hAnsi="Arial" w:cs="Arial"/>
        </w:rPr>
      </w:pPr>
      <w:r>
        <w:rPr>
          <w:rFonts w:ascii="Arial" w:hAnsi="Arial" w:cs="Arial"/>
        </w:rPr>
        <w:t>Formations</w:t>
      </w:r>
    </w:p>
    <w:tbl>
      <w:tblPr>
        <w:tblW w:w="857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200"/>
        <w:gridCol w:w="2176"/>
        <w:gridCol w:w="3200"/>
      </w:tblGrid>
      <w:tr w:rsidR="00CC2F98" w:rsidRPr="00A83A84" w:rsidTr="00CC2F98">
        <w:trPr>
          <w:trHeight w:val="300"/>
        </w:trPr>
        <w:tc>
          <w:tcPr>
            <w:tcW w:w="3200" w:type="dxa"/>
            <w:shd w:val="clear" w:color="auto" w:fill="4BACC6"/>
            <w:noWrap/>
            <w:vAlign w:val="bottom"/>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 xml:space="preserve">DIPLOME </w:t>
            </w:r>
            <w:proofErr w:type="spellStart"/>
            <w:r w:rsidRPr="00A83A84">
              <w:rPr>
                <w:rFonts w:ascii="Arial" w:hAnsi="Arial" w:cs="Arial"/>
                <w:sz w:val="16"/>
                <w:szCs w:val="16"/>
                <w:lang w:eastAsia="fr-FR"/>
              </w:rPr>
              <w:t>rgp</w:t>
            </w:r>
            <w:proofErr w:type="spellEnd"/>
          </w:p>
        </w:tc>
        <w:tc>
          <w:tcPr>
            <w:tcW w:w="2176" w:type="dxa"/>
            <w:shd w:val="clear" w:color="auto" w:fill="4BACC6"/>
            <w:noWrap/>
            <w:vAlign w:val="bottom"/>
            <w:hideMark/>
          </w:tcPr>
          <w:p w:rsidR="00CC2F98" w:rsidRPr="00A83A84" w:rsidRDefault="00CC2F98" w:rsidP="00CC2F98">
            <w:pPr>
              <w:spacing w:beforeLines="20" w:before="48" w:afterLines="20" w:after="48" w:line="240" w:lineRule="auto"/>
              <w:rPr>
                <w:rFonts w:ascii="Arial" w:hAnsi="Arial" w:cs="Arial"/>
                <w:sz w:val="16"/>
                <w:szCs w:val="16"/>
                <w:lang w:eastAsia="fr-FR"/>
              </w:rPr>
            </w:pPr>
            <w:proofErr w:type="spellStart"/>
            <w:r w:rsidRPr="00A83A84">
              <w:rPr>
                <w:rFonts w:ascii="Arial" w:hAnsi="Arial" w:cs="Arial"/>
                <w:sz w:val="16"/>
                <w:szCs w:val="16"/>
                <w:lang w:eastAsia="fr-FR"/>
              </w:rPr>
              <w:t>Diplome</w:t>
            </w:r>
            <w:proofErr w:type="spellEnd"/>
          </w:p>
        </w:tc>
        <w:tc>
          <w:tcPr>
            <w:tcW w:w="3200" w:type="dxa"/>
            <w:shd w:val="clear" w:color="auto" w:fill="4BACC6"/>
            <w:noWrap/>
            <w:vAlign w:val="bottom"/>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DIPLOME lib</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 d'accès aux études universitaires</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DAEU</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 d'accès aux études universitaires</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Capacité en droit</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CAPA</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Capacité en droit</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CPGE</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CPGEINT</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CPGE</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 universitaire de technologie</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DUT</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 universitaire de technologie</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Licence</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LIC_L</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Licence</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Licence professionnelle</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LIC_PRO</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Licence professionnelle</w:t>
            </w:r>
          </w:p>
        </w:tc>
      </w:tr>
      <w:tr w:rsidR="00CC2F98" w:rsidRPr="00A83A84" w:rsidTr="00CC2F98">
        <w:trPr>
          <w:trHeight w:val="300"/>
        </w:trPr>
        <w:tc>
          <w:tcPr>
            <w:tcW w:w="3200" w:type="dxa"/>
            <w:vMerge w:val="restart"/>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Master</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MAST_M_AUTRES</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Autres masters</w:t>
            </w:r>
          </w:p>
        </w:tc>
      </w:tr>
      <w:tr w:rsidR="00CC2F98" w:rsidRPr="00A83A84" w:rsidTr="00CC2F98">
        <w:trPr>
          <w:trHeight w:val="300"/>
        </w:trPr>
        <w:tc>
          <w:tcPr>
            <w:tcW w:w="3200" w:type="dxa"/>
            <w:vMerge/>
            <w:hideMark/>
          </w:tcPr>
          <w:p w:rsidR="00CC2F98" w:rsidRPr="00A83A84" w:rsidRDefault="00CC2F98" w:rsidP="00CC2F98">
            <w:pPr>
              <w:spacing w:beforeLines="20" w:before="48" w:afterLines="20" w:after="48" w:line="240" w:lineRule="auto"/>
              <w:rPr>
                <w:rFonts w:ascii="Arial" w:hAnsi="Arial" w:cs="Arial"/>
                <w:sz w:val="16"/>
                <w:szCs w:val="16"/>
                <w:lang w:eastAsia="fr-FR"/>
              </w:rPr>
            </w:pP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MAST_M_ENSEIGNEMENT</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Master enseignement</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Formations d'IEP</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IEP</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Formations d'IEP</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Formations d'ingénieurs</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ING</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Formations d'ingénieurs</w:t>
            </w:r>
          </w:p>
        </w:tc>
      </w:tr>
      <w:tr w:rsidR="00CC2F98" w:rsidRPr="00A83A84" w:rsidTr="00CC2F98">
        <w:trPr>
          <w:trHeight w:val="255"/>
        </w:trPr>
        <w:tc>
          <w:tcPr>
            <w:tcW w:w="3200" w:type="dxa"/>
            <w:vMerge w:val="restart"/>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Formations de santé</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SANTE_PACES</w:t>
            </w:r>
          </w:p>
        </w:tc>
        <w:tc>
          <w:tcPr>
            <w:tcW w:w="3200" w:type="dxa"/>
            <w:shd w:val="clear" w:color="auto" w:fill="F2F2F2" w:themeFill="background1" w:themeFillShade="F2"/>
          </w:tcPr>
          <w:p w:rsidR="00CC2F98" w:rsidRPr="00A83A84" w:rsidRDefault="00CC2F98" w:rsidP="00CC2F98">
            <w:pPr>
              <w:spacing w:beforeLines="20" w:before="48" w:afterLines="20" w:after="48" w:line="240" w:lineRule="auto"/>
              <w:rPr>
                <w:rFonts w:ascii="Arial" w:hAnsi="Arial" w:cs="Arial"/>
                <w:sz w:val="16"/>
                <w:szCs w:val="16"/>
                <w:lang w:eastAsia="fr-FR"/>
              </w:rPr>
            </w:pPr>
            <w:r w:rsidRPr="00B2765C">
              <w:rPr>
                <w:rFonts w:ascii="Arial" w:hAnsi="Arial" w:cs="Arial"/>
                <w:sz w:val="16"/>
                <w:szCs w:val="16"/>
                <w:lang w:eastAsia="fr-FR"/>
              </w:rPr>
              <w:t xml:space="preserve">PACES et </w:t>
            </w:r>
            <w:proofErr w:type="spellStart"/>
            <w:r w:rsidRPr="00B2765C">
              <w:rPr>
                <w:rFonts w:ascii="Arial" w:hAnsi="Arial" w:cs="Arial"/>
                <w:sz w:val="16"/>
                <w:szCs w:val="16"/>
                <w:lang w:eastAsia="fr-FR"/>
              </w:rPr>
              <w:t>PluriPASS</w:t>
            </w:r>
            <w:proofErr w:type="spellEnd"/>
          </w:p>
        </w:tc>
      </w:tr>
      <w:tr w:rsidR="00CC2F98" w:rsidRPr="00A83A84" w:rsidTr="00CC2F98">
        <w:trPr>
          <w:trHeight w:val="255"/>
        </w:trPr>
        <w:tc>
          <w:tcPr>
            <w:tcW w:w="3200" w:type="dxa"/>
            <w:vMerge/>
            <w:shd w:val="clear" w:color="auto" w:fill="F2F2F2" w:themeFill="background1" w:themeFillShade="F2"/>
            <w:noWrap/>
          </w:tcPr>
          <w:p w:rsidR="00CC2F98" w:rsidRPr="00A83A84" w:rsidRDefault="00CC2F98" w:rsidP="00CC2F98">
            <w:pPr>
              <w:spacing w:beforeLines="20" w:before="48" w:afterLines="20" w:after="48" w:line="240" w:lineRule="auto"/>
              <w:rPr>
                <w:rFonts w:ascii="Arial" w:hAnsi="Arial" w:cs="Arial"/>
                <w:sz w:val="16"/>
                <w:szCs w:val="16"/>
                <w:lang w:eastAsia="fr-FR"/>
              </w:rPr>
            </w:pPr>
          </w:p>
        </w:tc>
        <w:tc>
          <w:tcPr>
            <w:tcW w:w="2176" w:type="dxa"/>
            <w:shd w:val="clear" w:color="auto" w:fill="F2F2F2" w:themeFill="background1" w:themeFillShade="F2"/>
            <w:noWrap/>
          </w:tcPr>
          <w:p w:rsidR="00CC2F98" w:rsidRPr="00A83A84" w:rsidRDefault="00CC2F98" w:rsidP="00CC2F98">
            <w:pPr>
              <w:spacing w:beforeLines="20" w:before="48" w:afterLines="20" w:after="48" w:line="240" w:lineRule="auto"/>
              <w:rPr>
                <w:rFonts w:ascii="Arial" w:hAnsi="Arial" w:cs="Arial"/>
                <w:sz w:val="16"/>
                <w:szCs w:val="16"/>
                <w:lang w:eastAsia="fr-FR"/>
              </w:rPr>
            </w:pPr>
            <w:r w:rsidRPr="006C17F1">
              <w:rPr>
                <w:rFonts w:ascii="Arial" w:hAnsi="Arial" w:cs="Arial"/>
                <w:sz w:val="16"/>
                <w:szCs w:val="16"/>
                <w:lang w:eastAsia="fr-FR"/>
              </w:rPr>
              <w:t>SANTE_PARAMEDICAL</w:t>
            </w:r>
          </w:p>
        </w:tc>
        <w:tc>
          <w:tcPr>
            <w:tcW w:w="3200" w:type="dxa"/>
            <w:shd w:val="clear" w:color="auto" w:fill="F2F2F2" w:themeFill="background1" w:themeFillShade="F2"/>
          </w:tcPr>
          <w:p w:rsidR="00CC2F98" w:rsidRPr="00A83A84" w:rsidRDefault="00CC2F98" w:rsidP="00CC2F98">
            <w:pPr>
              <w:spacing w:beforeLines="20" w:before="48" w:afterLines="20" w:after="48" w:line="240" w:lineRule="auto"/>
              <w:rPr>
                <w:rFonts w:ascii="Arial" w:hAnsi="Arial" w:cs="Arial"/>
                <w:sz w:val="16"/>
                <w:szCs w:val="16"/>
                <w:lang w:eastAsia="fr-FR"/>
              </w:rPr>
            </w:pPr>
            <w:r w:rsidRPr="006C17F1">
              <w:rPr>
                <w:rFonts w:ascii="Arial" w:hAnsi="Arial" w:cs="Arial"/>
                <w:sz w:val="16"/>
                <w:szCs w:val="16"/>
                <w:lang w:eastAsia="fr-FR"/>
              </w:rPr>
              <w:t>Formations paramédicales</w:t>
            </w:r>
          </w:p>
        </w:tc>
      </w:tr>
      <w:tr w:rsidR="00CC2F98" w:rsidRPr="00A83A84" w:rsidTr="00CC2F98">
        <w:trPr>
          <w:trHeight w:val="300"/>
        </w:trPr>
        <w:tc>
          <w:tcPr>
            <w:tcW w:w="3200" w:type="dxa"/>
            <w:vMerge/>
            <w:shd w:val="clear" w:color="auto" w:fill="F2F2F2" w:themeFill="background1" w:themeFillShade="F2"/>
            <w:hideMark/>
          </w:tcPr>
          <w:p w:rsidR="00CC2F98" w:rsidRPr="00A83A84" w:rsidRDefault="00CC2F98" w:rsidP="00CC2F98">
            <w:pPr>
              <w:spacing w:beforeLines="20" w:before="48" w:afterLines="20" w:after="48" w:line="240" w:lineRule="auto"/>
              <w:rPr>
                <w:rFonts w:ascii="Arial" w:hAnsi="Arial" w:cs="Arial"/>
                <w:sz w:val="16"/>
                <w:szCs w:val="16"/>
                <w:lang w:eastAsia="fr-FR"/>
              </w:rPr>
            </w:pP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SANTE_AUTRES_FORM</w:t>
            </w:r>
          </w:p>
        </w:tc>
        <w:tc>
          <w:tcPr>
            <w:tcW w:w="3200" w:type="dxa"/>
            <w:shd w:val="clear" w:color="auto" w:fill="F2F2F2" w:themeFill="background1" w:themeFillShade="F2"/>
            <w:noWrap/>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Autres formations de santé</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Doctorat</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DOCT</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Doctorat</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HDR</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HDR</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HDR</w:t>
            </w:r>
          </w:p>
        </w:tc>
      </w:tr>
      <w:tr w:rsidR="00CC2F98" w:rsidRPr="00A83A84" w:rsidTr="00CC2F98">
        <w:trPr>
          <w:trHeight w:val="300"/>
        </w:trPr>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Diplômes d'établissement</w:t>
            </w:r>
          </w:p>
        </w:tc>
        <w:tc>
          <w:tcPr>
            <w:tcW w:w="2176"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DU</w:t>
            </w:r>
          </w:p>
        </w:tc>
        <w:tc>
          <w:tcPr>
            <w:tcW w:w="3200" w:type="dxa"/>
            <w:shd w:val="clear" w:color="auto" w:fill="auto"/>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Diplômes d'établissement</w:t>
            </w:r>
          </w:p>
        </w:tc>
      </w:tr>
      <w:tr w:rsidR="00CC2F98" w:rsidRPr="00A83A84" w:rsidTr="00CC2F98">
        <w:trPr>
          <w:trHeight w:val="300"/>
        </w:trPr>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Autres formations</w:t>
            </w:r>
          </w:p>
        </w:tc>
        <w:tc>
          <w:tcPr>
            <w:tcW w:w="2176"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AUTRES_FORM</w:t>
            </w:r>
          </w:p>
        </w:tc>
        <w:tc>
          <w:tcPr>
            <w:tcW w:w="3200" w:type="dxa"/>
            <w:shd w:val="clear" w:color="auto" w:fill="F2F2F2" w:themeFill="background1" w:themeFillShade="F2"/>
            <w:noWrap/>
            <w:hideMark/>
          </w:tcPr>
          <w:p w:rsidR="00CC2F98" w:rsidRPr="00A83A84" w:rsidRDefault="00CC2F98" w:rsidP="00CC2F98">
            <w:pPr>
              <w:spacing w:beforeLines="20" w:before="48" w:afterLines="20" w:after="48" w:line="240" w:lineRule="auto"/>
              <w:rPr>
                <w:rFonts w:ascii="Arial" w:hAnsi="Arial" w:cs="Arial"/>
                <w:sz w:val="16"/>
                <w:szCs w:val="16"/>
                <w:lang w:eastAsia="fr-FR"/>
              </w:rPr>
            </w:pPr>
            <w:r w:rsidRPr="00A83A84">
              <w:rPr>
                <w:rFonts w:ascii="Arial" w:hAnsi="Arial" w:cs="Arial"/>
                <w:sz w:val="16"/>
                <w:szCs w:val="16"/>
                <w:lang w:eastAsia="fr-FR"/>
              </w:rPr>
              <w:t>Autres formations</w:t>
            </w:r>
          </w:p>
        </w:tc>
      </w:tr>
    </w:tbl>
    <w:p w:rsidR="00CC2F98" w:rsidRDefault="00CC2F98" w:rsidP="00CC2F98">
      <w:pPr>
        <w:rPr>
          <w:rFonts w:ascii="Arial" w:hAnsi="Arial" w:cs="Arial"/>
        </w:rPr>
      </w:pPr>
      <w:r>
        <w:rPr>
          <w:rFonts w:ascii="Arial" w:hAnsi="Arial" w:cs="Arial"/>
        </w:rPr>
        <w:br w:type="page"/>
      </w:r>
    </w:p>
    <w:p w:rsidR="00CC2F98" w:rsidRPr="006C47FD" w:rsidRDefault="00CC2F98" w:rsidP="00CC2F98">
      <w:pPr>
        <w:rPr>
          <w:rFonts w:ascii="Arial" w:hAnsi="Arial" w:cs="Arial"/>
        </w:rPr>
      </w:pPr>
      <w:r>
        <w:rPr>
          <w:rFonts w:ascii="Arial" w:hAnsi="Arial" w:cs="Arial"/>
        </w:rPr>
        <w:lastRenderedPageBreak/>
        <w:t>Disciplines</w:t>
      </w:r>
    </w:p>
    <w:tbl>
      <w:tblPr>
        <w:tblW w:w="0" w:type="auto"/>
        <w:tblInd w:w="55" w:type="dxa"/>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724"/>
        <w:gridCol w:w="1418"/>
        <w:gridCol w:w="425"/>
        <w:gridCol w:w="2410"/>
        <w:gridCol w:w="425"/>
        <w:gridCol w:w="3753"/>
      </w:tblGrid>
      <w:tr w:rsidR="00CC2F98" w:rsidRPr="001F665E" w:rsidTr="00CC2F98">
        <w:tc>
          <w:tcPr>
            <w:tcW w:w="724"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w:t>
            </w:r>
          </w:p>
        </w:tc>
        <w:tc>
          <w:tcPr>
            <w:tcW w:w="1418"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w:t>
            </w:r>
          </w:p>
        </w:tc>
        <w:tc>
          <w:tcPr>
            <w:tcW w:w="425"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w:t>
            </w:r>
          </w:p>
        </w:tc>
        <w:tc>
          <w:tcPr>
            <w:tcW w:w="2410"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w:t>
            </w:r>
          </w:p>
        </w:tc>
        <w:tc>
          <w:tcPr>
            <w:tcW w:w="425"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(5)</w:t>
            </w:r>
          </w:p>
        </w:tc>
        <w:tc>
          <w:tcPr>
            <w:tcW w:w="3753" w:type="dxa"/>
            <w:shd w:val="clear" w:color="auto" w:fill="4BACC6" w:themeFill="accent5"/>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w:t>
            </w:r>
          </w:p>
        </w:tc>
      </w:tr>
      <w:tr w:rsidR="00CC2F98" w:rsidRPr="001F665E" w:rsidTr="00CC2F98">
        <w:tc>
          <w:tcPr>
            <w:tcW w:w="724"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DSA</w:t>
            </w:r>
          </w:p>
        </w:tc>
        <w:tc>
          <w:tcPr>
            <w:tcW w:w="1418"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Droit, sciences économiques, AES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03</w:t>
            </w:r>
          </w:p>
        </w:tc>
        <w:tc>
          <w:tcPr>
            <w:tcW w:w="2410"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Administration économique et sociale</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40</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Administration économique et sociale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01</w:t>
            </w:r>
          </w:p>
        </w:tc>
        <w:tc>
          <w:tcPr>
            <w:tcW w:w="2410"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Droit, sciences politiques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36</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juridiques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37</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politiques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droit, sciences politiques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02</w:t>
            </w:r>
          </w:p>
        </w:tc>
        <w:tc>
          <w:tcPr>
            <w:tcW w:w="2410"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économiques, gestion</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39</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gestion</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38</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économiques</w:t>
            </w:r>
          </w:p>
        </w:tc>
      </w:tr>
      <w:tr w:rsidR="00CC2F98" w:rsidRPr="001F665E" w:rsidTr="00CC2F98">
        <w:trPr>
          <w:trHeight w:val="40"/>
        </w:trPr>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44</w:t>
            </w:r>
          </w:p>
        </w:tc>
        <w:tc>
          <w:tcPr>
            <w:tcW w:w="3753"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Commerce, vente</w:t>
            </w:r>
          </w:p>
        </w:tc>
      </w:tr>
      <w:tr w:rsidR="00CC2F98" w:rsidRPr="001F665E" w:rsidTr="00CC2F98">
        <w:trPr>
          <w:trHeight w:val="37"/>
        </w:trPr>
        <w:tc>
          <w:tcPr>
            <w:tcW w:w="724"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45</w:t>
            </w:r>
          </w:p>
        </w:tc>
        <w:tc>
          <w:tcPr>
            <w:tcW w:w="3753"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Finance, banque, assurance, immobilier, comptabilité</w:t>
            </w:r>
          </w:p>
        </w:tc>
      </w:tr>
      <w:tr w:rsidR="00CC2F98" w:rsidRPr="001F665E" w:rsidTr="00CC2F98">
        <w:trPr>
          <w:trHeight w:val="37"/>
        </w:trPr>
        <w:tc>
          <w:tcPr>
            <w:tcW w:w="724"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46</w:t>
            </w:r>
          </w:p>
        </w:tc>
        <w:tc>
          <w:tcPr>
            <w:tcW w:w="3753"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Ressources humaines, gestion du personnel et de l'emploi</w:t>
            </w:r>
          </w:p>
        </w:tc>
      </w:tr>
      <w:tr w:rsidR="00CC2F98" w:rsidRPr="001F665E" w:rsidTr="00CC2F98">
        <w:trPr>
          <w:trHeight w:val="37"/>
        </w:trPr>
        <w:tc>
          <w:tcPr>
            <w:tcW w:w="724"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47</w:t>
            </w:r>
          </w:p>
        </w:tc>
        <w:tc>
          <w:tcPr>
            <w:tcW w:w="3753"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Transport, logistique</w:t>
            </w:r>
          </w:p>
        </w:tc>
      </w:tr>
      <w:tr w:rsidR="00CC2F98" w:rsidRPr="001F665E" w:rsidTr="00CC2F98">
        <w:trPr>
          <w:trHeight w:val="37"/>
        </w:trPr>
        <w:tc>
          <w:tcPr>
            <w:tcW w:w="724"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48</w:t>
            </w:r>
          </w:p>
        </w:tc>
        <w:tc>
          <w:tcPr>
            <w:tcW w:w="3753" w:type="dxa"/>
            <w:shd w:val="clear" w:color="auto" w:fill="F2F2F2" w:themeFill="background1" w:themeFillShade="F2"/>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Accueil, hôtellerie, tourisme</w:t>
            </w:r>
          </w:p>
        </w:tc>
      </w:tr>
      <w:tr w:rsidR="00CC2F98" w:rsidRPr="001F665E" w:rsidTr="00CC2F98">
        <w:trPr>
          <w:trHeight w:val="37"/>
        </w:trPr>
        <w:tc>
          <w:tcPr>
            <w:tcW w:w="724"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62</w:t>
            </w:r>
          </w:p>
        </w:tc>
        <w:tc>
          <w:tcPr>
            <w:tcW w:w="3753" w:type="dxa"/>
            <w:shd w:val="clear" w:color="auto" w:fill="auto"/>
            <w:noWrap/>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 économiques et gestion</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31</w:t>
            </w:r>
          </w:p>
        </w:tc>
        <w:tc>
          <w:tcPr>
            <w:tcW w:w="2410"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droit, sciences économiques, AES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63</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droit, sciences économiques, AES</w:t>
            </w:r>
          </w:p>
        </w:tc>
      </w:tr>
      <w:tr w:rsidR="00CC2F98" w:rsidRPr="001F665E" w:rsidTr="00CC2F98">
        <w:tc>
          <w:tcPr>
            <w:tcW w:w="724"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LLSH</w:t>
            </w:r>
          </w:p>
        </w:tc>
        <w:tc>
          <w:tcPr>
            <w:tcW w:w="1418"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Lettres, langues et sciences humaines</w:t>
            </w:r>
          </w:p>
        </w:tc>
        <w:tc>
          <w:tcPr>
            <w:tcW w:w="425"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05</w:t>
            </w:r>
          </w:p>
        </w:tc>
        <w:tc>
          <w:tcPr>
            <w:tcW w:w="2410"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Langues</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25</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Cultures et langues régionales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22</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Français, langue étrangère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23</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Langues et littératures étrangères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24</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Langues étrangères appliquées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65</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langues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04</w:t>
            </w:r>
          </w:p>
        </w:tc>
        <w:tc>
          <w:tcPr>
            <w:tcW w:w="2410"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Lettres, sciences du langage, arts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Arts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18</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Langues et littératures anciennes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19</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Langues et littératures françaises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20</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Littérature générale et comparée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17</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du langage, linguistique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64</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lettres, sciences du langage, arts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06</w:t>
            </w:r>
          </w:p>
        </w:tc>
        <w:tc>
          <w:tcPr>
            <w:tcW w:w="2410"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humaines et sociales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29</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Aménagement</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30</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Archéologie, ethnologie, préhistoire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28</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Géographie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27</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Histoire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26</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Philosophie, épistémologie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32</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Psychologie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34</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l'éducation</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35</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l'information et la communication</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religieuses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33</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Sociologie, démographie</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66</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 humaines et sociales</w:t>
            </w:r>
          </w:p>
        </w:tc>
      </w:tr>
      <w:tr w:rsidR="00CC2F98" w:rsidRPr="001F665E" w:rsidTr="00CC2F98">
        <w:tc>
          <w:tcPr>
            <w:tcW w:w="724"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32</w:t>
            </w:r>
          </w:p>
        </w:tc>
        <w:tc>
          <w:tcPr>
            <w:tcW w:w="2410"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lettres, langues, sciences humaines</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67</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lettres, langues, sciences humaines</w:t>
            </w:r>
          </w:p>
        </w:tc>
      </w:tr>
      <w:tr w:rsidR="00CC2F98" w:rsidRPr="001F665E" w:rsidTr="00CC2F98">
        <w:tc>
          <w:tcPr>
            <w:tcW w:w="724"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SI</w:t>
            </w:r>
          </w:p>
        </w:tc>
        <w:tc>
          <w:tcPr>
            <w:tcW w:w="1418"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et sciences de l'ingénieur</w:t>
            </w:r>
          </w:p>
        </w:tc>
        <w:tc>
          <w:tcPr>
            <w:tcW w:w="425"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09</w:t>
            </w:r>
          </w:p>
        </w:tc>
        <w:tc>
          <w:tcPr>
            <w:tcW w:w="2410"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la vie, de la terre et de l'univers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06</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la vie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05</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de l'univers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69</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 de la vie, de la santé, de la terre et de l'univers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15</w:t>
            </w:r>
          </w:p>
        </w:tc>
        <w:tc>
          <w:tcPr>
            <w:tcW w:w="2410" w:type="dxa"/>
            <w:vMerge w:val="restart"/>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Sciences fondamentales et applications</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03</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Chimie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15</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Électronique, génie électrique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41</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Formation générale aux métiers de l'ingénieur</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12</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Génie civil</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13</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Génie des procédés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14</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Informatique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42</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Mathématique et informatique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Mathématiques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04</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Mathématiques appliquées et sciences sociales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Mécanique, génie mécanique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02</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Physique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43</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Physique et chimie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16</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Technologie et sciences industrielles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2410" w:type="dxa"/>
            <w:vMerge/>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68</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 fondamentales et applications</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33</w:t>
            </w:r>
          </w:p>
        </w:tc>
        <w:tc>
          <w:tcPr>
            <w:tcW w:w="2410"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70</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sciences</w:t>
            </w:r>
          </w:p>
        </w:tc>
      </w:tr>
      <w:tr w:rsidR="00CC2F98" w:rsidRPr="001F665E" w:rsidTr="00CC2F98">
        <w:tc>
          <w:tcPr>
            <w:tcW w:w="724"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STAPS</w:t>
            </w:r>
          </w:p>
        </w:tc>
        <w:tc>
          <w:tcPr>
            <w:tcW w:w="1418"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STAPS</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10</w:t>
            </w:r>
          </w:p>
        </w:tc>
        <w:tc>
          <w:tcPr>
            <w:tcW w:w="2410"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STAPS</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10</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STAPS</w:t>
            </w:r>
          </w:p>
        </w:tc>
      </w:tr>
      <w:tr w:rsidR="00CC2F98" w:rsidRPr="001F665E" w:rsidTr="00CC2F98">
        <w:tc>
          <w:tcPr>
            <w:tcW w:w="724"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SANTE</w:t>
            </w:r>
          </w:p>
        </w:tc>
        <w:tc>
          <w:tcPr>
            <w:tcW w:w="1418" w:type="dxa"/>
            <w:vMerge w:val="restart"/>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Santé</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11</w:t>
            </w:r>
          </w:p>
        </w:tc>
        <w:tc>
          <w:tcPr>
            <w:tcW w:w="2410"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Médecine</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07</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Médecine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12</w:t>
            </w:r>
          </w:p>
        </w:tc>
        <w:tc>
          <w:tcPr>
            <w:tcW w:w="2410"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Odontologie</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08</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Odontologie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13</w:t>
            </w:r>
          </w:p>
        </w:tc>
        <w:tc>
          <w:tcPr>
            <w:tcW w:w="2410"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Pharmacie</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09</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Pharmacie</w:t>
            </w:r>
          </w:p>
        </w:tc>
      </w:tr>
      <w:tr w:rsidR="00CC2F98" w:rsidRPr="001F665E" w:rsidTr="00CC2F98">
        <w:tc>
          <w:tcPr>
            <w:tcW w:w="724"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1418" w:type="dxa"/>
            <w:vMerge/>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34</w:t>
            </w:r>
          </w:p>
        </w:tc>
        <w:tc>
          <w:tcPr>
            <w:tcW w:w="2410"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santé</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71</w:t>
            </w:r>
          </w:p>
        </w:tc>
        <w:tc>
          <w:tcPr>
            <w:tcW w:w="3753"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Pluridisciplinaire santé</w:t>
            </w:r>
          </w:p>
        </w:tc>
      </w:tr>
      <w:tr w:rsidR="00CC2F98" w:rsidRPr="001F665E" w:rsidTr="00CC2F98">
        <w:tc>
          <w:tcPr>
            <w:tcW w:w="724"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INTER</w:t>
            </w:r>
          </w:p>
        </w:tc>
        <w:tc>
          <w:tcPr>
            <w:tcW w:w="1418"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Interdisciplinaire</w:t>
            </w:r>
          </w:p>
        </w:tc>
        <w:tc>
          <w:tcPr>
            <w:tcW w:w="425"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90</w:t>
            </w:r>
          </w:p>
        </w:tc>
        <w:tc>
          <w:tcPr>
            <w:tcW w:w="2410" w:type="dxa"/>
            <w:shd w:val="clear" w:color="auto" w:fill="auto"/>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Interdisciplinaire</w:t>
            </w:r>
          </w:p>
        </w:tc>
        <w:tc>
          <w:tcPr>
            <w:tcW w:w="425"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90</w:t>
            </w:r>
          </w:p>
        </w:tc>
        <w:tc>
          <w:tcPr>
            <w:tcW w:w="3753" w:type="dxa"/>
            <w:shd w:val="clear" w:color="auto" w:fill="F2F2F2" w:themeFill="background1" w:themeFillShade="F2"/>
            <w:noWrap/>
            <w:hideMark/>
          </w:tcPr>
          <w:p w:rsidR="00CC2F98" w:rsidRPr="00B2765C" w:rsidRDefault="00CC2F98" w:rsidP="00CC2F98">
            <w:pPr>
              <w:spacing w:before="20" w:after="20" w:line="240" w:lineRule="auto"/>
              <w:rPr>
                <w:rFonts w:ascii="Arial" w:hAnsi="Arial" w:cs="Arial"/>
                <w:color w:val="000000"/>
                <w:sz w:val="14"/>
                <w:szCs w:val="14"/>
                <w:lang w:eastAsia="fr-FR"/>
              </w:rPr>
            </w:pPr>
            <w:r w:rsidRPr="00B2765C">
              <w:rPr>
                <w:rFonts w:ascii="Arial" w:hAnsi="Arial" w:cs="Arial"/>
                <w:color w:val="000000"/>
                <w:sz w:val="14"/>
                <w:szCs w:val="14"/>
                <w:lang w:eastAsia="fr-FR"/>
              </w:rPr>
              <w:t>Interdisciplinaire</w:t>
            </w:r>
          </w:p>
        </w:tc>
      </w:tr>
    </w:tbl>
    <w:p w:rsidR="00CC2F98" w:rsidRPr="009457A0" w:rsidRDefault="00CC2F98" w:rsidP="00CC2F98">
      <w:pPr>
        <w:rPr>
          <w:rFonts w:ascii="Arial" w:hAnsi="Arial" w:cs="Arial"/>
          <w:sz w:val="16"/>
          <w:szCs w:val="16"/>
        </w:rPr>
      </w:pPr>
      <w:r w:rsidRPr="009457A0">
        <w:rPr>
          <w:rFonts w:ascii="Arial" w:hAnsi="Arial" w:cs="Arial"/>
          <w:sz w:val="16"/>
          <w:szCs w:val="16"/>
        </w:rPr>
        <w:t xml:space="preserve">(1) : GD_DISCISCIPLINE, (2) : </w:t>
      </w:r>
      <w:proofErr w:type="spellStart"/>
      <w:r w:rsidRPr="009457A0">
        <w:rPr>
          <w:rFonts w:ascii="Arial" w:hAnsi="Arial" w:cs="Arial"/>
          <w:sz w:val="16"/>
          <w:szCs w:val="16"/>
        </w:rPr>
        <w:t>GD_DISCISCIPLINE_lib</w:t>
      </w:r>
      <w:proofErr w:type="spellEnd"/>
      <w:r w:rsidRPr="009457A0">
        <w:rPr>
          <w:rFonts w:ascii="Arial" w:hAnsi="Arial" w:cs="Arial"/>
          <w:sz w:val="16"/>
          <w:szCs w:val="16"/>
        </w:rPr>
        <w:t xml:space="preserve">, (3) : DISCIPLINE, (4) : </w:t>
      </w:r>
      <w:proofErr w:type="spellStart"/>
      <w:r w:rsidRPr="009457A0">
        <w:rPr>
          <w:rFonts w:ascii="Arial" w:hAnsi="Arial" w:cs="Arial"/>
          <w:sz w:val="16"/>
          <w:szCs w:val="16"/>
        </w:rPr>
        <w:t>DISCIPLINE_lib</w:t>
      </w:r>
      <w:proofErr w:type="spellEnd"/>
      <w:r w:rsidRPr="009457A0">
        <w:rPr>
          <w:rFonts w:ascii="Arial" w:hAnsi="Arial" w:cs="Arial"/>
          <w:sz w:val="16"/>
          <w:szCs w:val="16"/>
        </w:rPr>
        <w:t>, (5) : SECT_DISCIPLINAIRE, (6) :</w:t>
      </w:r>
      <w:r w:rsidRPr="009457A0">
        <w:rPr>
          <w:sz w:val="16"/>
          <w:szCs w:val="16"/>
        </w:rPr>
        <w:t xml:space="preserve"> </w:t>
      </w:r>
      <w:proofErr w:type="spellStart"/>
      <w:r w:rsidRPr="009457A0">
        <w:rPr>
          <w:rFonts w:ascii="Arial" w:hAnsi="Arial" w:cs="Arial"/>
          <w:sz w:val="16"/>
          <w:szCs w:val="16"/>
        </w:rPr>
        <w:t>SECT_DISCIPLINAIRE_lib</w:t>
      </w:r>
      <w:proofErr w:type="spellEnd"/>
    </w:p>
    <w:p w:rsidR="00CC2F98" w:rsidRDefault="00CC2F98" w:rsidP="00CC2F98">
      <w:pPr>
        <w:rPr>
          <w:rFonts w:ascii="Arial" w:hAnsi="Arial" w:cs="Arial"/>
        </w:rPr>
      </w:pPr>
      <w:r>
        <w:rPr>
          <w:rFonts w:ascii="Arial" w:hAnsi="Arial" w:cs="Arial"/>
        </w:rPr>
        <w:lastRenderedPageBreak/>
        <w:t>Spécialités des diplômes universitaires de technologie</w:t>
      </w:r>
    </w:p>
    <w:tbl>
      <w:tblPr>
        <w:tblW w:w="0" w:type="auto"/>
        <w:tblInd w:w="55" w:type="dxa"/>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2709"/>
        <w:gridCol w:w="1842"/>
        <w:gridCol w:w="4604"/>
      </w:tblGrid>
      <w:tr w:rsidR="00CC2F98" w:rsidRPr="00D6614D" w:rsidTr="00CC2F98">
        <w:tc>
          <w:tcPr>
            <w:tcW w:w="2709" w:type="dxa"/>
            <w:tcBorders>
              <w:top w:val="single" w:sz="4" w:space="0" w:color="auto"/>
              <w:bottom w:val="single" w:sz="4" w:space="0" w:color="auto"/>
              <w:right w:val="single" w:sz="4" w:space="0" w:color="auto"/>
            </w:tcBorders>
            <w:shd w:val="clear" w:color="auto" w:fill="4BACC6" w:themeFill="accent5"/>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 xml:space="preserve">SPEC DUT </w:t>
            </w:r>
            <w:proofErr w:type="spellStart"/>
            <w:r w:rsidRPr="00D6614D">
              <w:rPr>
                <w:rFonts w:ascii="Arial" w:hAnsi="Arial" w:cs="Arial"/>
                <w:color w:val="000000"/>
                <w:sz w:val="16"/>
                <w:szCs w:val="16"/>
                <w:lang w:eastAsia="fr-FR"/>
              </w:rPr>
              <w:t>rgp</w:t>
            </w:r>
            <w:proofErr w:type="spellEnd"/>
            <w:r w:rsidRPr="00D6614D">
              <w:rPr>
                <w:rFonts w:ascii="Arial" w:hAnsi="Arial" w:cs="Arial"/>
                <w:color w:val="000000"/>
                <w:sz w:val="16"/>
                <w:szCs w:val="16"/>
                <w:lang w:eastAsia="fr-FR"/>
              </w:rPr>
              <w:t xml:space="preserve"> lib</w:t>
            </w:r>
          </w:p>
        </w:tc>
        <w:tc>
          <w:tcPr>
            <w:tcW w:w="1842" w:type="dxa"/>
            <w:tcBorders>
              <w:top w:val="single" w:sz="4" w:space="0" w:color="auto"/>
              <w:bottom w:val="single" w:sz="4" w:space="0" w:color="auto"/>
              <w:right w:val="single" w:sz="4" w:space="0" w:color="auto"/>
            </w:tcBorders>
            <w:shd w:val="clear" w:color="auto" w:fill="4BACC6" w:themeFill="accent5"/>
            <w:noWrap/>
          </w:tcPr>
          <w:p w:rsidR="00CC2F98" w:rsidRPr="00D6614D" w:rsidRDefault="00CC2F98" w:rsidP="00CC2F98">
            <w:pPr>
              <w:spacing w:before="20" w:after="20" w:line="240" w:lineRule="auto"/>
              <w:rPr>
                <w:rFonts w:ascii="Arial" w:hAnsi="Arial" w:cs="Arial"/>
                <w:color w:val="000000"/>
                <w:sz w:val="16"/>
                <w:szCs w:val="16"/>
                <w:lang w:eastAsia="fr-FR"/>
              </w:rPr>
            </w:pPr>
            <w:proofErr w:type="spellStart"/>
            <w:r w:rsidRPr="00D6614D">
              <w:rPr>
                <w:rFonts w:ascii="Arial" w:hAnsi="Arial" w:cs="Arial"/>
                <w:color w:val="000000"/>
                <w:sz w:val="16"/>
                <w:szCs w:val="16"/>
                <w:lang w:eastAsia="fr-FR"/>
              </w:rPr>
              <w:t>Spec</w:t>
            </w:r>
            <w:proofErr w:type="spellEnd"/>
            <w:r w:rsidRPr="00D6614D">
              <w:rPr>
                <w:rFonts w:ascii="Arial" w:hAnsi="Arial" w:cs="Arial"/>
                <w:color w:val="000000"/>
                <w:sz w:val="16"/>
                <w:szCs w:val="16"/>
                <w:lang w:eastAsia="fr-FR"/>
              </w:rPr>
              <w:t xml:space="preserve"> Dut</w:t>
            </w:r>
          </w:p>
        </w:tc>
        <w:tc>
          <w:tcPr>
            <w:tcW w:w="4604" w:type="dxa"/>
            <w:tcBorders>
              <w:top w:val="single" w:sz="4" w:space="0" w:color="auto"/>
              <w:bottom w:val="single" w:sz="4" w:space="0" w:color="auto"/>
            </w:tcBorders>
            <w:shd w:val="clear" w:color="auto" w:fill="4BACC6" w:themeFill="accent5"/>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SPEC DUT lib</w:t>
            </w:r>
          </w:p>
        </w:tc>
      </w:tr>
      <w:tr w:rsidR="00CC2F98" w:rsidRPr="00D6614D" w:rsidTr="00CC2F98">
        <w:tc>
          <w:tcPr>
            <w:tcW w:w="2709" w:type="dxa"/>
            <w:vMerge w:val="restart"/>
            <w:tcBorders>
              <w:top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Secteur de la production</w:t>
            </w: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IUT_2A2M</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Aide et assistance pour le monitoring et le maintien à domicile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IUT_CHIMIE</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Chimie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IUT_GB</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biologique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IUT_GCCD</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civil - Construction durable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IUT_GCGP</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chimique - Génie des procédés</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IUT_GE2I</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électrique et informatique industrielle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IUT_GIM</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industriel et maintenance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IUT_GMP</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mécanique et productique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IUT_GTE</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Génie thermique et énergie</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IUT_HSE</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Hygiène, sécurité, environnement</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IUT_MP</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Mesures physiques</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IUT_PEC</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Packaging, emballage et conditionnement</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IUT_QLIO</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Qualité, logistique industrielle et organisation</w:t>
            </w:r>
          </w:p>
        </w:tc>
      </w:tr>
      <w:tr w:rsidR="00CC2F98" w:rsidRPr="00D6614D" w:rsidTr="00CC2F98">
        <w:tc>
          <w:tcPr>
            <w:tcW w:w="2709" w:type="dxa"/>
            <w:vMerge/>
            <w:tcBorders>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IUT_RT</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Réseaux et télécommunications</w:t>
            </w:r>
          </w:p>
        </w:tc>
      </w:tr>
      <w:tr w:rsidR="00CC2F98" w:rsidRPr="00D6614D" w:rsidTr="00CC2F98">
        <w:tc>
          <w:tcPr>
            <w:tcW w:w="2709" w:type="dxa"/>
            <w:vMerge/>
            <w:tcBorders>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IUT_SGM</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Sciences et génie des matériaux</w:t>
            </w:r>
          </w:p>
        </w:tc>
      </w:tr>
      <w:tr w:rsidR="00CC2F98" w:rsidRPr="00D6614D" w:rsidTr="00CC2F98">
        <w:tc>
          <w:tcPr>
            <w:tcW w:w="2709" w:type="dxa"/>
            <w:vMerge w:val="restart"/>
            <w:tcBorders>
              <w:top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Secteur des services</w:t>
            </w: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IUT_CJ</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Carrières juridiques</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IUT_CS</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Carrières sociales</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IUT_GACO</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Gestion administrative et commerciale</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IUT_GEA</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Gestion des entreprises et administrations</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IUT_GLT</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Gestion logistique et transport</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IUT_INFO</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Informatique</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IUT_INFOCOM</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Information-Communication</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IUT_MMI</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Métiers du multimédia et de l'internet</w:t>
            </w:r>
          </w:p>
        </w:tc>
      </w:tr>
      <w:tr w:rsidR="00CC2F98" w:rsidRPr="00D6614D" w:rsidTr="00CC2F98">
        <w:tc>
          <w:tcPr>
            <w:tcW w:w="2709" w:type="dxa"/>
            <w:vMerge/>
            <w:tcBorders>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IUT_STID</w:t>
            </w:r>
          </w:p>
        </w:tc>
        <w:tc>
          <w:tcPr>
            <w:tcW w:w="4604" w:type="dxa"/>
            <w:tcBorders>
              <w:top w:val="single" w:sz="4" w:space="0" w:color="auto"/>
              <w:bottom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Statistique et informatique décisionnelle</w:t>
            </w:r>
          </w:p>
        </w:tc>
      </w:tr>
      <w:tr w:rsidR="00CC2F98" w:rsidRPr="00D6614D" w:rsidTr="00CC2F98">
        <w:tc>
          <w:tcPr>
            <w:tcW w:w="2709" w:type="dxa"/>
            <w:vMerge/>
            <w:tcBorders>
              <w:bottom w:val="single" w:sz="4" w:space="0" w:color="auto"/>
              <w:right w:val="single" w:sz="4" w:space="0" w:color="auto"/>
            </w:tcBorders>
            <w:shd w:val="clear" w:color="auto" w:fill="F2F2F2" w:themeFill="background1" w:themeFillShade="F2"/>
            <w:noWrap/>
          </w:tcPr>
          <w:p w:rsidR="00CC2F98" w:rsidRPr="00D6614D" w:rsidRDefault="00CC2F98" w:rsidP="00CC2F98">
            <w:pPr>
              <w:spacing w:before="20" w:after="20" w:line="240" w:lineRule="auto"/>
              <w:rPr>
                <w:rFonts w:ascii="Arial" w:hAnsi="Arial" w:cs="Arial"/>
                <w:color w:val="000000"/>
                <w:sz w:val="16"/>
                <w:szCs w:val="16"/>
                <w:lang w:eastAsia="fr-FR"/>
              </w:rPr>
            </w:pPr>
          </w:p>
        </w:tc>
        <w:tc>
          <w:tcPr>
            <w:tcW w:w="1842" w:type="dxa"/>
            <w:tcBorders>
              <w:top w:val="single" w:sz="4" w:space="0" w:color="auto"/>
              <w:bottom w:val="single" w:sz="4" w:space="0" w:color="auto"/>
              <w:right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IUT_TC</w:t>
            </w:r>
          </w:p>
        </w:tc>
        <w:tc>
          <w:tcPr>
            <w:tcW w:w="4604" w:type="dxa"/>
            <w:tcBorders>
              <w:top w:val="single" w:sz="4" w:space="0" w:color="auto"/>
              <w:bottom w:val="single" w:sz="4" w:space="0" w:color="auto"/>
            </w:tcBorders>
            <w:shd w:val="clear" w:color="auto" w:fill="auto"/>
            <w:noWrap/>
          </w:tcPr>
          <w:p w:rsidR="00CC2F98" w:rsidRPr="00D6614D" w:rsidRDefault="00CC2F98" w:rsidP="00CC2F98">
            <w:pPr>
              <w:spacing w:before="20" w:after="20" w:line="240" w:lineRule="auto"/>
              <w:rPr>
                <w:rFonts w:ascii="Arial" w:hAnsi="Arial" w:cs="Arial"/>
                <w:color w:val="000000"/>
                <w:sz w:val="16"/>
                <w:szCs w:val="16"/>
                <w:lang w:eastAsia="fr-FR"/>
              </w:rPr>
            </w:pPr>
            <w:r w:rsidRPr="00D6614D">
              <w:rPr>
                <w:rFonts w:ascii="Arial" w:hAnsi="Arial" w:cs="Arial"/>
                <w:color w:val="000000"/>
                <w:sz w:val="16"/>
                <w:szCs w:val="16"/>
                <w:lang w:eastAsia="fr-FR"/>
              </w:rPr>
              <w:t>Techniques de commercialisation</w:t>
            </w:r>
          </w:p>
        </w:tc>
      </w:tr>
    </w:tbl>
    <w:p w:rsidR="00CC2F98" w:rsidRDefault="00CC2F98">
      <w:pPr>
        <w:rPr>
          <w:rFonts w:ascii="Arial" w:hAnsi="Arial" w:cs="Arial"/>
        </w:rPr>
      </w:pPr>
    </w:p>
    <w:p w:rsidR="00CC2F98" w:rsidRPr="006C47FD" w:rsidRDefault="00CC2F98">
      <w:pPr>
        <w:rPr>
          <w:rFonts w:ascii="Arial" w:hAnsi="Arial" w:cs="Arial"/>
        </w:rPr>
        <w:sectPr w:rsidR="00CC2F98" w:rsidRPr="006C47FD" w:rsidSect="003F063D">
          <w:pgSz w:w="11906" w:h="16838"/>
          <w:pgMar w:top="1077" w:right="1418" w:bottom="1077" w:left="1418" w:header="709" w:footer="709" w:gutter="0"/>
          <w:cols w:space="708"/>
          <w:docGrid w:linePitch="360"/>
        </w:sectPr>
      </w:pPr>
    </w:p>
    <w:p w:rsidR="008F3743" w:rsidRPr="006C47FD" w:rsidRDefault="000F3ED8">
      <w:pPr>
        <w:rPr>
          <w:rFonts w:ascii="Arial" w:hAnsi="Arial" w:cs="Arial"/>
          <w:b/>
        </w:rPr>
      </w:pPr>
      <w:r w:rsidRPr="006C47FD">
        <w:rPr>
          <w:rFonts w:ascii="Arial" w:hAnsi="Arial" w:cs="Arial"/>
          <w:b/>
        </w:rPr>
        <w:lastRenderedPageBreak/>
        <w:t>D</w:t>
      </w:r>
      <w:r w:rsidR="008F3743" w:rsidRPr="006C47FD">
        <w:rPr>
          <w:rFonts w:ascii="Arial" w:hAnsi="Arial" w:cs="Arial"/>
          <w:b/>
        </w:rPr>
        <w:t>éfinitions</w:t>
      </w:r>
      <w:r w:rsidR="00CF151F">
        <w:rPr>
          <w:rFonts w:ascii="Arial" w:hAnsi="Arial" w:cs="Arial"/>
          <w:b/>
        </w:rPr>
        <w:t> :</w:t>
      </w:r>
    </w:p>
    <w:tbl>
      <w:tblPr>
        <w:tblW w:w="14474"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843"/>
        <w:gridCol w:w="10631"/>
      </w:tblGrid>
      <w:tr w:rsidR="000F3ED8" w:rsidRPr="008334D4" w:rsidTr="00184950">
        <w:trPr>
          <w:trHeight w:val="454"/>
        </w:trPr>
        <w:tc>
          <w:tcPr>
            <w:tcW w:w="3843" w:type="dxa"/>
          </w:tcPr>
          <w:p w:rsidR="000F3ED8" w:rsidRPr="00184950" w:rsidRDefault="000F3ED8" w:rsidP="008846C8">
            <w:pPr>
              <w:spacing w:beforeLines="30" w:before="72" w:afterLines="30" w:after="72" w:line="240" w:lineRule="auto"/>
              <w:rPr>
                <w:rFonts w:ascii="Arial" w:hAnsi="Arial" w:cs="Arial"/>
                <w:b/>
                <w:sz w:val="12"/>
                <w:szCs w:val="14"/>
                <w:lang w:eastAsia="fr-FR"/>
              </w:rPr>
            </w:pPr>
            <w:r w:rsidRPr="00184950">
              <w:rPr>
                <w:rFonts w:ascii="Arial" w:hAnsi="Arial" w:cs="Arial"/>
                <w:b/>
                <w:bCs/>
                <w:color w:val="000000"/>
                <w:sz w:val="16"/>
                <w:szCs w:val="18"/>
              </w:rPr>
              <w:t>Nombre d'étudiants inscrits (inscriptions principales)</w:t>
            </w:r>
          </w:p>
        </w:tc>
        <w:tc>
          <w:tcPr>
            <w:tcW w:w="10631" w:type="dxa"/>
            <w:vAlign w:val="center"/>
          </w:tcPr>
          <w:p w:rsidR="000F3ED8" w:rsidRPr="008334D4" w:rsidRDefault="000F3ED8" w:rsidP="00184950">
            <w:pPr>
              <w:autoSpaceDE w:val="0"/>
              <w:autoSpaceDN w:val="0"/>
              <w:adjustRightInd w:val="0"/>
              <w:spacing w:beforeLines="30" w:before="72" w:afterLines="30" w:after="72" w:line="240" w:lineRule="auto"/>
              <w:rPr>
                <w:rFonts w:ascii="Arial" w:hAnsi="Arial" w:cs="Arial"/>
                <w:color w:val="000000"/>
                <w:sz w:val="14"/>
                <w:szCs w:val="16"/>
              </w:rPr>
            </w:pPr>
            <w:r w:rsidRPr="008334D4">
              <w:rPr>
                <w:rFonts w:ascii="Arial" w:hAnsi="Arial" w:cs="Arial"/>
                <w:color w:val="000000"/>
                <w:sz w:val="16"/>
                <w:szCs w:val="18"/>
              </w:rPr>
              <w:t>Un même étudiant peut prendre plusieurs inscriptions administratives dans un ou plusieurs établissements. Si un étudiant prend plusieurs inscriptions dans un même établissement, une seule est déclarée "principale", les autres sont déclarées "secondes". La notion d'inscription principale permet de dénombrer des étudiants en personnes physiques (sans double compte au sein d'un même établissement).</w:t>
            </w:r>
          </w:p>
        </w:tc>
      </w:tr>
      <w:tr w:rsidR="003F063D" w:rsidRPr="008334D4" w:rsidTr="001B5508">
        <w:trPr>
          <w:trHeight w:val="454"/>
        </w:trPr>
        <w:tc>
          <w:tcPr>
            <w:tcW w:w="3843" w:type="dxa"/>
          </w:tcPr>
          <w:p w:rsidR="003F063D" w:rsidRPr="003F063D" w:rsidRDefault="003F063D" w:rsidP="001B5508">
            <w:pPr>
              <w:spacing w:beforeLines="30" w:before="72" w:afterLines="30" w:after="72" w:line="240" w:lineRule="auto"/>
              <w:rPr>
                <w:rFonts w:ascii="Arial" w:hAnsi="Arial" w:cs="Arial"/>
                <w:b/>
                <w:sz w:val="12"/>
                <w:szCs w:val="14"/>
                <w:lang w:eastAsia="fr-FR"/>
              </w:rPr>
            </w:pPr>
            <w:r w:rsidRPr="003F063D">
              <w:rPr>
                <w:rFonts w:ascii="Arial" w:hAnsi="Arial" w:cs="Arial"/>
                <w:b/>
                <w:color w:val="000000"/>
                <w:sz w:val="16"/>
                <w:szCs w:val="16"/>
                <w:lang w:eastAsia="fr-FR"/>
              </w:rPr>
              <w:t>Nombre d'étudiants inscrits (inscriptions principales) hors étudiants inscrits en parallèle dans une classe préparatoire aux grandes écoles ou prépa intégrée</w:t>
            </w:r>
            <w:r>
              <w:rPr>
                <w:rFonts w:ascii="Arial" w:hAnsi="Arial" w:cs="Arial"/>
                <w:b/>
                <w:color w:val="000000"/>
                <w:sz w:val="16"/>
                <w:szCs w:val="16"/>
                <w:lang w:eastAsia="fr-FR"/>
              </w:rPr>
              <w:t>s</w:t>
            </w:r>
          </w:p>
        </w:tc>
        <w:tc>
          <w:tcPr>
            <w:tcW w:w="10631" w:type="dxa"/>
            <w:vAlign w:val="center"/>
          </w:tcPr>
          <w:p w:rsidR="003F063D" w:rsidRPr="008334D4" w:rsidRDefault="003F063D" w:rsidP="001B5508">
            <w:pPr>
              <w:autoSpaceDE w:val="0"/>
              <w:autoSpaceDN w:val="0"/>
              <w:adjustRightInd w:val="0"/>
              <w:spacing w:beforeLines="30" w:before="72" w:afterLines="30" w:after="72" w:line="240" w:lineRule="auto"/>
              <w:rPr>
                <w:rFonts w:ascii="Arial" w:hAnsi="Arial" w:cs="Arial"/>
                <w:color w:val="000000"/>
                <w:sz w:val="14"/>
                <w:szCs w:val="16"/>
              </w:rPr>
            </w:pPr>
            <w:r>
              <w:rPr>
                <w:rFonts w:ascii="Arial" w:hAnsi="Arial" w:cs="Arial"/>
                <w:color w:val="000000"/>
                <w:sz w:val="16"/>
                <w:szCs w:val="18"/>
              </w:rPr>
              <w:t>Cette variable reprend le concept du nombre d’étudiants inscrits, mais sans prendre en compte les étudiants inscrits en parallèle dans une classe préparatoire aux grandes écoles et une prépa intégrées. Cette variable permet de calculer des taux d’évolution d’une année à une autre.</w:t>
            </w:r>
          </w:p>
        </w:tc>
      </w:tr>
      <w:tr w:rsidR="008334D4" w:rsidRPr="008334D4" w:rsidTr="00184950">
        <w:trPr>
          <w:trHeight w:val="454"/>
        </w:trPr>
        <w:tc>
          <w:tcPr>
            <w:tcW w:w="3843" w:type="dxa"/>
          </w:tcPr>
          <w:p w:rsidR="008334D4" w:rsidRPr="00184950" w:rsidRDefault="008334D4" w:rsidP="006C17F1">
            <w:pPr>
              <w:spacing w:beforeLines="30" w:before="72" w:afterLines="30" w:after="72" w:line="240" w:lineRule="auto"/>
              <w:rPr>
                <w:rFonts w:ascii="Arial" w:hAnsi="Arial" w:cs="Arial"/>
                <w:b/>
                <w:sz w:val="12"/>
                <w:szCs w:val="14"/>
                <w:lang w:eastAsia="fr-FR"/>
              </w:rPr>
            </w:pPr>
            <w:r w:rsidRPr="00184950">
              <w:rPr>
                <w:rFonts w:ascii="Arial" w:hAnsi="Arial" w:cs="Arial"/>
                <w:b/>
                <w:bCs/>
                <w:color w:val="000000"/>
                <w:sz w:val="16"/>
                <w:szCs w:val="18"/>
              </w:rPr>
              <w:t>Nombre total d'étudiants inscrits (inscriptions principales et seconde)</w:t>
            </w:r>
          </w:p>
        </w:tc>
        <w:tc>
          <w:tcPr>
            <w:tcW w:w="10631" w:type="dxa"/>
            <w:vAlign w:val="center"/>
          </w:tcPr>
          <w:p w:rsidR="008334D4" w:rsidRPr="008334D4" w:rsidRDefault="008334D4" w:rsidP="00184950">
            <w:pPr>
              <w:autoSpaceDE w:val="0"/>
              <w:autoSpaceDN w:val="0"/>
              <w:adjustRightInd w:val="0"/>
              <w:spacing w:beforeLines="30" w:before="72" w:afterLines="30" w:after="72" w:line="240" w:lineRule="auto"/>
              <w:rPr>
                <w:rFonts w:ascii="Arial" w:hAnsi="Arial" w:cs="Arial"/>
                <w:color w:val="000000"/>
                <w:sz w:val="14"/>
                <w:szCs w:val="16"/>
              </w:rPr>
            </w:pPr>
            <w:r w:rsidRPr="008334D4">
              <w:rPr>
                <w:rFonts w:ascii="Arial" w:hAnsi="Arial" w:cs="Arial"/>
                <w:color w:val="000000"/>
                <w:sz w:val="16"/>
                <w:szCs w:val="18"/>
              </w:rPr>
              <w:t>Cet effectif prend en compte les inscriptions principales et l’ensemble des inscriptions secondes d’un établissement.</w:t>
            </w:r>
          </w:p>
        </w:tc>
      </w:tr>
      <w:tr w:rsidR="00F3423A" w:rsidRPr="008334D4" w:rsidTr="00184950">
        <w:trPr>
          <w:trHeight w:val="454"/>
        </w:trPr>
        <w:tc>
          <w:tcPr>
            <w:tcW w:w="3843" w:type="dxa"/>
          </w:tcPr>
          <w:p w:rsidR="00F3423A" w:rsidRPr="00184950" w:rsidRDefault="00184950"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Champ statistique</w:t>
            </w:r>
          </w:p>
        </w:tc>
        <w:tc>
          <w:tcPr>
            <w:tcW w:w="10631" w:type="dxa"/>
            <w:vAlign w:val="center"/>
          </w:tcPr>
          <w:p w:rsidR="00F3423A" w:rsidRPr="008334D4" w:rsidRDefault="00F3423A" w:rsidP="00184950">
            <w:pPr>
              <w:autoSpaceDE w:val="0"/>
              <w:autoSpaceDN w:val="0"/>
              <w:adjustRightInd w:val="0"/>
              <w:spacing w:beforeLines="30" w:before="72" w:afterLines="30" w:after="72" w:line="240" w:lineRule="auto"/>
              <w:rPr>
                <w:rFonts w:ascii="Arial" w:hAnsi="Arial" w:cs="Arial"/>
                <w:color w:val="000000"/>
                <w:sz w:val="16"/>
                <w:szCs w:val="18"/>
              </w:rPr>
            </w:pPr>
            <w:r>
              <w:rPr>
                <w:rFonts w:ascii="Arial" w:hAnsi="Arial" w:cs="Arial"/>
                <w:color w:val="000000"/>
                <w:sz w:val="16"/>
                <w:szCs w:val="16"/>
                <w:lang w:eastAsia="fr-FR"/>
              </w:rPr>
              <w:t>Permet d’identifier le champ statistique correspondant aux universités et assimilés en France métropolitaine et des départements d’outre-mer</w:t>
            </w:r>
            <w:r w:rsidR="00184950">
              <w:rPr>
                <w:rFonts w:ascii="Arial" w:hAnsi="Arial" w:cs="Arial"/>
                <w:color w:val="000000"/>
                <w:sz w:val="16"/>
                <w:szCs w:val="16"/>
                <w:lang w:eastAsia="fr-FR"/>
              </w:rPr>
              <w:t>.</w:t>
            </w:r>
          </w:p>
        </w:tc>
      </w:tr>
      <w:tr w:rsidR="000F3ED8" w:rsidRPr="008334D4" w:rsidTr="00184950">
        <w:trPr>
          <w:trHeight w:val="454"/>
        </w:trPr>
        <w:tc>
          <w:tcPr>
            <w:tcW w:w="3843" w:type="dxa"/>
          </w:tcPr>
          <w:p w:rsidR="000F3ED8" w:rsidRPr="00184950" w:rsidRDefault="000F3ED8"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Diplômes d'établissement :</w:t>
            </w:r>
          </w:p>
        </w:tc>
        <w:tc>
          <w:tcPr>
            <w:tcW w:w="10631" w:type="dxa"/>
            <w:vAlign w:val="center"/>
          </w:tcPr>
          <w:p w:rsidR="000F3ED8" w:rsidRPr="008334D4" w:rsidRDefault="000F3ED8" w:rsidP="00184950">
            <w:pPr>
              <w:autoSpaceDE w:val="0"/>
              <w:autoSpaceDN w:val="0"/>
              <w:adjustRightInd w:val="0"/>
              <w:spacing w:beforeLines="30" w:before="72" w:afterLines="30" w:after="72" w:line="240" w:lineRule="auto"/>
              <w:rPr>
                <w:rFonts w:ascii="Arial" w:hAnsi="Arial" w:cs="Arial"/>
                <w:color w:val="000000"/>
                <w:sz w:val="16"/>
                <w:szCs w:val="18"/>
              </w:rPr>
            </w:pPr>
            <w:r w:rsidRPr="008334D4">
              <w:rPr>
                <w:rFonts w:ascii="Arial" w:hAnsi="Arial" w:cs="Arial"/>
                <w:color w:val="000000"/>
                <w:sz w:val="16"/>
                <w:szCs w:val="18"/>
              </w:rPr>
              <w:t>Un diplôme d'établissement est un diplôme délivré par un établissement, mais qui n'est ni habilité, ni reconnu par l'État.</w:t>
            </w:r>
          </w:p>
        </w:tc>
      </w:tr>
      <w:tr w:rsidR="000F3ED8" w:rsidRPr="008334D4" w:rsidTr="00184950">
        <w:trPr>
          <w:trHeight w:val="454"/>
        </w:trPr>
        <w:tc>
          <w:tcPr>
            <w:tcW w:w="3843" w:type="dxa"/>
          </w:tcPr>
          <w:p w:rsidR="000F3ED8" w:rsidRPr="00184950" w:rsidRDefault="000F3ED8"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Diplômes nationaux :</w:t>
            </w:r>
          </w:p>
        </w:tc>
        <w:tc>
          <w:tcPr>
            <w:tcW w:w="10631" w:type="dxa"/>
            <w:vAlign w:val="center"/>
          </w:tcPr>
          <w:p w:rsidR="000F3ED8" w:rsidRPr="008334D4" w:rsidRDefault="000F3ED8" w:rsidP="00184950">
            <w:pPr>
              <w:autoSpaceDE w:val="0"/>
              <w:autoSpaceDN w:val="0"/>
              <w:adjustRightInd w:val="0"/>
              <w:spacing w:beforeLines="30" w:before="72" w:afterLines="30" w:after="72" w:line="240" w:lineRule="auto"/>
              <w:rPr>
                <w:rFonts w:ascii="Arial" w:hAnsi="Arial" w:cs="Arial"/>
                <w:color w:val="000000"/>
                <w:sz w:val="16"/>
                <w:szCs w:val="18"/>
              </w:rPr>
            </w:pPr>
            <w:r w:rsidRPr="008334D4">
              <w:rPr>
                <w:rFonts w:ascii="Arial" w:hAnsi="Arial" w:cs="Arial"/>
                <w:color w:val="000000"/>
                <w:sz w:val="16"/>
                <w:szCs w:val="18"/>
              </w:rPr>
              <w:t>Un diplôme national est un diplôme reconnu et habilité par l'État.</w:t>
            </w:r>
          </w:p>
        </w:tc>
      </w:tr>
      <w:tr w:rsidR="000F3ED8" w:rsidRPr="008334D4" w:rsidTr="00184950">
        <w:trPr>
          <w:trHeight w:val="454"/>
        </w:trPr>
        <w:tc>
          <w:tcPr>
            <w:tcW w:w="3843" w:type="dxa"/>
          </w:tcPr>
          <w:p w:rsidR="000F3ED8" w:rsidRPr="00184950" w:rsidRDefault="000F3ED8"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Formations d'ingénieurs :</w:t>
            </w:r>
          </w:p>
        </w:tc>
        <w:tc>
          <w:tcPr>
            <w:tcW w:w="10631" w:type="dxa"/>
            <w:vAlign w:val="center"/>
          </w:tcPr>
          <w:p w:rsidR="000F3ED8" w:rsidRPr="008334D4" w:rsidRDefault="000F3ED8" w:rsidP="00184950">
            <w:pPr>
              <w:autoSpaceDE w:val="0"/>
              <w:autoSpaceDN w:val="0"/>
              <w:adjustRightInd w:val="0"/>
              <w:spacing w:beforeLines="30" w:before="72" w:afterLines="30" w:after="72" w:line="240" w:lineRule="auto"/>
              <w:rPr>
                <w:rFonts w:ascii="Arial" w:hAnsi="Arial" w:cs="Arial"/>
                <w:color w:val="000000"/>
                <w:sz w:val="16"/>
                <w:szCs w:val="18"/>
              </w:rPr>
            </w:pPr>
            <w:r w:rsidRPr="008334D4">
              <w:rPr>
                <w:rFonts w:ascii="Arial" w:hAnsi="Arial" w:cs="Arial"/>
                <w:color w:val="000000"/>
                <w:sz w:val="16"/>
                <w:szCs w:val="18"/>
              </w:rPr>
              <w:t>Par formations d'ingénieurs, on entendra les formations d'ingénieurs classiques, les nouvelles formations d'ingénieurs et les formations d'ingénieurs spécialisées donnant lieu à délivrance d'un diplôme d'ingénieur reconnu par la commission des titres d'ingénieurs, mais n'inclus pas les prépas intégrées.</w:t>
            </w:r>
          </w:p>
        </w:tc>
      </w:tr>
      <w:tr w:rsidR="000F3ED8" w:rsidRPr="008334D4" w:rsidTr="00184950">
        <w:trPr>
          <w:trHeight w:val="454"/>
        </w:trPr>
        <w:tc>
          <w:tcPr>
            <w:tcW w:w="3843" w:type="dxa"/>
          </w:tcPr>
          <w:p w:rsidR="000F3ED8" w:rsidRPr="00184950" w:rsidRDefault="008334D4"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Opérateur</w:t>
            </w:r>
            <w:r w:rsidR="000F3ED8" w:rsidRPr="00184950">
              <w:rPr>
                <w:rFonts w:ascii="Arial" w:hAnsi="Arial" w:cs="Arial"/>
                <w:b/>
                <w:bCs/>
                <w:color w:val="000000"/>
                <w:sz w:val="16"/>
                <w:szCs w:val="18"/>
              </w:rPr>
              <w:t xml:space="preserve"> :</w:t>
            </w:r>
          </w:p>
        </w:tc>
        <w:tc>
          <w:tcPr>
            <w:tcW w:w="10631" w:type="dxa"/>
            <w:vAlign w:val="center"/>
          </w:tcPr>
          <w:p w:rsidR="000F3ED8" w:rsidRPr="008334D4" w:rsidRDefault="008334D4" w:rsidP="00184950">
            <w:pPr>
              <w:autoSpaceDE w:val="0"/>
              <w:autoSpaceDN w:val="0"/>
              <w:adjustRightInd w:val="0"/>
              <w:spacing w:beforeLines="30" w:before="72" w:afterLines="30" w:after="72" w:line="240" w:lineRule="auto"/>
              <w:rPr>
                <w:rFonts w:ascii="Arial" w:hAnsi="Arial" w:cs="Arial"/>
                <w:color w:val="000000"/>
                <w:sz w:val="16"/>
                <w:szCs w:val="18"/>
              </w:rPr>
            </w:pPr>
            <w:r w:rsidRPr="008334D4">
              <w:rPr>
                <w:rFonts w:ascii="Arial" w:hAnsi="Arial" w:cs="Arial"/>
                <w:color w:val="000000"/>
                <w:sz w:val="16"/>
                <w:szCs w:val="18"/>
              </w:rPr>
              <w:t xml:space="preserve">Correspond à la notion d’opérateurs de l’État. </w:t>
            </w:r>
            <w:r w:rsidR="002F6FE4">
              <w:rPr>
                <w:rFonts w:ascii="Arial" w:hAnsi="Arial" w:cs="Arial"/>
                <w:color w:val="000000"/>
                <w:sz w:val="16"/>
                <w:szCs w:val="18"/>
              </w:rPr>
              <w:t>Cette notion permet de distinguer les</w:t>
            </w:r>
            <w:r w:rsidR="00B21D99">
              <w:rPr>
                <w:rFonts w:ascii="Arial" w:hAnsi="Arial" w:cs="Arial"/>
                <w:color w:val="000000"/>
                <w:sz w:val="16"/>
                <w:szCs w:val="18"/>
              </w:rPr>
              <w:t xml:space="preserve"> IEP et l’IAE de Paris rattachés à des universités.</w:t>
            </w:r>
          </w:p>
        </w:tc>
      </w:tr>
      <w:tr w:rsidR="000F3ED8" w:rsidRPr="008334D4" w:rsidTr="00184950">
        <w:trPr>
          <w:trHeight w:val="454"/>
        </w:trPr>
        <w:tc>
          <w:tcPr>
            <w:tcW w:w="3843" w:type="dxa"/>
          </w:tcPr>
          <w:p w:rsidR="000F3ED8" w:rsidRPr="00184950" w:rsidRDefault="000F3ED8"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bCs/>
                <w:color w:val="000000"/>
                <w:sz w:val="16"/>
                <w:szCs w:val="18"/>
              </w:rPr>
              <w:t>Implantation (unité d'inscription) :</w:t>
            </w:r>
          </w:p>
        </w:tc>
        <w:tc>
          <w:tcPr>
            <w:tcW w:w="10631" w:type="dxa"/>
            <w:vAlign w:val="center"/>
          </w:tcPr>
          <w:p w:rsidR="000F3ED8" w:rsidRPr="008334D4" w:rsidRDefault="000F3ED8" w:rsidP="00184950">
            <w:pPr>
              <w:autoSpaceDE w:val="0"/>
              <w:autoSpaceDN w:val="0"/>
              <w:adjustRightInd w:val="0"/>
              <w:spacing w:beforeLines="30" w:before="72" w:afterLines="30" w:after="72" w:line="240" w:lineRule="auto"/>
              <w:rPr>
                <w:rFonts w:ascii="Arial" w:hAnsi="Arial" w:cs="Arial"/>
                <w:color w:val="000000"/>
                <w:sz w:val="16"/>
                <w:szCs w:val="18"/>
              </w:rPr>
            </w:pPr>
            <w:r w:rsidRPr="008334D4">
              <w:rPr>
                <w:rFonts w:ascii="Arial" w:hAnsi="Arial" w:cs="Arial"/>
                <w:color w:val="000000"/>
                <w:sz w:val="16"/>
                <w:szCs w:val="18"/>
              </w:rPr>
              <w:t>L'implantation correspond à l'entité de rattachement géographique de l'étudiant.</w:t>
            </w:r>
          </w:p>
        </w:tc>
      </w:tr>
      <w:tr w:rsidR="00307713" w:rsidRPr="008334D4" w:rsidTr="00184950">
        <w:trPr>
          <w:trHeight w:val="454"/>
        </w:trPr>
        <w:tc>
          <w:tcPr>
            <w:tcW w:w="3843" w:type="dxa"/>
          </w:tcPr>
          <w:p w:rsidR="00307713" w:rsidRPr="00184950" w:rsidRDefault="00307713" w:rsidP="008846C8">
            <w:pPr>
              <w:autoSpaceDE w:val="0"/>
              <w:autoSpaceDN w:val="0"/>
              <w:adjustRightInd w:val="0"/>
              <w:spacing w:beforeLines="30" w:before="72" w:afterLines="30" w:after="72" w:line="240" w:lineRule="auto"/>
              <w:rPr>
                <w:rFonts w:ascii="Arial" w:hAnsi="Arial" w:cs="Arial"/>
                <w:b/>
                <w:bCs/>
                <w:color w:val="000000"/>
                <w:sz w:val="16"/>
                <w:szCs w:val="18"/>
              </w:rPr>
            </w:pPr>
            <w:r w:rsidRPr="00184950">
              <w:rPr>
                <w:rFonts w:ascii="Arial" w:hAnsi="Arial" w:cs="Arial"/>
                <w:b/>
                <w:color w:val="000000"/>
                <w:sz w:val="16"/>
                <w:szCs w:val="16"/>
                <w:lang w:eastAsia="fr-FR"/>
              </w:rPr>
              <w:t>universités et assimilés</w:t>
            </w:r>
          </w:p>
        </w:tc>
        <w:tc>
          <w:tcPr>
            <w:tcW w:w="10631" w:type="dxa"/>
            <w:vAlign w:val="center"/>
          </w:tcPr>
          <w:p w:rsidR="00307713" w:rsidRPr="008334D4" w:rsidRDefault="005C4600" w:rsidP="00184950">
            <w:pPr>
              <w:autoSpaceDE w:val="0"/>
              <w:autoSpaceDN w:val="0"/>
              <w:adjustRightInd w:val="0"/>
              <w:spacing w:beforeLines="30" w:before="72" w:afterLines="30" w:after="72" w:line="240" w:lineRule="auto"/>
              <w:rPr>
                <w:rFonts w:ascii="Arial" w:hAnsi="Arial" w:cs="Arial"/>
                <w:color w:val="000000"/>
                <w:sz w:val="16"/>
                <w:szCs w:val="18"/>
              </w:rPr>
            </w:pPr>
            <w:r>
              <w:rPr>
                <w:rFonts w:ascii="Arial" w:hAnsi="Arial" w:cs="Arial"/>
                <w:color w:val="000000"/>
                <w:sz w:val="16"/>
                <w:szCs w:val="18"/>
              </w:rPr>
              <w:t>Cet agrégat comprend les universités, l’université de Lorraine (grand établissement), l’</w:t>
            </w:r>
            <w:r w:rsidRPr="00184950">
              <w:rPr>
                <w:rFonts w:ascii="Arial" w:hAnsi="Arial" w:cs="Arial"/>
                <w:color w:val="000000"/>
                <w:sz w:val="16"/>
                <w:szCs w:val="18"/>
              </w:rPr>
              <w:t>Institut national universitaire Jean-François Champollion</w:t>
            </w:r>
            <w:r>
              <w:rPr>
                <w:rFonts w:ascii="Arial" w:hAnsi="Arial" w:cs="Arial"/>
                <w:color w:val="000000"/>
                <w:sz w:val="16"/>
                <w:szCs w:val="18"/>
              </w:rPr>
              <w:t xml:space="preserve">, le </w:t>
            </w:r>
            <w:r w:rsidRPr="00184950">
              <w:rPr>
                <w:rFonts w:ascii="Arial" w:hAnsi="Arial" w:cs="Arial"/>
                <w:color w:val="000000"/>
                <w:sz w:val="16"/>
                <w:szCs w:val="18"/>
              </w:rPr>
              <w:t>Centre Universitaire de Mayotte</w:t>
            </w:r>
            <w:r>
              <w:rPr>
                <w:rFonts w:ascii="Arial" w:hAnsi="Arial" w:cs="Arial"/>
                <w:color w:val="000000"/>
                <w:sz w:val="16"/>
                <w:szCs w:val="18"/>
              </w:rPr>
              <w:t xml:space="preserve">, les COMUE </w:t>
            </w:r>
            <w:r w:rsidRPr="00064CAE">
              <w:rPr>
                <w:rFonts w:ascii="Arial" w:hAnsi="Arial" w:cs="Arial"/>
                <w:color w:val="000000"/>
                <w:sz w:val="16"/>
                <w:szCs w:val="18"/>
                <w:highlight w:val="yellow"/>
              </w:rPr>
              <w:t>Université Bourgogne - Franche-Comté</w:t>
            </w:r>
            <w:r>
              <w:rPr>
                <w:rFonts w:ascii="Arial" w:hAnsi="Arial" w:cs="Arial"/>
                <w:color w:val="000000"/>
                <w:sz w:val="16"/>
                <w:szCs w:val="18"/>
              </w:rPr>
              <w:t xml:space="preserve">, </w:t>
            </w:r>
            <w:r w:rsidRPr="00B21D99">
              <w:rPr>
                <w:rFonts w:ascii="Arial" w:hAnsi="Arial" w:cs="Arial"/>
                <w:color w:val="000000"/>
                <w:sz w:val="16"/>
                <w:szCs w:val="18"/>
              </w:rPr>
              <w:t>Université Côte d'Azur</w:t>
            </w:r>
            <w:r>
              <w:rPr>
                <w:rFonts w:ascii="Arial" w:hAnsi="Arial" w:cs="Arial"/>
                <w:color w:val="000000"/>
                <w:sz w:val="16"/>
                <w:szCs w:val="18"/>
              </w:rPr>
              <w:t xml:space="preserve">, </w:t>
            </w:r>
            <w:r w:rsidRPr="00B21D99">
              <w:rPr>
                <w:rFonts w:ascii="Arial" w:hAnsi="Arial" w:cs="Arial"/>
                <w:color w:val="000000"/>
                <w:sz w:val="16"/>
                <w:szCs w:val="18"/>
              </w:rPr>
              <w:t xml:space="preserve">Université de recherche Paris sciences et lettres - PSL </w:t>
            </w:r>
            <w:proofErr w:type="spellStart"/>
            <w:r w:rsidRPr="00B21D99">
              <w:rPr>
                <w:rFonts w:ascii="Arial" w:hAnsi="Arial" w:cs="Arial"/>
                <w:color w:val="000000"/>
                <w:sz w:val="16"/>
                <w:szCs w:val="18"/>
              </w:rPr>
              <w:t>Research</w:t>
            </w:r>
            <w:proofErr w:type="spellEnd"/>
            <w:r w:rsidRPr="00B21D99">
              <w:rPr>
                <w:rFonts w:ascii="Arial" w:hAnsi="Arial" w:cs="Arial"/>
                <w:color w:val="000000"/>
                <w:sz w:val="16"/>
                <w:szCs w:val="18"/>
              </w:rPr>
              <w:t xml:space="preserve"> </w:t>
            </w:r>
            <w:proofErr w:type="spellStart"/>
            <w:r w:rsidRPr="00B21D99">
              <w:rPr>
                <w:rFonts w:ascii="Arial" w:hAnsi="Arial" w:cs="Arial"/>
                <w:color w:val="000000"/>
                <w:sz w:val="16"/>
                <w:szCs w:val="18"/>
              </w:rPr>
              <w:t>University</w:t>
            </w:r>
            <w:proofErr w:type="spellEnd"/>
            <w:r>
              <w:rPr>
                <w:rFonts w:ascii="Arial" w:hAnsi="Arial" w:cs="Arial"/>
                <w:color w:val="000000"/>
                <w:sz w:val="16"/>
                <w:szCs w:val="18"/>
              </w:rPr>
              <w:t xml:space="preserve">, </w:t>
            </w:r>
            <w:r w:rsidRPr="00B21D99">
              <w:rPr>
                <w:rFonts w:ascii="Arial" w:hAnsi="Arial" w:cs="Arial"/>
                <w:color w:val="000000"/>
                <w:sz w:val="16"/>
                <w:szCs w:val="18"/>
              </w:rPr>
              <w:t>Université Grenoble Alpes</w:t>
            </w:r>
            <w:r>
              <w:rPr>
                <w:rFonts w:ascii="Arial" w:hAnsi="Arial" w:cs="Arial"/>
                <w:color w:val="000000"/>
                <w:sz w:val="16"/>
                <w:szCs w:val="18"/>
              </w:rPr>
              <w:t xml:space="preserve">, </w:t>
            </w:r>
            <w:r w:rsidRPr="00B21D99">
              <w:rPr>
                <w:rFonts w:ascii="Arial" w:hAnsi="Arial" w:cs="Arial"/>
                <w:color w:val="000000"/>
                <w:sz w:val="16"/>
                <w:szCs w:val="18"/>
              </w:rPr>
              <w:t>Université Paris Lumières</w:t>
            </w:r>
            <w:r>
              <w:rPr>
                <w:rFonts w:ascii="Arial" w:hAnsi="Arial" w:cs="Arial"/>
                <w:color w:val="000000"/>
                <w:sz w:val="16"/>
                <w:szCs w:val="18"/>
              </w:rPr>
              <w:t xml:space="preserve">, </w:t>
            </w:r>
            <w:r w:rsidRPr="00B21D99">
              <w:rPr>
                <w:rFonts w:ascii="Arial" w:hAnsi="Arial" w:cs="Arial"/>
                <w:color w:val="000000"/>
                <w:sz w:val="16"/>
                <w:szCs w:val="18"/>
              </w:rPr>
              <w:t>Université Paris-Est</w:t>
            </w:r>
            <w:r>
              <w:rPr>
                <w:rFonts w:ascii="Arial" w:hAnsi="Arial" w:cs="Arial"/>
                <w:color w:val="000000"/>
                <w:sz w:val="16"/>
                <w:szCs w:val="18"/>
              </w:rPr>
              <w:t xml:space="preserve"> et </w:t>
            </w:r>
            <w:r w:rsidRPr="00B21D99">
              <w:rPr>
                <w:rFonts w:ascii="Arial" w:hAnsi="Arial" w:cs="Arial"/>
                <w:color w:val="000000"/>
                <w:sz w:val="16"/>
                <w:szCs w:val="18"/>
              </w:rPr>
              <w:t>Université Paris-Saclay</w:t>
            </w:r>
          </w:p>
        </w:tc>
      </w:tr>
    </w:tbl>
    <w:p w:rsidR="00AB7990" w:rsidRPr="006C47FD" w:rsidRDefault="00AB7990" w:rsidP="008F3743">
      <w:pPr>
        <w:rPr>
          <w:rFonts w:ascii="Arial" w:hAnsi="Arial" w:cs="Arial"/>
          <w:sz w:val="2"/>
        </w:rPr>
      </w:pPr>
    </w:p>
    <w:sectPr w:rsidR="00AB7990" w:rsidRPr="006C47FD" w:rsidSect="002B5F5B">
      <w:pgSz w:w="16838" w:h="11906" w:orient="landscape"/>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2AE"/>
    <w:rsid w:val="00093A7F"/>
    <w:rsid w:val="000A4D2F"/>
    <w:rsid w:val="000D20EB"/>
    <w:rsid w:val="000E7181"/>
    <w:rsid w:val="000F3ED8"/>
    <w:rsid w:val="00104BDC"/>
    <w:rsid w:val="001453D1"/>
    <w:rsid w:val="0018392B"/>
    <w:rsid w:val="00184950"/>
    <w:rsid w:val="001B5508"/>
    <w:rsid w:val="001C0459"/>
    <w:rsid w:val="001F665E"/>
    <w:rsid w:val="00220864"/>
    <w:rsid w:val="00255B6C"/>
    <w:rsid w:val="002652AE"/>
    <w:rsid w:val="002747F8"/>
    <w:rsid w:val="002972D0"/>
    <w:rsid w:val="002B5F5B"/>
    <w:rsid w:val="002D101B"/>
    <w:rsid w:val="002E17FA"/>
    <w:rsid w:val="002F13EA"/>
    <w:rsid w:val="002F28E3"/>
    <w:rsid w:val="002F6FE4"/>
    <w:rsid w:val="00307713"/>
    <w:rsid w:val="0031555E"/>
    <w:rsid w:val="0035480F"/>
    <w:rsid w:val="00381386"/>
    <w:rsid w:val="00381F68"/>
    <w:rsid w:val="00392DC0"/>
    <w:rsid w:val="003E083F"/>
    <w:rsid w:val="003F063D"/>
    <w:rsid w:val="004667A7"/>
    <w:rsid w:val="00470A74"/>
    <w:rsid w:val="00495D6B"/>
    <w:rsid w:val="004D21F0"/>
    <w:rsid w:val="004F453E"/>
    <w:rsid w:val="005632B3"/>
    <w:rsid w:val="005652D1"/>
    <w:rsid w:val="00572E98"/>
    <w:rsid w:val="005749C8"/>
    <w:rsid w:val="005931F6"/>
    <w:rsid w:val="00593F73"/>
    <w:rsid w:val="005A4E9E"/>
    <w:rsid w:val="005C4600"/>
    <w:rsid w:val="005D120E"/>
    <w:rsid w:val="005F626B"/>
    <w:rsid w:val="006276AF"/>
    <w:rsid w:val="00695CFA"/>
    <w:rsid w:val="006A081E"/>
    <w:rsid w:val="006C17F1"/>
    <w:rsid w:val="006C3EE1"/>
    <w:rsid w:val="006C47FD"/>
    <w:rsid w:val="006E3CC8"/>
    <w:rsid w:val="006F2F61"/>
    <w:rsid w:val="0071244B"/>
    <w:rsid w:val="007243C8"/>
    <w:rsid w:val="007352CD"/>
    <w:rsid w:val="00735CA0"/>
    <w:rsid w:val="00760AC0"/>
    <w:rsid w:val="0077053C"/>
    <w:rsid w:val="007968D5"/>
    <w:rsid w:val="008334D4"/>
    <w:rsid w:val="00870EE9"/>
    <w:rsid w:val="00881E33"/>
    <w:rsid w:val="008846C8"/>
    <w:rsid w:val="0088781C"/>
    <w:rsid w:val="008D58A3"/>
    <w:rsid w:val="008F3743"/>
    <w:rsid w:val="00931AAB"/>
    <w:rsid w:val="009457A0"/>
    <w:rsid w:val="00955591"/>
    <w:rsid w:val="009615BB"/>
    <w:rsid w:val="009A2CD9"/>
    <w:rsid w:val="009A3D62"/>
    <w:rsid w:val="009A6ECB"/>
    <w:rsid w:val="00A30682"/>
    <w:rsid w:val="00A83A84"/>
    <w:rsid w:val="00AB70A6"/>
    <w:rsid w:val="00AB7990"/>
    <w:rsid w:val="00AF61F6"/>
    <w:rsid w:val="00B21D99"/>
    <w:rsid w:val="00B2765C"/>
    <w:rsid w:val="00B6412F"/>
    <w:rsid w:val="00B91F8B"/>
    <w:rsid w:val="00B96E4F"/>
    <w:rsid w:val="00C309A0"/>
    <w:rsid w:val="00C95542"/>
    <w:rsid w:val="00CC2F98"/>
    <w:rsid w:val="00CD6BE1"/>
    <w:rsid w:val="00CE39F0"/>
    <w:rsid w:val="00CE52E5"/>
    <w:rsid w:val="00CF151F"/>
    <w:rsid w:val="00CF2BC6"/>
    <w:rsid w:val="00CF3869"/>
    <w:rsid w:val="00CF571D"/>
    <w:rsid w:val="00D03E94"/>
    <w:rsid w:val="00D20C92"/>
    <w:rsid w:val="00D33649"/>
    <w:rsid w:val="00D34426"/>
    <w:rsid w:val="00D414B0"/>
    <w:rsid w:val="00D51D84"/>
    <w:rsid w:val="00D55E98"/>
    <w:rsid w:val="00D6614D"/>
    <w:rsid w:val="00D72EA7"/>
    <w:rsid w:val="00D85656"/>
    <w:rsid w:val="00D93C8F"/>
    <w:rsid w:val="00DA543D"/>
    <w:rsid w:val="00E70857"/>
    <w:rsid w:val="00E95A0F"/>
    <w:rsid w:val="00EB1822"/>
    <w:rsid w:val="00EB3C0A"/>
    <w:rsid w:val="00EC27C6"/>
    <w:rsid w:val="00EE7629"/>
    <w:rsid w:val="00F05871"/>
    <w:rsid w:val="00F2103B"/>
    <w:rsid w:val="00F3423A"/>
    <w:rsid w:val="00F42C38"/>
    <w:rsid w:val="00F62AD2"/>
    <w:rsid w:val="00F9113E"/>
    <w:rsid w:val="00F93865"/>
    <w:rsid w:val="00FB4B97"/>
    <w:rsid w:val="00FB566D"/>
    <w:rsid w:val="00FE6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F626B"/>
    <w:rPr>
      <w:rFonts w:cs="Times New Roman"/>
      <w:color w:val="0000FF" w:themeColor="hyperlink"/>
      <w:u w:val="single"/>
    </w:rPr>
  </w:style>
  <w:style w:type="paragraph" w:styleId="Paragraphedeliste">
    <w:name w:val="List Paragraph"/>
    <w:basedOn w:val="Normal"/>
    <w:uiPriority w:val="34"/>
    <w:qFormat/>
    <w:rsid w:val="001F665E"/>
    <w:pPr>
      <w:ind w:left="720"/>
      <w:contextualSpacing/>
    </w:pPr>
  </w:style>
  <w:style w:type="character" w:styleId="Lienhypertextesuivivisit">
    <w:name w:val="FollowedHyperlink"/>
    <w:basedOn w:val="Policepardfaut"/>
    <w:uiPriority w:val="99"/>
    <w:semiHidden/>
    <w:unhideWhenUsed/>
    <w:rsid w:val="00255B6C"/>
    <w:rPr>
      <w:color w:val="800080" w:themeColor="followedHyperlink"/>
      <w:u w:val="single"/>
    </w:rPr>
  </w:style>
  <w:style w:type="table" w:styleId="Grilledutableau">
    <w:name w:val="Table Grid"/>
    <w:basedOn w:val="TableauNormal"/>
    <w:uiPriority w:val="59"/>
    <w:rsid w:val="001B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F9113E"/>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F626B"/>
    <w:rPr>
      <w:rFonts w:cs="Times New Roman"/>
      <w:color w:val="0000FF" w:themeColor="hyperlink"/>
      <w:u w:val="single"/>
    </w:rPr>
  </w:style>
  <w:style w:type="paragraph" w:styleId="Paragraphedeliste">
    <w:name w:val="List Paragraph"/>
    <w:basedOn w:val="Normal"/>
    <w:uiPriority w:val="34"/>
    <w:qFormat/>
    <w:rsid w:val="001F665E"/>
    <w:pPr>
      <w:ind w:left="720"/>
      <w:contextualSpacing/>
    </w:pPr>
  </w:style>
  <w:style w:type="character" w:styleId="Lienhypertextesuivivisit">
    <w:name w:val="FollowedHyperlink"/>
    <w:basedOn w:val="Policepardfaut"/>
    <w:uiPriority w:val="99"/>
    <w:semiHidden/>
    <w:unhideWhenUsed/>
    <w:rsid w:val="00255B6C"/>
    <w:rPr>
      <w:color w:val="800080" w:themeColor="followedHyperlink"/>
      <w:u w:val="single"/>
    </w:rPr>
  </w:style>
  <w:style w:type="table" w:styleId="Grilledutableau">
    <w:name w:val="Table Grid"/>
    <w:basedOn w:val="TableauNormal"/>
    <w:uiPriority w:val="59"/>
    <w:rsid w:val="001B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F911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962">
      <w:bodyDiv w:val="1"/>
      <w:marLeft w:val="0"/>
      <w:marRight w:val="0"/>
      <w:marTop w:val="0"/>
      <w:marBottom w:val="0"/>
      <w:divBdr>
        <w:top w:val="none" w:sz="0" w:space="0" w:color="auto"/>
        <w:left w:val="none" w:sz="0" w:space="0" w:color="auto"/>
        <w:bottom w:val="none" w:sz="0" w:space="0" w:color="auto"/>
        <w:right w:val="none" w:sz="0" w:space="0" w:color="auto"/>
      </w:divBdr>
    </w:div>
    <w:div w:id="80834169">
      <w:bodyDiv w:val="1"/>
      <w:marLeft w:val="0"/>
      <w:marRight w:val="0"/>
      <w:marTop w:val="0"/>
      <w:marBottom w:val="0"/>
      <w:divBdr>
        <w:top w:val="none" w:sz="0" w:space="0" w:color="auto"/>
        <w:left w:val="none" w:sz="0" w:space="0" w:color="auto"/>
        <w:bottom w:val="none" w:sz="0" w:space="0" w:color="auto"/>
        <w:right w:val="none" w:sz="0" w:space="0" w:color="auto"/>
      </w:divBdr>
    </w:div>
    <w:div w:id="218907917">
      <w:bodyDiv w:val="1"/>
      <w:marLeft w:val="0"/>
      <w:marRight w:val="0"/>
      <w:marTop w:val="0"/>
      <w:marBottom w:val="0"/>
      <w:divBdr>
        <w:top w:val="none" w:sz="0" w:space="0" w:color="auto"/>
        <w:left w:val="none" w:sz="0" w:space="0" w:color="auto"/>
        <w:bottom w:val="none" w:sz="0" w:space="0" w:color="auto"/>
        <w:right w:val="none" w:sz="0" w:space="0" w:color="auto"/>
      </w:divBdr>
    </w:div>
    <w:div w:id="379398515">
      <w:bodyDiv w:val="1"/>
      <w:marLeft w:val="0"/>
      <w:marRight w:val="0"/>
      <w:marTop w:val="0"/>
      <w:marBottom w:val="0"/>
      <w:divBdr>
        <w:top w:val="none" w:sz="0" w:space="0" w:color="auto"/>
        <w:left w:val="none" w:sz="0" w:space="0" w:color="auto"/>
        <w:bottom w:val="none" w:sz="0" w:space="0" w:color="auto"/>
        <w:right w:val="none" w:sz="0" w:space="0" w:color="auto"/>
      </w:divBdr>
    </w:div>
    <w:div w:id="560016294">
      <w:bodyDiv w:val="1"/>
      <w:marLeft w:val="0"/>
      <w:marRight w:val="0"/>
      <w:marTop w:val="0"/>
      <w:marBottom w:val="0"/>
      <w:divBdr>
        <w:top w:val="none" w:sz="0" w:space="0" w:color="auto"/>
        <w:left w:val="none" w:sz="0" w:space="0" w:color="auto"/>
        <w:bottom w:val="none" w:sz="0" w:space="0" w:color="auto"/>
        <w:right w:val="none" w:sz="0" w:space="0" w:color="auto"/>
      </w:divBdr>
    </w:div>
    <w:div w:id="608313178">
      <w:bodyDiv w:val="1"/>
      <w:marLeft w:val="0"/>
      <w:marRight w:val="0"/>
      <w:marTop w:val="0"/>
      <w:marBottom w:val="0"/>
      <w:divBdr>
        <w:top w:val="none" w:sz="0" w:space="0" w:color="auto"/>
        <w:left w:val="none" w:sz="0" w:space="0" w:color="auto"/>
        <w:bottom w:val="none" w:sz="0" w:space="0" w:color="auto"/>
        <w:right w:val="none" w:sz="0" w:space="0" w:color="auto"/>
      </w:divBdr>
    </w:div>
    <w:div w:id="653919024">
      <w:bodyDiv w:val="1"/>
      <w:marLeft w:val="0"/>
      <w:marRight w:val="0"/>
      <w:marTop w:val="0"/>
      <w:marBottom w:val="0"/>
      <w:divBdr>
        <w:top w:val="none" w:sz="0" w:space="0" w:color="auto"/>
        <w:left w:val="none" w:sz="0" w:space="0" w:color="auto"/>
        <w:bottom w:val="none" w:sz="0" w:space="0" w:color="auto"/>
        <w:right w:val="none" w:sz="0" w:space="0" w:color="auto"/>
      </w:divBdr>
    </w:div>
    <w:div w:id="690029496">
      <w:bodyDiv w:val="1"/>
      <w:marLeft w:val="0"/>
      <w:marRight w:val="0"/>
      <w:marTop w:val="0"/>
      <w:marBottom w:val="0"/>
      <w:divBdr>
        <w:top w:val="none" w:sz="0" w:space="0" w:color="auto"/>
        <w:left w:val="none" w:sz="0" w:space="0" w:color="auto"/>
        <w:bottom w:val="none" w:sz="0" w:space="0" w:color="auto"/>
        <w:right w:val="none" w:sz="0" w:space="0" w:color="auto"/>
      </w:divBdr>
    </w:div>
    <w:div w:id="692266218">
      <w:bodyDiv w:val="1"/>
      <w:marLeft w:val="0"/>
      <w:marRight w:val="0"/>
      <w:marTop w:val="0"/>
      <w:marBottom w:val="0"/>
      <w:divBdr>
        <w:top w:val="none" w:sz="0" w:space="0" w:color="auto"/>
        <w:left w:val="none" w:sz="0" w:space="0" w:color="auto"/>
        <w:bottom w:val="none" w:sz="0" w:space="0" w:color="auto"/>
        <w:right w:val="none" w:sz="0" w:space="0" w:color="auto"/>
      </w:divBdr>
    </w:div>
    <w:div w:id="702487243">
      <w:bodyDiv w:val="1"/>
      <w:marLeft w:val="0"/>
      <w:marRight w:val="0"/>
      <w:marTop w:val="0"/>
      <w:marBottom w:val="0"/>
      <w:divBdr>
        <w:top w:val="none" w:sz="0" w:space="0" w:color="auto"/>
        <w:left w:val="none" w:sz="0" w:space="0" w:color="auto"/>
        <w:bottom w:val="none" w:sz="0" w:space="0" w:color="auto"/>
        <w:right w:val="none" w:sz="0" w:space="0" w:color="auto"/>
      </w:divBdr>
    </w:div>
    <w:div w:id="766928942">
      <w:bodyDiv w:val="1"/>
      <w:marLeft w:val="0"/>
      <w:marRight w:val="0"/>
      <w:marTop w:val="0"/>
      <w:marBottom w:val="0"/>
      <w:divBdr>
        <w:top w:val="none" w:sz="0" w:space="0" w:color="auto"/>
        <w:left w:val="none" w:sz="0" w:space="0" w:color="auto"/>
        <w:bottom w:val="none" w:sz="0" w:space="0" w:color="auto"/>
        <w:right w:val="none" w:sz="0" w:space="0" w:color="auto"/>
      </w:divBdr>
    </w:div>
    <w:div w:id="789275689">
      <w:bodyDiv w:val="1"/>
      <w:marLeft w:val="0"/>
      <w:marRight w:val="0"/>
      <w:marTop w:val="0"/>
      <w:marBottom w:val="0"/>
      <w:divBdr>
        <w:top w:val="none" w:sz="0" w:space="0" w:color="auto"/>
        <w:left w:val="none" w:sz="0" w:space="0" w:color="auto"/>
        <w:bottom w:val="none" w:sz="0" w:space="0" w:color="auto"/>
        <w:right w:val="none" w:sz="0" w:space="0" w:color="auto"/>
      </w:divBdr>
    </w:div>
    <w:div w:id="793862201">
      <w:bodyDiv w:val="1"/>
      <w:marLeft w:val="0"/>
      <w:marRight w:val="0"/>
      <w:marTop w:val="0"/>
      <w:marBottom w:val="0"/>
      <w:divBdr>
        <w:top w:val="none" w:sz="0" w:space="0" w:color="auto"/>
        <w:left w:val="none" w:sz="0" w:space="0" w:color="auto"/>
        <w:bottom w:val="none" w:sz="0" w:space="0" w:color="auto"/>
        <w:right w:val="none" w:sz="0" w:space="0" w:color="auto"/>
      </w:divBdr>
    </w:div>
    <w:div w:id="990714807">
      <w:bodyDiv w:val="1"/>
      <w:marLeft w:val="0"/>
      <w:marRight w:val="0"/>
      <w:marTop w:val="0"/>
      <w:marBottom w:val="0"/>
      <w:divBdr>
        <w:top w:val="none" w:sz="0" w:space="0" w:color="auto"/>
        <w:left w:val="none" w:sz="0" w:space="0" w:color="auto"/>
        <w:bottom w:val="none" w:sz="0" w:space="0" w:color="auto"/>
        <w:right w:val="none" w:sz="0" w:space="0" w:color="auto"/>
      </w:divBdr>
    </w:div>
    <w:div w:id="1031759323">
      <w:bodyDiv w:val="1"/>
      <w:marLeft w:val="0"/>
      <w:marRight w:val="0"/>
      <w:marTop w:val="0"/>
      <w:marBottom w:val="0"/>
      <w:divBdr>
        <w:top w:val="none" w:sz="0" w:space="0" w:color="auto"/>
        <w:left w:val="none" w:sz="0" w:space="0" w:color="auto"/>
        <w:bottom w:val="none" w:sz="0" w:space="0" w:color="auto"/>
        <w:right w:val="none" w:sz="0" w:space="0" w:color="auto"/>
      </w:divBdr>
    </w:div>
    <w:div w:id="1131433959">
      <w:bodyDiv w:val="1"/>
      <w:marLeft w:val="0"/>
      <w:marRight w:val="0"/>
      <w:marTop w:val="0"/>
      <w:marBottom w:val="0"/>
      <w:divBdr>
        <w:top w:val="none" w:sz="0" w:space="0" w:color="auto"/>
        <w:left w:val="none" w:sz="0" w:space="0" w:color="auto"/>
        <w:bottom w:val="none" w:sz="0" w:space="0" w:color="auto"/>
        <w:right w:val="none" w:sz="0" w:space="0" w:color="auto"/>
      </w:divBdr>
    </w:div>
    <w:div w:id="1162043036">
      <w:bodyDiv w:val="1"/>
      <w:marLeft w:val="0"/>
      <w:marRight w:val="0"/>
      <w:marTop w:val="0"/>
      <w:marBottom w:val="0"/>
      <w:divBdr>
        <w:top w:val="none" w:sz="0" w:space="0" w:color="auto"/>
        <w:left w:val="none" w:sz="0" w:space="0" w:color="auto"/>
        <w:bottom w:val="none" w:sz="0" w:space="0" w:color="auto"/>
        <w:right w:val="none" w:sz="0" w:space="0" w:color="auto"/>
      </w:divBdr>
    </w:div>
    <w:div w:id="1214392242">
      <w:bodyDiv w:val="1"/>
      <w:marLeft w:val="0"/>
      <w:marRight w:val="0"/>
      <w:marTop w:val="0"/>
      <w:marBottom w:val="0"/>
      <w:divBdr>
        <w:top w:val="none" w:sz="0" w:space="0" w:color="auto"/>
        <w:left w:val="none" w:sz="0" w:space="0" w:color="auto"/>
        <w:bottom w:val="none" w:sz="0" w:space="0" w:color="auto"/>
        <w:right w:val="none" w:sz="0" w:space="0" w:color="auto"/>
      </w:divBdr>
    </w:div>
    <w:div w:id="1310012006">
      <w:bodyDiv w:val="1"/>
      <w:marLeft w:val="0"/>
      <w:marRight w:val="0"/>
      <w:marTop w:val="0"/>
      <w:marBottom w:val="0"/>
      <w:divBdr>
        <w:top w:val="none" w:sz="0" w:space="0" w:color="auto"/>
        <w:left w:val="none" w:sz="0" w:space="0" w:color="auto"/>
        <w:bottom w:val="none" w:sz="0" w:space="0" w:color="auto"/>
        <w:right w:val="none" w:sz="0" w:space="0" w:color="auto"/>
      </w:divBdr>
    </w:div>
    <w:div w:id="1356031303">
      <w:bodyDiv w:val="1"/>
      <w:marLeft w:val="0"/>
      <w:marRight w:val="0"/>
      <w:marTop w:val="0"/>
      <w:marBottom w:val="0"/>
      <w:divBdr>
        <w:top w:val="none" w:sz="0" w:space="0" w:color="auto"/>
        <w:left w:val="none" w:sz="0" w:space="0" w:color="auto"/>
        <w:bottom w:val="none" w:sz="0" w:space="0" w:color="auto"/>
        <w:right w:val="none" w:sz="0" w:space="0" w:color="auto"/>
      </w:divBdr>
    </w:div>
    <w:div w:id="1477067167">
      <w:bodyDiv w:val="1"/>
      <w:marLeft w:val="0"/>
      <w:marRight w:val="0"/>
      <w:marTop w:val="0"/>
      <w:marBottom w:val="0"/>
      <w:divBdr>
        <w:top w:val="none" w:sz="0" w:space="0" w:color="auto"/>
        <w:left w:val="none" w:sz="0" w:space="0" w:color="auto"/>
        <w:bottom w:val="none" w:sz="0" w:space="0" w:color="auto"/>
        <w:right w:val="none" w:sz="0" w:space="0" w:color="auto"/>
      </w:divBdr>
    </w:div>
    <w:div w:id="1488353944">
      <w:bodyDiv w:val="1"/>
      <w:marLeft w:val="0"/>
      <w:marRight w:val="0"/>
      <w:marTop w:val="0"/>
      <w:marBottom w:val="0"/>
      <w:divBdr>
        <w:top w:val="none" w:sz="0" w:space="0" w:color="auto"/>
        <w:left w:val="none" w:sz="0" w:space="0" w:color="auto"/>
        <w:bottom w:val="none" w:sz="0" w:space="0" w:color="auto"/>
        <w:right w:val="none" w:sz="0" w:space="0" w:color="auto"/>
      </w:divBdr>
    </w:div>
    <w:div w:id="1578052209">
      <w:bodyDiv w:val="1"/>
      <w:marLeft w:val="0"/>
      <w:marRight w:val="0"/>
      <w:marTop w:val="0"/>
      <w:marBottom w:val="0"/>
      <w:divBdr>
        <w:top w:val="none" w:sz="0" w:space="0" w:color="auto"/>
        <w:left w:val="none" w:sz="0" w:space="0" w:color="auto"/>
        <w:bottom w:val="none" w:sz="0" w:space="0" w:color="auto"/>
        <w:right w:val="none" w:sz="0" w:space="0" w:color="auto"/>
      </w:divBdr>
    </w:div>
    <w:div w:id="1909727067">
      <w:bodyDiv w:val="1"/>
      <w:marLeft w:val="0"/>
      <w:marRight w:val="0"/>
      <w:marTop w:val="0"/>
      <w:marBottom w:val="0"/>
      <w:divBdr>
        <w:top w:val="none" w:sz="0" w:space="0" w:color="auto"/>
        <w:left w:val="none" w:sz="0" w:space="0" w:color="auto"/>
        <w:bottom w:val="none" w:sz="0" w:space="0" w:color="auto"/>
        <w:right w:val="none" w:sz="0" w:space="0" w:color="auto"/>
      </w:divBdr>
    </w:div>
    <w:div w:id="1918129968">
      <w:marLeft w:val="0"/>
      <w:marRight w:val="0"/>
      <w:marTop w:val="0"/>
      <w:marBottom w:val="0"/>
      <w:divBdr>
        <w:top w:val="none" w:sz="0" w:space="0" w:color="auto"/>
        <w:left w:val="none" w:sz="0" w:space="0" w:color="auto"/>
        <w:bottom w:val="none" w:sz="0" w:space="0" w:color="auto"/>
        <w:right w:val="none" w:sz="0" w:space="0" w:color="auto"/>
      </w:divBdr>
    </w:div>
    <w:div w:id="1918129969">
      <w:marLeft w:val="0"/>
      <w:marRight w:val="0"/>
      <w:marTop w:val="0"/>
      <w:marBottom w:val="0"/>
      <w:divBdr>
        <w:top w:val="none" w:sz="0" w:space="0" w:color="auto"/>
        <w:left w:val="none" w:sz="0" w:space="0" w:color="auto"/>
        <w:bottom w:val="none" w:sz="0" w:space="0" w:color="auto"/>
        <w:right w:val="none" w:sz="0" w:space="0" w:color="auto"/>
      </w:divBdr>
    </w:div>
    <w:div w:id="1927641999">
      <w:bodyDiv w:val="1"/>
      <w:marLeft w:val="0"/>
      <w:marRight w:val="0"/>
      <w:marTop w:val="0"/>
      <w:marBottom w:val="0"/>
      <w:divBdr>
        <w:top w:val="none" w:sz="0" w:space="0" w:color="auto"/>
        <w:left w:val="none" w:sz="0" w:space="0" w:color="auto"/>
        <w:bottom w:val="none" w:sz="0" w:space="0" w:color="auto"/>
        <w:right w:val="none" w:sz="0" w:space="0" w:color="auto"/>
      </w:divBdr>
    </w:div>
    <w:div w:id="2010518036">
      <w:bodyDiv w:val="1"/>
      <w:marLeft w:val="0"/>
      <w:marRight w:val="0"/>
      <w:marTop w:val="0"/>
      <w:marBottom w:val="0"/>
      <w:divBdr>
        <w:top w:val="none" w:sz="0" w:space="0" w:color="auto"/>
        <w:left w:val="none" w:sz="0" w:space="0" w:color="auto"/>
        <w:bottom w:val="none" w:sz="0" w:space="0" w:color="auto"/>
        <w:right w:val="none" w:sz="0" w:space="0" w:color="auto"/>
      </w:divBdr>
    </w:div>
    <w:div w:id="2079477613">
      <w:bodyDiv w:val="1"/>
      <w:marLeft w:val="0"/>
      <w:marRight w:val="0"/>
      <w:marTop w:val="0"/>
      <w:marBottom w:val="0"/>
      <w:divBdr>
        <w:top w:val="none" w:sz="0" w:space="0" w:color="auto"/>
        <w:left w:val="none" w:sz="0" w:space="0" w:color="auto"/>
        <w:bottom w:val="none" w:sz="0" w:space="0" w:color="auto"/>
        <w:right w:val="none" w:sz="0" w:space="0" w:color="auto"/>
      </w:divBdr>
    </w:div>
    <w:div w:id="21051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e.fr/fr/methodes/nomenclatures/cog/" TargetMode="External"/><Relationship Id="rId3" Type="http://schemas.microsoft.com/office/2007/relationships/stylesWithEffects" Target="stylesWithEffects.xml"/><Relationship Id="rId7" Type="http://schemas.openxmlformats.org/officeDocument/2006/relationships/hyperlink" Target="https://data.enseignementsup-recherche.gouv.fr/explore/dataset/fr-esr-principaux-diplomes-et-formations-prepares-etablissements-publ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talab.gouv.fr/licence-ouverte-open-lic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BA3B-857B-4FBA-937E-BC3689C8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2991</Words>
  <Characters>16451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19404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 Caradec</dc:creator>
  <cp:lastModifiedBy>Yann</cp:lastModifiedBy>
  <cp:revision>20</cp:revision>
  <dcterms:created xsi:type="dcterms:W3CDTF">2015-04-27T17:38:00Z</dcterms:created>
  <dcterms:modified xsi:type="dcterms:W3CDTF">2019-02-15T15:08:00Z</dcterms:modified>
</cp:coreProperties>
</file>