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100"/>
      </w:pPr>
    </w:p>
    <w:p>
      <w:pPr>
        <w:spacing w:after="280"/>
        <w:jc w:val="center"/>
      </w:pPr>
      <w:r>
        <w:rPr>
          <w:rFonts w:ascii="Aptos" w:hAnsi="Aptos"/>
          <w:b/>
          <w:color w:val="145A8D"/>
          <w:sz w:val="20"/>
        </w:rPr>
        <w:t>GUIA DE REFERÊNCIA</w:t>
      </w:r>
    </w:p>
    <w:p>
      <w:pPr>
        <w:spacing w:after="160"/>
        <w:jc w:val="center"/>
      </w:pPr>
      <w:r>
        <w:rPr>
          <w:rFonts w:ascii="Aptos" w:hAnsi="Aptos"/>
          <w:b/>
          <w:color w:val="17324D"/>
          <w:sz w:val="56"/>
        </w:rPr>
        <w:t>Melhores Práticas de UI/UX</w:t>
      </w:r>
    </w:p>
    <w:p>
      <w:pPr>
        <w:spacing w:after="400"/>
        <w:jc w:val="center"/>
      </w:pPr>
      <w:r>
        <w:rPr>
          <w:rFonts w:ascii="Aptos" w:hAnsi="Aptos"/>
          <w:b w:val="0"/>
          <w:color w:val="145A8D"/>
          <w:sz w:val="30"/>
        </w:rPr>
        <w:t>Página pública de acompanhamento do Projeto Iguaçu</w:t>
      </w:r>
    </w:p>
    <w:p>
      <w:pPr>
        <w:jc w:val="center"/>
      </w:pPr>
      <w:r>
        <w:rPr>
          <w:rFonts w:ascii="Aptos" w:hAnsi="Aptos"/>
          <w:b/>
          <w:color w:val="5F6B76"/>
          <w:sz w:val="24"/>
        </w:rPr>
        <w:t>Instituto Rio Metrópole — IRM</w:t>
      </w:r>
    </w:p>
    <w:p>
      <w:pPr>
        <w:spacing w:after="2100"/>
      </w:pPr>
    </w:p>
    <w:p>
      <w:pPr>
        <w:jc w:val="center"/>
      </w:pPr>
      <w:r>
        <w:rPr>
          <w:rFonts w:ascii="Aptos" w:hAnsi="Aptos"/>
          <w:b w:val="0"/>
          <w:color w:val="5F6B76"/>
          <w:sz w:val="18"/>
        </w:rPr>
        <w:t>Versão 1.0  |  Julho de 2026</w:t>
      </w:r>
    </w:p>
    <w:p>
      <w:r>
        <w:br w:type="page"/>
      </w:r>
    </w:p>
    <w:p>
      <w:pPr>
        <w:pStyle w:val="Heading1"/>
      </w:pPr>
      <w:r>
        <w:t>Apresentação</w:t>
      </w:r>
    </w:p>
    <w:p>
      <w:r>
        <w:rPr>
          <w:rFonts w:ascii="Aptos" w:hAnsi="Aptos"/>
          <w:b w:val="0"/>
          <w:color w:val="17324D"/>
          <w:sz w:val="21"/>
        </w:rPr>
        <w:t>Este guia reúne critérios práticos para orientar o planejamento, o desenvolvimento, a atualização e a validação da página pública do Projeto Iguaçu. Seu foco é assegurar uma experiência clara, acessível, responsiva e confiável para a sociedade, dentro das limitações do site institucional atual.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648"/>
            <w:shd w:fill="EAF3F8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60"/>
            </w:pPr>
            <w:r>
              <w:rPr>
                <w:rFonts w:ascii="Aptos" w:hAnsi="Aptos"/>
                <w:b/>
                <w:color w:val="145A8D"/>
                <w:sz w:val="20"/>
              </w:rPr>
              <w:t>Princípio central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2"/>
              </w:rPr>
              <w:t>O cidadão deve compreender rapidamente o que é o projeto, sua situação, quem é responsável, de onde vêm os dados e quando foram atualizados.</w:t>
            </w:r>
          </w:p>
        </w:tc>
      </w:tr>
    </w:tbl>
    <w:p>
      <w:pPr>
        <w:pStyle w:val="Heading1"/>
      </w:pPr>
      <w:r>
        <w:t>Como utilizar este guia</w:t>
      </w:r>
    </w:p>
    <w:p>
      <w:pPr>
        <w:pStyle w:val="ListBullet"/>
      </w:pPr>
      <w:r>
        <w:rPr>
          <w:rFonts w:ascii="Aptos" w:hAnsi="Aptos"/>
          <w:b w:val="0"/>
          <w:color w:val="17324D"/>
          <w:sz w:val="21"/>
        </w:rPr>
        <w:t>Durante a definição dos requisitos e do conteúdo da página.</w:t>
      </w:r>
    </w:p>
    <w:p>
      <w:pPr>
        <w:pStyle w:val="ListBullet"/>
      </w:pPr>
      <w:r>
        <w:rPr>
          <w:rFonts w:ascii="Aptos" w:hAnsi="Aptos"/>
          <w:b w:val="0"/>
          <w:color w:val="17324D"/>
          <w:sz w:val="21"/>
        </w:rPr>
        <w:t>Na criação ou revisão do protótipo visual.</w:t>
      </w:r>
    </w:p>
    <w:p>
      <w:pPr>
        <w:pStyle w:val="ListBullet"/>
      </w:pPr>
      <w:r>
        <w:rPr>
          <w:rFonts w:ascii="Aptos" w:hAnsi="Aptos"/>
          <w:b w:val="0"/>
          <w:color w:val="17324D"/>
          <w:sz w:val="21"/>
        </w:rPr>
        <w:t>Antes de cada atualização periódica dos dados.</w:t>
      </w:r>
    </w:p>
    <w:p>
      <w:pPr>
        <w:pStyle w:val="ListBullet"/>
      </w:pPr>
      <w:r>
        <w:rPr>
          <w:rFonts w:ascii="Aptos" w:hAnsi="Aptos"/>
          <w:b w:val="0"/>
          <w:color w:val="17324D"/>
          <w:sz w:val="21"/>
        </w:rPr>
        <w:t>Como checklist conjunto entre equipe técnica, Comunicação e responsável pelo site.</w:t>
      </w:r>
    </w:p>
    <w:p>
      <w:pPr>
        <w:pStyle w:val="Heading1"/>
      </w:pPr>
      <w:r>
        <w:t>Sumário</w:t>
      </w:r>
    </w:p>
    <w:p>
      <w:pPr>
        <w:spacing w:after="60"/>
        <w:ind w:left="216"/>
      </w:pPr>
      <w:r>
        <w:rPr>
          <w:rFonts w:ascii="Aptos" w:hAnsi="Aptos"/>
          <w:b w:val="0"/>
          <w:color w:val="5F6B76"/>
          <w:sz w:val="20"/>
        </w:rPr>
        <w:t>1. Clareza e organização</w:t>
      </w:r>
    </w:p>
    <w:p>
      <w:pPr>
        <w:spacing w:after="60"/>
        <w:ind w:left="216"/>
      </w:pPr>
      <w:r>
        <w:rPr>
          <w:rFonts w:ascii="Aptos" w:hAnsi="Aptos"/>
          <w:b w:val="0"/>
          <w:color w:val="5F6B76"/>
          <w:sz w:val="20"/>
        </w:rPr>
        <w:t>2. Navegação</w:t>
      </w:r>
    </w:p>
    <w:p>
      <w:pPr>
        <w:spacing w:after="60"/>
        <w:ind w:left="216"/>
      </w:pPr>
      <w:r>
        <w:rPr>
          <w:rFonts w:ascii="Aptos" w:hAnsi="Aptos"/>
          <w:b w:val="0"/>
          <w:color w:val="5F6B76"/>
          <w:sz w:val="20"/>
        </w:rPr>
        <w:t>3. Conteúdo público</w:t>
      </w:r>
    </w:p>
    <w:p>
      <w:pPr>
        <w:spacing w:after="60"/>
        <w:ind w:left="216"/>
      </w:pPr>
      <w:r>
        <w:rPr>
          <w:rFonts w:ascii="Aptos" w:hAnsi="Aptos"/>
          <w:b w:val="0"/>
          <w:color w:val="5F6B76"/>
          <w:sz w:val="20"/>
        </w:rPr>
        <w:t>4. Identidade visual</w:t>
      </w:r>
    </w:p>
    <w:p>
      <w:pPr>
        <w:spacing w:after="60"/>
        <w:ind w:left="216"/>
      </w:pPr>
      <w:r>
        <w:rPr>
          <w:rFonts w:ascii="Aptos" w:hAnsi="Aptos"/>
          <w:b w:val="0"/>
          <w:color w:val="5F6B76"/>
          <w:sz w:val="20"/>
        </w:rPr>
        <w:t>5. Indicadores</w:t>
      </w:r>
    </w:p>
    <w:p>
      <w:pPr>
        <w:spacing w:after="60"/>
        <w:ind w:left="216"/>
      </w:pPr>
      <w:r>
        <w:rPr>
          <w:rFonts w:ascii="Aptos" w:hAnsi="Aptos"/>
          <w:b w:val="0"/>
          <w:color w:val="5F6B76"/>
          <w:sz w:val="20"/>
        </w:rPr>
        <w:t>6. Situações e etiquetas</w:t>
      </w:r>
    </w:p>
    <w:p>
      <w:pPr>
        <w:spacing w:after="60"/>
        <w:ind w:left="216"/>
      </w:pPr>
      <w:r>
        <w:rPr>
          <w:rFonts w:ascii="Aptos" w:hAnsi="Aptos"/>
          <w:b w:val="0"/>
          <w:color w:val="5F6B76"/>
          <w:sz w:val="20"/>
        </w:rPr>
        <w:t>7. Tabelas e intervenções</w:t>
      </w:r>
    </w:p>
    <w:p>
      <w:pPr>
        <w:spacing w:after="60"/>
        <w:ind w:left="216"/>
      </w:pPr>
      <w:r>
        <w:rPr>
          <w:rFonts w:ascii="Aptos" w:hAnsi="Aptos"/>
          <w:b w:val="0"/>
          <w:color w:val="5F6B76"/>
          <w:sz w:val="20"/>
        </w:rPr>
        <w:t>8. Formulários e filtros</w:t>
      </w:r>
    </w:p>
    <w:p>
      <w:pPr>
        <w:spacing w:after="60"/>
        <w:ind w:left="216"/>
      </w:pPr>
      <w:r>
        <w:rPr>
          <w:rFonts w:ascii="Aptos" w:hAnsi="Aptos"/>
          <w:b w:val="0"/>
          <w:color w:val="5F6B76"/>
          <w:sz w:val="20"/>
        </w:rPr>
        <w:t>9. Acessibilidade</w:t>
      </w:r>
    </w:p>
    <w:p>
      <w:pPr>
        <w:spacing w:after="60"/>
        <w:ind w:left="216"/>
      </w:pPr>
      <w:r>
        <w:rPr>
          <w:rFonts w:ascii="Aptos" w:hAnsi="Aptos"/>
          <w:b w:val="0"/>
          <w:color w:val="5F6B76"/>
          <w:sz w:val="20"/>
        </w:rPr>
        <w:t>10. Responsividade</w:t>
      </w:r>
    </w:p>
    <w:p>
      <w:pPr>
        <w:spacing w:after="60"/>
        <w:ind w:left="216"/>
      </w:pPr>
      <w:r>
        <w:rPr>
          <w:rFonts w:ascii="Aptos" w:hAnsi="Aptos"/>
          <w:b w:val="0"/>
          <w:color w:val="5F6B76"/>
          <w:sz w:val="20"/>
        </w:rPr>
        <w:t>11. Feedback do sistema</w:t>
      </w:r>
    </w:p>
    <w:p>
      <w:pPr>
        <w:spacing w:after="60"/>
        <w:ind w:left="216"/>
      </w:pPr>
      <w:r>
        <w:rPr>
          <w:rFonts w:ascii="Aptos" w:hAnsi="Aptos"/>
          <w:b w:val="0"/>
          <w:color w:val="5F6B76"/>
          <w:sz w:val="20"/>
        </w:rPr>
        <w:t>12. Desempenho</w:t>
      </w:r>
    </w:p>
    <w:p>
      <w:pPr>
        <w:spacing w:after="60"/>
        <w:ind w:left="216"/>
      </w:pPr>
      <w:r>
        <w:rPr>
          <w:rFonts w:ascii="Aptos" w:hAnsi="Aptos"/>
          <w:b w:val="0"/>
          <w:color w:val="5F6B76"/>
          <w:sz w:val="20"/>
        </w:rPr>
        <w:t>13. Transparência e confiança</w:t>
      </w:r>
    </w:p>
    <w:p>
      <w:pPr>
        <w:spacing w:after="60"/>
        <w:ind w:left="216"/>
      </w:pPr>
      <w:r>
        <w:rPr>
          <w:rFonts w:ascii="Aptos" w:hAnsi="Aptos"/>
          <w:b w:val="0"/>
          <w:color w:val="5F6B76"/>
          <w:sz w:val="20"/>
        </w:rPr>
        <w:t>14. Privacidade e segurança</w:t>
      </w:r>
    </w:p>
    <w:p>
      <w:pPr>
        <w:spacing w:after="60"/>
        <w:ind w:left="216"/>
      </w:pPr>
      <w:r>
        <w:rPr>
          <w:rFonts w:ascii="Aptos" w:hAnsi="Aptos"/>
          <w:b w:val="0"/>
          <w:color w:val="5F6B76"/>
          <w:sz w:val="20"/>
        </w:rPr>
        <w:t>15. SEO e compartilhamento</w:t>
      </w:r>
    </w:p>
    <w:p>
      <w:pPr>
        <w:spacing w:after="60"/>
        <w:ind w:left="216"/>
      </w:pPr>
      <w:r>
        <w:rPr>
          <w:rFonts w:ascii="Aptos" w:hAnsi="Aptos"/>
          <w:b w:val="0"/>
          <w:color w:val="5F6B76"/>
          <w:sz w:val="20"/>
        </w:rPr>
        <w:t>16. Testes antes da publicação</w:t>
      </w:r>
    </w:p>
    <w:p>
      <w:pPr>
        <w:pStyle w:val="Heading1"/>
      </w:pPr>
      <w:r>
        <w:t>1. Clareza e organização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Apresentar primeiro as informações mais importantes para o cidadão.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Utilizar títulos e subtítulos claros e objetivos.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Dividir conteúdos extensos em seções curtas e facilmente identificáveis.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Manter uma hierarquia visual consistente em toda a página.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Evitar linguagem excessivamente técnica ou burocrática.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Explicar siglas na primeira utilização.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Destacar a data da última atualização.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Informar claramente a fonte dos dados.</w:t>
      </w:r>
    </w:p>
    <w:p>
      <w:pPr>
        <w:pStyle w:val="Heading1"/>
      </w:pPr>
      <w:r>
        <w:t>2. Navegação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Manter o menu simples e com poucos itens.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Utilizar nomes de seções fáceis de entender.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Criar links internos para os principais conteúdos.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Disponibilizar um botão “Voltar ao topo”.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Destacar visualmente a seção atualmente selecionada.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Evitar abrir novas abas sem necessidade.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Manter o logotipo como link para a página inicial.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Garantir que o usuário encontre qualquer informação importante com poucos cliques.</w:t>
      </w:r>
    </w:p>
    <w:p>
      <w:pPr>
        <w:pStyle w:val="Heading1"/>
      </w:pPr>
      <w:r>
        <w:t>3. Conteúdo público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Explicar o projeto antes de apresentar números.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Responder rapidamente: o que é, qual é o objetivo, onde acontece, quem é responsável, qual é a situação e quando os dados foram atualizados.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Diferenciar informações oficiais, estimativas e dados em validação.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Não deixar campos vazios; usar “Não informado” ou “Aguardando validação”.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Diferenciar valor previsto, contratado, empenhado e pago.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Explicar como percentuais e indicadores foram calculados.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Informar limitações e lacunas nos dados.</w:t>
      </w:r>
    </w:p>
    <w:p>
      <w:pPr>
        <w:pStyle w:val="Heading1"/>
      </w:pPr>
      <w:r>
        <w:t>4. Identidade visual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Seguir a identidade visual do Instituto Rio Metrópole.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Utilizar uma paleta de cores reduzida e consistente.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Reservar cores específicas para estados e situações.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Usar fontes legíveis e de tamanho confortável.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Manter espaçamentos uniformes.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Evitar excesso de sombras, animações e efeitos.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Utilizar ícones apenas quando ajudarem na compreensão.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Não depender exclusivamente de ícones para representar ações.</w:t>
      </w:r>
    </w:p>
    <w:p>
      <w:pPr>
        <w:pStyle w:val="Heading1"/>
      </w:pPr>
      <w:r>
        <w:t>5. Indicadores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Mostrar poucos indicadores no início da página.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Priorizar os números mais relevantes para a sociedade.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Apresentar título, valor, unidade, período e fonte.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Exibir a data de referência de cada indicador.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Explicar termos como “execução física” e “execução financeira”.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Evitar gráficos meramente decorativos e escalas que distorçam a interpretação.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Identificar valores provisórios como “Em validação”.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Permitir a consulta de informações detalhadas.</w:t>
      </w:r>
    </w:p>
    <w:p>
      <w:pPr>
        <w:pStyle w:val="Heading1"/>
      </w:pPr>
      <w:r>
        <w:t>6. Situações e etiquetas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Combinar texto, cor e, quando útil, ícone em cada etiqueta.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Manter nomes e significados padronizados em toda a página.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Garantir contraste adequado entre texto, fundo e borda.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Nunca comunicar a situação apenas por cor.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824"/>
            <w:shd w:fill="145A8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Situação</w:t>
            </w:r>
          </w:p>
        </w:tc>
        <w:tc>
          <w:tcPr>
            <w:tcW w:type="dxa" w:w="4824"/>
            <w:shd w:fill="145A8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Cor sugerida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324D"/>
                <w:sz w:val="19"/>
              </w:rPr>
              <w:t>Concluída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324D"/>
                <w:sz w:val="19"/>
              </w:rPr>
              <w:t>Verde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324D"/>
                <w:sz w:val="19"/>
              </w:rPr>
              <w:t>Em execução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324D"/>
                <w:sz w:val="19"/>
              </w:rPr>
              <w:t>Azul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324D"/>
                <w:sz w:val="19"/>
              </w:rPr>
              <w:t>Em planejamento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324D"/>
                <w:sz w:val="19"/>
              </w:rPr>
              <w:t>Cinza-azulado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324D"/>
                <w:sz w:val="19"/>
              </w:rPr>
              <w:t>Em licitação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324D"/>
                <w:sz w:val="19"/>
              </w:rPr>
              <w:t>Roxo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324D"/>
                <w:sz w:val="19"/>
              </w:rPr>
              <w:t>Atrasada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324D"/>
                <w:sz w:val="19"/>
              </w:rPr>
              <w:t>Laranja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324D"/>
                <w:sz w:val="19"/>
              </w:rPr>
              <w:t>Paralisada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324D"/>
                <w:sz w:val="19"/>
              </w:rPr>
              <w:t>Vermelho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324D"/>
                <w:sz w:val="19"/>
              </w:rPr>
              <w:t>Aguardando validação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324D"/>
                <w:sz w:val="19"/>
              </w:rPr>
              <w:t>Amarelo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324D"/>
                <w:sz w:val="19"/>
              </w:rPr>
              <w:t>Não informada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324D"/>
                <w:sz w:val="19"/>
              </w:rPr>
              <w:t>Cinza</w:t>
            </w:r>
          </w:p>
        </w:tc>
      </w:tr>
    </w:tbl>
    <w:p>
      <w:r>
        <w:t>Observação: as cores são referenciais e devem ser validadas por contraste. O texto da situação é sempre obrigatório.</w:t>
      </w:r>
    </w:p>
    <w:p>
      <w:pPr>
        <w:pStyle w:val="Heading1"/>
      </w:pPr>
      <w:r>
        <w:t>7. Tabelas e intervenções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Disponibilizar pesquisa por nome.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Permitir filtros por município, fase e situação.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Exibir a quantidade de resultados encontrados e oferecer opção para limpar filtros.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Permitir ordenação das colunas principais.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Transformar linhas em cards legíveis no celular.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Mostrar uma mensagem clara quando nenhum resultado for encontrado.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Permitir acesso aos detalhes de cada intervenção.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Evitar tabelas excessivamente largas.</w:t>
      </w:r>
    </w:p>
    <w:p>
      <w:pPr>
        <w:pStyle w:val="Heading1"/>
      </w:pPr>
      <w:r>
        <w:t>8. Formulários e filtros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Utilizar rótulos visíveis em todos os campos; não usar apenas placeholders.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Indicar claramente campos obrigatórios.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Apresentar instruções próximas ao campo correspondente.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Informar erros de maneira específica e preservar os dados preenchidos.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Utilizar seletores somente quando facilitarem a escolha.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Oferecer opção para desfazer ou limpar filtros.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Manter controles suficientemente grandes para uso no celular.</w:t>
      </w:r>
    </w:p>
    <w:p>
      <w:pPr>
        <w:pStyle w:val="Heading1"/>
      </w:pPr>
      <w:r>
        <w:t>9. Acessibilidade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Buscar conformidade com WCAG nível AA e eMAG.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Utilizar HTML semântico e hierarquia correta de títulos.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Garantir contraste adequado e navegação completa pelo teclado.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Exibir foco visível nos elementos interativos.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Incluir textos alternativos nas imagens informativas.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Associar corretamente rótulos e campos.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Disponibilizar um link “Ir para o conteúdo”.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Permitir ampliação do texto sem quebrar o layout.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Respeitar a preferência por redução de movimentos.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Legendar vídeos e transcrever conteúdos em áudio.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Evitar textos importantes dentro de imagens.</w:t>
      </w:r>
    </w:p>
    <w:p>
      <w:pPr>
        <w:pStyle w:val="Heading1"/>
      </w:pPr>
      <w:r>
        <w:t>10. Responsividade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Projetar começando pela experiência no celular.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Testar a partir de 320 pixels de largura.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Evitar rolagem horizontal.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Adaptar menus, cards, filtros e tabelas.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Manter botões fáceis de selecionar pelo toque.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Evitar blocos de texto muito extensos.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Otimizar imagens para conexões móveis.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Manter as funcionalidades disponíveis em todos os dispositivos.</w:t>
      </w:r>
    </w:p>
    <w:p>
      <w:pPr>
        <w:pStyle w:val="Heading1"/>
      </w:pPr>
      <w:r>
        <w:t>11. Feedback do sistema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Prever estados de carregamento, conteúdo disponível e nenhum resultado.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Informar quando o conteúdo estiver indisponível ou ocorrer erro.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Sinalizar links quebrados, dados desatualizados e dados aguardando validação.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Confirmar visualmente operações concluídas.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Explicar o que aconteceu e, quando possível, orientar a próxima ação.</w:t>
      </w:r>
    </w:p>
    <w:p>
      <w:pPr>
        <w:pStyle w:val="Heading1"/>
      </w:pPr>
      <w:r>
        <w:t>12. Desempenho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Comprimir imagens e utilizar formatos modernos, como WebP.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Carregar imagens somente quando necessário.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Evitar bibliotecas pesadas e reduzir arquivos CSS e JavaScript.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Evitar vídeos reproduzidos automaticamente.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Manter o conteúdo principal acessível mesmo se o JavaScript falhar.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Testar a página em conexões mais lentas.</w:t>
      </w:r>
    </w:p>
    <w:p>
      <w:pPr>
        <w:pStyle w:val="Heading1"/>
      </w:pPr>
      <w:r>
        <w:t>13. Transparência e confiança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Informar a data da última atualização e o órgão que forneceu os dados.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Explicar o papel do IRM e diferenciá-lo dos órgãos executores.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Disponibilizar documentos e fontes oficiais.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Apresentar metodologia e periodicidade dos indicadores.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Disponibilizar canal para dúvidas e correções.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Não ocultar atrasos, paralisações ou informações ausentes.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Informar quando determinado dado ainda não foi validado.</w:t>
      </w:r>
    </w:p>
    <w:p>
      <w:pPr>
        <w:pStyle w:val="Heading1"/>
      </w:pPr>
      <w:r>
        <w:t>14. Privacidade e segurança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Coletar apenas os dados pessoais realmente necessários.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Evitar a publicação de informações pessoais de servidores e cidadãos.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Informar a finalidade de eventuais formulários.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Não utilizar documentos internos como links públicos.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Validar arquivos antes da publicação.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Utilizar HTTPS.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Não expor informações técnicas ou credenciais no código.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Seguir as diretrizes da LGPD.</w:t>
      </w:r>
    </w:p>
    <w:p>
      <w:pPr>
        <w:pStyle w:val="Heading1"/>
      </w:pPr>
      <w:r>
        <w:t>15. SEO e compartilhamento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Criar título de página descritivo e meta description.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Utilizar apenas um título principal H1 e subtítulos em ordem lógica.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Utilizar URLs compreensíveis.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Configurar imagem e descrição para compartilhamento.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Identificar corretamente o IRM e o Projeto Iguaçu.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Evitar conteúdo duplicado.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Escrever links descritivos, evitando expressões como “clique aqui”.</w:t>
      </w:r>
    </w:p>
    <w:p>
      <w:pPr>
        <w:pStyle w:val="Heading1"/>
      </w:pPr>
      <w:r>
        <w:t>16. Testes antes da publicação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Testar no celular, tablet e computador, além dos principais navegadores.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Navegar pela página utilizando apenas o teclado.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Verificar contraste, textos alternativos e foco.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Conferir todos os links e documentos.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Revisar ortografia, siglas, números e datas.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Confirmar todas as fontes e remover números demonstrativos.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Testar filtros, pesquisa e estados sem resultados.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Confirmar que nenhuma informação confidencial foi publicada.</w:t>
      </w:r>
    </w:p>
    <w:p>
      <w:pPr>
        <w:pStyle w:val="ListBullet"/>
        <w:keepLines/>
      </w:pPr>
      <w:r>
        <w:rPr>
          <w:rFonts w:ascii="Aptos" w:hAnsi="Aptos"/>
          <w:b w:val="0"/>
          <w:color w:val="17324D"/>
          <w:sz w:val="21"/>
        </w:rPr>
        <w:t>Realizar validação final com a área técnica e a Comunicação.</w:t>
      </w:r>
    </w:p>
    <w:p>
      <w:pPr>
        <w:pStyle w:val="Heading1"/>
      </w:pPr>
      <w:r>
        <w:t>Checklist consolidado de publicação</w:t>
      </w:r>
    </w:p>
    <w:p>
      <w:pPr>
        <w:pStyle w:val="Heading2"/>
      </w:pPr>
      <w:r>
        <w:t>Conteúdo e dados</w:t>
      </w:r>
    </w:p>
    <w:p>
      <w:r>
        <w:rPr>
          <w:rFonts w:ascii="Aptos" w:hAnsi="Aptos"/>
          <w:b w:val="0"/>
          <w:color w:val="17324D"/>
          <w:sz w:val="21"/>
        </w:rPr>
        <w:t>☐  Objetivo, situação e responsabilidades estão claros.</w:t>
      </w:r>
    </w:p>
    <w:p>
      <w:r>
        <w:rPr>
          <w:rFonts w:ascii="Aptos" w:hAnsi="Aptos"/>
          <w:b w:val="0"/>
          <w:color w:val="17324D"/>
          <w:sz w:val="21"/>
        </w:rPr>
        <w:t>☐  Datas, números e fontes foram conferidos.</w:t>
      </w:r>
    </w:p>
    <w:p>
      <w:r>
        <w:rPr>
          <w:rFonts w:ascii="Aptos" w:hAnsi="Aptos"/>
          <w:b w:val="0"/>
          <w:color w:val="17324D"/>
          <w:sz w:val="21"/>
        </w:rPr>
        <w:t>☐  Dados não validados estão identificados.</w:t>
      </w:r>
    </w:p>
    <w:p>
      <w:r>
        <w:rPr>
          <w:rFonts w:ascii="Aptos" w:hAnsi="Aptos"/>
          <w:b w:val="0"/>
          <w:color w:val="17324D"/>
          <w:sz w:val="21"/>
        </w:rPr>
        <w:t>☐  Não existem campos vazios nem dados demonstrativos.</w:t>
      </w:r>
    </w:p>
    <w:p>
      <w:pPr>
        <w:pStyle w:val="Heading2"/>
      </w:pPr>
      <w:r>
        <w:t>Experiência e acessibilidade</w:t>
      </w:r>
    </w:p>
    <w:p>
      <w:r>
        <w:rPr>
          <w:rFonts w:ascii="Aptos" w:hAnsi="Aptos"/>
          <w:b w:val="0"/>
          <w:color w:val="17324D"/>
          <w:sz w:val="21"/>
        </w:rPr>
        <w:t>☐  Página funciona no celular, tablet e computador.</w:t>
      </w:r>
    </w:p>
    <w:p>
      <w:r>
        <w:rPr>
          <w:rFonts w:ascii="Aptos" w:hAnsi="Aptos"/>
          <w:b w:val="0"/>
          <w:color w:val="17324D"/>
          <w:sz w:val="21"/>
        </w:rPr>
        <w:t>☐  Navegação por teclado e foco visível foram testados.</w:t>
      </w:r>
    </w:p>
    <w:p>
      <w:r>
        <w:rPr>
          <w:rFonts w:ascii="Aptos" w:hAnsi="Aptos"/>
          <w:b w:val="0"/>
          <w:color w:val="17324D"/>
          <w:sz w:val="21"/>
        </w:rPr>
        <w:t>☐  Contraste e textos alternativos foram verificados.</w:t>
      </w:r>
    </w:p>
    <w:p>
      <w:r>
        <w:rPr>
          <w:rFonts w:ascii="Aptos" w:hAnsi="Aptos"/>
          <w:b w:val="0"/>
          <w:color w:val="17324D"/>
          <w:sz w:val="21"/>
        </w:rPr>
        <w:t>☐  Filtros, pesquisa e mensagens de estado funcionam.</w:t>
      </w:r>
    </w:p>
    <w:p>
      <w:pPr>
        <w:pStyle w:val="Heading2"/>
      </w:pPr>
      <w:r>
        <w:t>Governança e segurança</w:t>
      </w:r>
    </w:p>
    <w:p>
      <w:r>
        <w:rPr>
          <w:rFonts w:ascii="Aptos" w:hAnsi="Aptos"/>
          <w:b w:val="0"/>
          <w:color w:val="17324D"/>
          <w:sz w:val="21"/>
        </w:rPr>
        <w:t>☐  Comunicação e área técnica aprovaram o conteúdo.</w:t>
      </w:r>
    </w:p>
    <w:p>
      <w:r>
        <w:rPr>
          <w:rFonts w:ascii="Aptos" w:hAnsi="Aptos"/>
          <w:b w:val="0"/>
          <w:color w:val="17324D"/>
          <w:sz w:val="21"/>
        </w:rPr>
        <w:t>☐  Links e documentos públicos foram conferidos.</w:t>
      </w:r>
    </w:p>
    <w:p>
      <w:r>
        <w:rPr>
          <w:rFonts w:ascii="Aptos" w:hAnsi="Aptos"/>
          <w:b w:val="0"/>
          <w:color w:val="17324D"/>
          <w:sz w:val="21"/>
        </w:rPr>
        <w:t>☐  Não há dados pessoais, credenciais ou conteúdo confidencial.</w:t>
      </w:r>
    </w:p>
    <w:p>
      <w:r>
        <w:rPr>
          <w:rFonts w:ascii="Aptos" w:hAnsi="Aptos"/>
          <w:b w:val="0"/>
          <w:color w:val="17324D"/>
          <w:sz w:val="21"/>
        </w:rPr>
        <w:t>☐  Data da atualização e canal para correções estão visíveis.</w:t>
      </w:r>
    </w:p>
    <w:p>
      <w:pPr>
        <w:pStyle w:val="Heading1"/>
      </w:pPr>
      <w:r>
        <w:t>Critério de aceite</w:t>
      </w:r>
    </w:p>
    <w:p>
      <w:r>
        <w:rPr>
          <w:rFonts w:ascii="Aptos" w:hAnsi="Aptos"/>
          <w:b/>
          <w:color w:val="17324D"/>
          <w:sz w:val="21"/>
        </w:rPr>
        <w:t>A página estará pronta para publicação quando o conteúdo estiver tecnicamente validado, a experiência funcionar nos principais dispositivos e navegadores, os requisitos de acessibilidade forem atendidos e a origem e a data de cada informação relevante estiverem claramente identificadas.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5F6B76"/>
        <w:sz w:val="18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732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5A8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5A8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Melhores Práticas de UI/UX — Projeto Iguaçu</dc:title>
  <dc:subject>Boas práticas para página pública institucional do IRM</dc:subject>
  <dc:creator>Instituto Rio Metrópole — IRM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