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Calibri" w:hAnsi="Calibri"/>
          <w:b/>
          <w:i w:val="0"/>
          <w:color w:val="2F6B4F"/>
          <w:sz w:val="22"/>
        </w:rPr>
        <w:t>PROMPT MESTRE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17365D"/>
          <w:sz w:val="56"/>
        </w:rPr>
        <w:t>Criação da SPA Pública do PMetGIRS</w:t>
      </w:r>
    </w:p>
    <w:p>
      <w:pPr>
        <w:spacing w:after="680"/>
        <w:jc w:val="center"/>
      </w:pPr>
      <w:r>
        <w:rPr>
          <w:rFonts w:ascii="Calibri" w:hAnsi="Calibri"/>
          <w:b w:val="0"/>
          <w:i w:val="0"/>
          <w:color w:val="2E74B5"/>
          <w:sz w:val="28"/>
        </w:rPr>
        <w:t>Transparência, acompanhamento e prestação de contas da gestão metropolitana de resíduos sólidos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Finalidade: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orientar o projeto e o desenvolvimento de uma Single Page Application institucional, responsiva, acessível e preparada para evolução tecnológica.</w:t>
            </w:r>
          </w:p>
        </w:tc>
      </w:tr>
    </w:tbl>
    <w:p>
      <w:pPr>
        <w:spacing w:after="20"/>
      </w:pPr>
    </w:p>
    <w:p>
      <w:pPr>
        <w:spacing w:before="1800"/>
        <w:jc w:val="center"/>
      </w:pPr>
      <w:r>
        <w:rPr>
          <w:rFonts w:ascii="Calibri" w:hAnsi="Calibri"/>
          <w:b/>
          <w:i w:val="0"/>
          <w:color w:val="17365D"/>
          <w:sz w:val="22"/>
        </w:rPr>
        <w:t>Instituto Rio Metrópole — IRM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20"/>
        </w:rPr>
        <w:t>Região Metropolitana do Rio de Janeiro | Agosto de 2026</w:t>
      </w:r>
    </w:p>
    <w:p>
      <w:r>
        <w:br w:type="page"/>
      </w:r>
    </w:p>
    <w:p>
      <w:pPr>
        <w:pStyle w:val="Title"/>
      </w:pPr>
      <w:r>
        <w:t>Sumário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1. Prompt principal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2. Objetivo da aplicação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3. Diretrizes gerais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4. Tecnologias sugeridas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5. Identidade visual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6. Estrutura da SPA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7. Modelo de dados inicial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8. Regras de integridade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9. UI/UX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10. Gráficos e visualizações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11. Desempenho e segurança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12. SEO e compartilhamento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13. Entregáveis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14. Critérios de aceite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15. Orientação final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Nota de uso: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copie o conteúdo a partir da seção “Prompt principal” e forneça-o à equipe de desenvolvimento ou à ferramenta de IA escolhida. Os dados conflitantes devem permanecer sinalizados como “Em validação”.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Prompt principal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Atue como uma equipe multidisciplinar formada por Product Designer, especialista em UI/UX, desenvolvedor Front-end sênior, arquiteto de software, especialista em visualização de dados, especialista em gestão pública, especialista em gestão de resíduos sólidos e especialista em acessibilidade digital e transparência pública.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Sua missão é projetar e desenvolver uma Single Page Application — SPA institucional, responsiva e acessível para apresentar publicamente as principais informações do Plano Metropolitano de Gestão Integrada de Resíduos Sólidos — PMetGIRS da Região Metropolitana do Rio de Janeiro.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 página deverá funcionar como uma área pública de transparência, acompanhamento e prestação de contas do Instituto Rio Metrópole — IRM. Seu objetivo será transformar informações técnicas e extensas em uma experiência visual clara, confiável e compreensível para cidadãos, gestores públicos, municípios, órgãos de controle, pesquisadores, imprensa e potenciais investidores.</w:t>
      </w:r>
    </w:p>
    <w:p>
      <w:pPr>
        <w:pStyle w:val="Heading1"/>
      </w:pPr>
      <w:r>
        <w:t>2. Objetivo da aplicação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 SPA deverá permitir que qualquer cidadão consiga entender: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o que é o PMetGIRS e por que ele é importante;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quais são seus objetivos e os 22 municípios envolvidos;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quanto resíduo é gerado na Região Metropolitana;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quais projetos, ações e metas estão previstos;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qual é o andamento de cada projeto e quais instituições são responsáveis;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quais informações ainda estão em validação;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quais documentos oficiais podem ser consultados;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quando os dados foram atualizados;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como o IRM está trabalhando para implementar e monitorar o plano.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Princípio de comunicação: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a página não deverá ser apenas um painel numérico. Ela deverá contar a história do plano, explicar seus benefícios para a sociedade e permitir o acompanhamento transparente das ações.</w:t>
            </w:r>
          </w:p>
        </w:tc>
      </w:tr>
    </w:tbl>
    <w:p>
      <w:pPr>
        <w:spacing w:after="20"/>
      </w:pPr>
    </w:p>
    <w:p>
      <w:pPr>
        <w:pStyle w:val="Heading1"/>
      </w:pPr>
      <w:r>
        <w:t>3. Diretrizes gerais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ser desenvolvida como SPA, com design institucional moderno;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funcionar em computadores, tablets e celulares;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apresentar navegação simples, linguagem cidadã e explicações contextuais;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possuir carregamento rápido e componentes reutilizáveis;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utilizar dados iniciais em arquivos JSON estruturados;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permitir futura integração com banco de dados, APIs e área administrativa;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não exigir login para consulta pública;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não depender de Power BI, Looker Studio ou ferramentas pagas;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poder ser incorporada ao site institucional ou publicada em endereço próprio;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deixar claro quando um dado for estimado, preliminar, histórico ou estiver em validação.</w:t>
      </w:r>
    </w:p>
    <w:p>
      <w:pPr>
        <w:pStyle w:val="Heading1"/>
      </w:pPr>
      <w:r>
        <w:t>4. Tecnologias sugeridas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React;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TypeScript;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Vite;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Tailwind CSS;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React Router, quando forem necessárias rotas internas;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Recharts ou Apache ECharts para gráficos;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Leaflet com OpenStreetMap para mapas;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Lucide Icons para ícones;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arquivos JSON para os dados da versão inicial;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Firebase Hosting ou alternativa gratuita para publicação futura.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Evite dependências desnecessárias e serviços que exijam assinatura paga.</w:t>
      </w:r>
    </w:p>
    <w:p>
      <w:pPr>
        <w:pStyle w:val="Heading1"/>
      </w:pPr>
      <w:r>
        <w:t>5. Identidade visual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 identidade deverá transmitir confiança, transparência, responsabilidade ambiental, visão metropolitana, inovação, serviço público e sustentabilidade.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azul institucional;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verde relacionado à sustentabilidade;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tons neutros para fundos;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amarelo ou laranja apenas para alertas e pontos de atenção;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vermelho apenas para situações críticas ou atrasadas.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O layout deverá ser moderno e sóbrio, evitando aparência promocional privada. Não invente logotipos; quando os arquivos oficiais não estiverem disponíveis, use um espaço reservado claramente identificado.</w:t>
      </w:r>
    </w:p>
    <w:p>
      <w:pPr>
        <w:pStyle w:val="Heading1"/>
      </w:pPr>
      <w:r>
        <w:t>6. Estrutura da SPA</w:t>
      </w:r>
    </w:p>
    <w:p>
      <w:pPr>
        <w:pStyle w:val="Heading2"/>
      </w:pPr>
      <w:r>
        <w:t>6.1 Cabeçalho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Identificação do IRM e nome ou sigla PMetGIRS.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Links internos: Visão geral, Indicadores, Projetos, Municípios, Metas, Transparência e Documentos.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Botão “Acessar documentos”, recurso de acessibilidade e menu responsivo.</w:t>
      </w:r>
    </w:p>
    <w:p>
      <w:pPr>
        <w:pStyle w:val="Heading2"/>
      </w:pPr>
      <w:r>
        <w:t>6.2 Seção inicial — Hero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Título: PMetGIRS — Gestão Metropolitana de Resíduos Sólidos.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Texto de apoio: Acompanhe as metas, projetos e resultados do planejamento integrado de resíduos sólidos dos 22 municípios da Região Metropolitana do Rio de Janeiro.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Botões “Conheça o plano” e “Acompanhe os projetos”.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Última atualização, aviso de validação e imagem institucional ou mapa estilizado.</w:t>
      </w:r>
    </w:p>
    <w:p>
      <w:pPr>
        <w:pStyle w:val="Heading2"/>
      </w:pPr>
      <w:r>
        <w:t>6.3 Visão geral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Explicar o que é o plano, o problema enfrentado, o papel do IRM, a participação municipal, o horizonte e os benefícios.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Apresentar o fluxo: Diagnóstico → Prognóstico → Plano de Ações → Implementação → Monitoramento.</w:t>
      </w:r>
    </w:p>
    <w:p>
      <w:pPr>
        <w:pStyle w:val="Heading2"/>
      </w:pPr>
      <w:r>
        <w:t>6.4 Indicadores de destaque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22 municípios abrangidos.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Aproximadamente 16,9 mil toneladas de RSU por dia e 6,2 milhões por ano.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Geração média próxima de 1,04 kg por habitante/dia.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25 usinas de triagem previstas.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Até 23 áreas associadas à remediação.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28 unidades térmicas indicadas, com distribuição tecnológica em validação.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2033 como referência do cronograma original, sujeito a atualização.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Cada card deve informar nome, valor, unidade, período, fonte, atualização, situação e “Entenda este indicador”.</w:t>
      </w:r>
    </w:p>
    <w:p>
      <w:pPr>
        <w:pStyle w:val="Heading2"/>
      </w:pPr>
      <w:r>
        <w:t>6.5 Mapa da Região Metropolitana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Mapa interativo dos 22 municípios.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Permitir seleção, posição, indicadores, geração estimada, projetos, instalações e atualização municipal.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Onde não houver dado atualizado, exibir “Informação em atualização”, sem valores fictícios.</w:t>
      </w:r>
    </w:p>
    <w:p>
      <w:pPr>
        <w:pStyle w:val="Heading2"/>
      </w:pPr>
      <w:r>
        <w:t>6.6 Eixos estratégicos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Governança e marco legal.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Dados, indicadores e transparência.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Coleta domiciliar e seletiva.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Logística e estações de transferência.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Triagem e reciclagem.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Inclusão e fortalecimento das cooperativas.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Tratamento da fração orgânica.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Recuperação energética.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Remediação de passivos ambientais.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Energia solar.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Educação ambiental.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Lixo flutuante e proteção dos corpos hídricos.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Para cada eixo: descrição, objetivo, metas, projetos, responsável, situação, dependências, indicadores e documentos.</w:t>
      </w:r>
    </w:p>
    <w:p>
      <w:pPr>
        <w:pStyle w:val="Heading2"/>
      </w:pPr>
      <w:r>
        <w:t>6.7 Portfólio de projetos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Cada card deverá conter nome, eixo, descrição, abrangência, responsável, participantes, situação, avanço validado, datas, atualização, próximos passos, riscos e documentos.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Status: Não iniciado; Em estruturação; Em estudo; Em contratação; Em licenciamento; Em implantação; Em operação; Concluído; Suspenso; Dado em validação.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Filtros: município, eixo, situação, responsável, período, tipo, criticidade e disponibilidade dos dados.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Não calcular percentuais de avanço sem regra formal.</w:t>
      </w:r>
    </w:p>
    <w:p>
      <w:pPr>
        <w:pStyle w:val="Heading2"/>
      </w:pPr>
      <w:r>
        <w:t>6.8 Infraestrutura planejada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200"/>
        <w:gridCol w:w="3160"/>
      </w:tblGrid>
      <w:tr>
        <w:trPr>
          <w:tblHeader w:val="true"/>
        </w:trP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Infraestrutura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Quantidade de referência</w:t>
            </w:r>
          </w:p>
        </w:tc>
      </w:tr>
      <w:tr>
        <w:tc>
          <w:tcPr>
            <w:tcW w:type="dxa" w:w="6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Usinas de triagem</w:t>
            </w:r>
          </w:p>
        </w:tc>
        <w:tc>
          <w:tcPr>
            <w:tcW w:type="dxa" w:w="3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25</w:t>
            </w:r>
          </w:p>
        </w:tc>
      </w:tr>
      <w:tr>
        <w:tc>
          <w:tcPr>
            <w:tcW w:type="dxa" w:w="6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Unidades de combustão</w:t>
            </w:r>
          </w:p>
        </w:tc>
        <w:tc>
          <w:tcPr>
            <w:tcW w:type="dxa" w:w="3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Quantidade em validação</w:t>
            </w:r>
          </w:p>
        </w:tc>
      </w:tr>
      <w:tr>
        <w:tc>
          <w:tcPr>
            <w:tcW w:type="dxa" w:w="6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Gaseificação ou termodegradação</w:t>
            </w:r>
          </w:p>
        </w:tc>
        <w:tc>
          <w:tcPr>
            <w:tcW w:type="dxa" w:w="3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Quantidade em validação</w:t>
            </w:r>
          </w:p>
        </w:tc>
      </w:tr>
      <w:tr>
        <w:tc>
          <w:tcPr>
            <w:tcW w:type="dxa" w:w="6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Total de unidades térmicas</w:t>
            </w:r>
          </w:p>
        </w:tc>
        <w:tc>
          <w:tcPr>
            <w:tcW w:type="dxa" w:w="3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28</w:t>
            </w:r>
          </w:p>
        </w:tc>
      </w:tr>
      <w:tr>
        <w:tc>
          <w:tcPr>
            <w:tcW w:type="dxa" w:w="6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Usinas de asfalto</w:t>
            </w:r>
          </w:p>
        </w:tc>
        <w:tc>
          <w:tcPr>
            <w:tcW w:type="dxa" w:w="3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6</w:t>
            </w:r>
          </w:p>
        </w:tc>
      </w:tr>
      <w:tr>
        <w:tc>
          <w:tcPr>
            <w:tcW w:type="dxa" w:w="6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Unidade de biodigestão</w:t>
            </w:r>
          </w:p>
        </w:tc>
        <w:tc>
          <w:tcPr>
            <w:tcW w:type="dxa" w:w="3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</w:tr>
      <w:tr>
        <w:tc>
          <w:tcPr>
            <w:tcW w:type="dxa" w:w="6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Áreas para energia solar</w:t>
            </w:r>
          </w:p>
        </w:tc>
        <w:tc>
          <w:tcPr>
            <w:tcW w:type="dxa" w:w="3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Até 23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Aviso de transparência: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os documentos apresentam divergência na distribuição das 28 unidades térmicas entre combustão e gaseificação ou termodegradação. A informação deverá permanecer “Em validação” até a consolidação oficial. Nunca escolha silenciosamente uma das versões conflitantes.</w:t>
            </w:r>
          </w:p>
        </w:tc>
      </w:tr>
    </w:tbl>
    <w:p>
      <w:pPr>
        <w:spacing w:after="20"/>
      </w:pPr>
    </w:p>
    <w:p>
      <w:pPr>
        <w:pStyle w:val="Heading2"/>
      </w:pPr>
      <w:r>
        <w:t>6.9 Metas de coleta e atendimento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Linha do tempo: coleta domiciliar universal em até 2 anos; coleta seletiva de 50% em 2 anos, 75% em 10 anos e 100% em 20 anos; áreas de difícil acesso universalizadas em até 10 anos.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Para cada meta: linha de base, resultado atual, resultado esperado, prazo, municípios, situação, metodologia, fonte e atualização.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Sem linha de base atualizada, exibir “Linha de base em atualização”.</w:t>
      </w:r>
    </w:p>
    <w:p>
      <w:pPr>
        <w:pStyle w:val="Heading2"/>
      </w:pPr>
      <w:r>
        <w:t>6.10 Evolução das ações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Linha do tempo: diagnóstico, prognóstico, Plano de Ações, governança, atualização da linha de base, Plano de Negócios, pilotos, estudos, contratação, implantação e monitoramento.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Diferenciar etapas concluídas, em andamento, planejadas, atrasadas e dependentes de validação.</w:t>
      </w:r>
    </w:p>
    <w:p>
      <w:pPr>
        <w:pStyle w:val="Heading2"/>
      </w:pPr>
      <w:r>
        <w:t>6.11 Benefícios esperados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Redução da disposição inadequada; aumento da reciclagem; fortalecimento das cooperativas; melhoria logística; redução de impactos; remediação; informação pública; planejamento metropolitano; aproveitamento energético condicionado à viabilidade; redução potencial de emissões; integração municipal.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Usar “benefício esperado”, “potencial” ou “resultado projetado” quando não houver comprovação.</w:t>
      </w:r>
    </w:p>
    <w:p>
      <w:pPr>
        <w:pStyle w:val="Heading2"/>
      </w:pPr>
      <w:r>
        <w:t>6.12 Transparência dos dados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Explicar origem, informante, validador, atualização, metodologia, histórico, estimativas, validação, divergências e revisões.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Selos: Dado oficial validado; Dado municipal declarado; Estimativa técnica; Dado histórico; Dado preliminar; Em atualização; Em validação; Informação divergente.</w:t>
      </w:r>
    </w:p>
    <w:p>
      <w:pPr>
        <w:pStyle w:val="Heading2"/>
      </w:pPr>
      <w:r>
        <w:t>6.13 Pontos em revisão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Divergência das unidades térmicas; diferença entre 16.926 e 16.929 t/dia; investimentos de R$ 4,73 bilhões e R$ 12,5 bilhões; revisão do estudo do biogás; cronograma iniciado em 2024; indicadores incompletos; responsabilidades difusas; atualização municipal; estudos locacionais e ambientais.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Cada ponto deverá apresentar descrição, impacto, situação, área responsável, encaminhamento e atualização. A linguagem não deve ser acusatória.</w:t>
      </w:r>
    </w:p>
    <w:p>
      <w:pPr>
        <w:pStyle w:val="Heading2"/>
      </w:pPr>
      <w:r>
        <w:t>6.14 Documentos oficiais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Biblioteca: Diagnóstico Geral, Prognóstico Geral, Plano de Ações, relatórios, notas técnicas, estudos, atas e resoluções, dados abertos e contratações.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Filtros: categoria, ano, tema, município e tipo.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Metadados: título, descrição, data, versão, órgão, formato, tamanho e link.</w:t>
      </w:r>
    </w:p>
    <w:p>
      <w:pPr>
        <w:pStyle w:val="Heading2"/>
      </w:pPr>
      <w:r>
        <w:t>6.15 Perguntas frequentes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O que é o PMetGIRS? Quais municípios participam? O plano já está em execução? As usinas foram construídas? Os valores são definitivos? Como os dados são atualizados? Qual o papel do IRM? Como acompanhar projetos, acessar documentos ou comunicar erros?</w:t>
      </w:r>
    </w:p>
    <w:p>
      <w:pPr>
        <w:pStyle w:val="Heading2"/>
      </w:pPr>
      <w:r>
        <w:t>6.16 Rodapé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Identificação, contatos, acesso à informação, privacidade, acessibilidade, dados abertos, documentos, atualização da página e aviso de confirmação pelas fontes oficiais.</w:t>
      </w:r>
    </w:p>
    <w:p>
      <w:pPr>
        <w:pStyle w:val="Heading1"/>
      </w:pPr>
      <w:r>
        <w:t>7. Modelo de dados inicial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Criar arquivos JSON separados: municipios.json, indicadores.json, projetos.json, metas.json, infraestruturas.json, documentos.json, inconsistencias.json e atualizacoes.json.</w:t>
      </w:r>
    </w:p>
    <w:p>
      <w:pPr>
        <w:pStyle w:val="Heading2"/>
      </w:pPr>
      <w:r>
        <w:t>7.1 Exemplo — indicador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F3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22222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222222"/>
                <w:sz w:val="18"/>
              </w:rPr>
              <w:t>{</w:t>
              <w:br/>
              <w:t xml:space="preserve">  "id": "geracao-rsu-diaria",</w:t>
              <w:br/>
              <w:t xml:space="preserve">  "nome": "Geração diária de resíduos sólidos urbanos",</w:t>
              <w:br/>
              <w:t xml:space="preserve">  "valor": 16900,</w:t>
              <w:br/>
              <w:t xml:space="preserve">  "valorExibicao": "aproximadamente 16,9 mil",</w:t>
              <w:br/>
              <w:t xml:space="preserve">  "unidade": "toneladas/dia",</w:t>
              <w:br/>
              <w:t xml:space="preserve">  "periodoReferencia": "Base histórica do PMetGIRS",</w:t>
              <w:br/>
              <w:t xml:space="preserve">  "fonte": "Diagnóstico Geral do PMetGIRS",</w:t>
              <w:br/>
              <w:t xml:space="preserve">  "tipoDado": "estimativa_tecnica",</w:t>
              <w:br/>
              <w:t xml:space="preserve">  "statusValidacao": "em_atualizacao",</w:t>
              <w:br/>
              <w:t xml:space="preserve">  "ultimaAtualizacao": null,</w:t>
              <w:br/>
              <w:t xml:space="preserve">  "observacao": "Os documentos apresentam valores de 16.926 e 16.929 t/dia."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7.2 Exemplo — projeto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3F3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22222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222222"/>
                <w:sz w:val="18"/>
              </w:rPr>
              <w:t>{</w:t>
              <w:br/>
              <w:t xml:space="preserve">  "id": "plano-negocios-pmetgirs",</w:t>
              <w:br/>
              <w:t xml:space="preserve">  "nome": "Elaboração do Plano de Negócios",</w:t>
              <w:br/>
              <w:t xml:space="preserve">  "eixo": "Governança e planejamento",</w:t>
              <w:br/>
              <w:t xml:space="preserve">  "descricao": "Detalhamento técnico, financeiro, institucional e contratual da implementação do PMetGIRS.",</w:t>
              <w:br/>
              <w:t xml:space="preserve">  "abrangencia": "Região Metropolitana do Rio de Janeiro",</w:t>
              <w:br/>
              <w:t xml:space="preserve">  "responsavel": "IRM",</w:t>
              <w:br/>
              <w:t xml:space="preserve">  "participantes": [],</w:t>
              <w:br/>
              <w:t xml:space="preserve">  "status": "em_estruturacao",</w:t>
              <w:br/>
              <w:t xml:space="preserve">  "percentualAvanco": null,</w:t>
              <w:br/>
              <w:t xml:space="preserve">  "inicioPrevisto": null,</w:t>
              <w:br/>
              <w:t xml:space="preserve">  "terminoPrevisto": null,</w:t>
              <w:br/>
              <w:t xml:space="preserve">  "ultimaAtualizacao": null,</w:t>
              <w:br/>
              <w:t xml:space="preserve">  "proximosPassos": [],</w:t>
              <w:br/>
              <w:t xml:space="preserve">  "dependencias": [],</w:t>
              <w:br/>
              <w:t xml:space="preserve">  "riscos": [],</w:t>
              <w:br/>
              <w:t xml:space="preserve">  "documentosRelacionados": []</w:t>
              <w:br/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8. Regras de integridade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não inventar dados municipais;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não apresentar infraestrutura planejada como existente;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não apresentar metas como resultados;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não apresentar estimativas financeiras como valores definitivos;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não ocultar divergências dos documentos;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não calcular avanço sem metodologia;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não mostrar percentual zero quando o dado estiver indisponível;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utilizar “Não informado”, “Em atualização” ou “Em validação”;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informar fonte e período de referência;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manter histórico de atualizações;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diferenciar dado validado de dado declarado;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permitir correções sem apagar o histórico;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destacar claramente a data de corte dos dados.</w:t>
      </w:r>
    </w:p>
    <w:p>
      <w:pPr>
        <w:pStyle w:val="Heading1"/>
      </w:pPr>
      <w:r>
        <w:t>9. UI/UX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hierarquia visual clara e textos curtos;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filtros fáceis e tooltips nos indicadores;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estados de carregamento, vazio e erro;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mensagens quando não houver dados;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navegação por teclado e contraste adequado;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gráficos com legendas e alternativas textuais;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tabelas acessíveis e botões com área de clique adequada;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redução de animações conforme preferência;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compatibilidade com WCAG 2.1 AA;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uso mínimo de carrosséis e ausência de animações excessivas;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consistência entre cores, ícones e status.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Regra de acessibilidade: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a cor nunca deverá ser o único recurso utilizado para comunicar uma situação.</w:t>
            </w:r>
          </w:p>
        </w:tc>
      </w:tr>
    </w:tbl>
    <w:p>
      <w:pPr>
        <w:spacing w:after="20"/>
      </w:pPr>
    </w:p>
    <w:p>
      <w:pPr>
        <w:pStyle w:val="Heading1"/>
      </w:pPr>
      <w:r>
        <w:t>10. Gráficos e visualizações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cards para indicadores gerais;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mapa para distribuição territorial;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barras para comparação municipal;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linhas para evolução temporal;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barras de progresso somente com metodologia validada;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linha do tempo para metas e etapas;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gráficos de composição para destinação;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tabela para detalhamento;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matriz para riscos e pontos em revisão.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Todos os gráficos deverão apresentar título, unidade, fonte, período, legenda, alternativa em tabela e aviso quando os dados forem preliminares.</w:t>
      </w:r>
    </w:p>
    <w:p>
      <w:pPr>
        <w:pStyle w:val="Heading1"/>
      </w:pPr>
      <w:r>
        <w:t>11. Desempenho e segurança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carregamento sob demanda e divisão de código;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otimização de imagens e cache de dados públicos;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tratamento de falhas e sanitização de conteúdo;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ausência de credenciais no código e uso de variáveis de ambiente;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Content Security Policy quando aplicável;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validação de links externos;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dependências atualizadas;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proteção contra injeção de conteúdo;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bons resultados no Lighthouse para desempenho, acessibilidade, boas práticas e SEO.</w:t>
      </w:r>
    </w:p>
    <w:p>
      <w:pPr>
        <w:pStyle w:val="Heading1"/>
      </w:pPr>
      <w:r>
        <w:t>12. SEO e compartilhamento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título e descrição institucional;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Open Graph e imagem de compartilhamento;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favicon;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dados estruturados quando aplicável;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URLs ou âncoras compartilháveis;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títulos e descrições apropriados para busca.</w:t>
      </w:r>
    </w:p>
    <w:p>
      <w:pPr>
        <w:pStyle w:val="Heading1"/>
      </w:pPr>
      <w:r>
        <w:t>13. Entregáveis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arquitetura da aplicação;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organização de pastas;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design system básico;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protótipo funcional da SPA;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componentes reutilizáveis;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dados simulados estruturados em JSON;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mapa interativo;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filtros e gráficos;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biblioteca documental;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seção de transparência;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seção de pontos em revisão;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layout responsivo;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documentação para execução local;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instruções de publicação;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lista de dados ainda necessários ou em validação.</w:t>
      </w:r>
    </w:p>
    <w:p>
      <w:pPr>
        <w:pStyle w:val="Heading1"/>
      </w:pPr>
      <w:r>
        <w:t>14. Critérios de aceite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o cidadão compreender o plano sem ler os três documentos completos;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metas, projetos e resultados estarem claramente diferenciados;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divergências documentais estarem sinalizadas;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nenhum dado inexistente ter sido inventado;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cada número apresentar fonte e período;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 interface funcionar em dispositivos móveis;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os 22 municípios poderem ser consultados;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os projetos poderem ser filtrados;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os documentos oficiais estarem organizados;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 aplicação poder ser atualizada pelos arquivos de dados;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 estrutura estar preparada para backend futuro;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 página cumprir requisitos de acessibilidade e desempenho.</w:t>
      </w:r>
    </w:p>
    <w:p>
      <w:pPr>
        <w:pStyle w:val="Heading1"/>
      </w:pPr>
      <w:r>
        <w:t>15. Orientação final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Comece apresentando, nesta ordem: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a arquitetura proposta;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o mapa das seções;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o modelo de dados;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o design system;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os componentes;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1"/>
        </w:rPr>
        <w:t>a estrutura de pastas.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Depois, desenvolva a SPA progressivamente, começando pela navegação, visão geral, indicadores, eixos estratégicos, projetos, mapa, transparência e documentos.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Regra final: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não invente informações. Sempre que faltar um dado, utilize explicitamente “Não informado”, “Em atualização” ou “Em validação”. A credibilidade institucional e a rastreabilidade das informações são requisitos centrais da solução.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Página </w:t>
    </w:r>
    <w:r>
      <w:rPr>
        <w:rFonts w:ascii="Calibri" w:hAnsi="Calibri"/>
        <w:b w:val="0"/>
        <w:i w:val="0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6666"/>
        <w:sz w:val="18"/>
      </w:rPr>
      <w:t>IRM | PMetGIRS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para Criação da SPA Pública do PMetGIRS</dc:title>
  <dc:subject>Especificação funcional, visual e técnica</dc:subject>
  <dc:creator>Instituto Rio Metrópole — IRM</dc:creator>
  <cp:keywords>PMetGIRS, SPA, transparência, resíduos sólidos, IRM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