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5FA78698" w:rsidR="00573C21" w:rsidRPr="000511AB" w:rsidRDefault="00C118A3" w:rsidP="00C118A3">
      <w:pPr>
        <w:jc w:val="center"/>
        <w:rPr>
          <w:rFonts w:cs="Times New Roman"/>
          <w:szCs w:val="24"/>
        </w:rPr>
      </w:pPr>
      <w:commentRangeStart w:id="0"/>
      <w:r>
        <w:rPr>
          <w:rFonts w:cs="Times New Roman"/>
          <w:szCs w:val="24"/>
        </w:rPr>
        <w:t xml:space="preserve"> </w:t>
      </w:r>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2A5414"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2A5414"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0A4D65DA" w:rsidR="00923F8D" w:rsidRPr="00285913" w:rsidRDefault="00923F8D" w:rsidP="00923F8D">
      <w:pPr>
        <w:rPr>
          <w:b/>
        </w:rPr>
      </w:pPr>
      <w:r>
        <w:rPr>
          <w:b/>
        </w:rPr>
        <w:tab/>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2"/>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3" w:name="_Toc440985130"/>
      <w:r w:rsidRPr="00285913">
        <w:rPr>
          <w:b/>
        </w:rPr>
        <w:t xml:space="preserve">3.1 Objetivo </w:t>
      </w:r>
      <w:r w:rsidR="00361755">
        <w:rPr>
          <w:b/>
        </w:rPr>
        <w:t>g</w:t>
      </w:r>
      <w:r w:rsidRPr="00285913">
        <w:rPr>
          <w:b/>
        </w:rPr>
        <w:t>eneral</w:t>
      </w:r>
      <w:bookmarkEnd w:id="33"/>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4" w:name="_Toc440985131"/>
      <w:r w:rsidRPr="00285913">
        <w:rPr>
          <w:b/>
        </w:rPr>
        <w:t xml:space="preserve">3.2 Objetivos </w:t>
      </w:r>
      <w:r w:rsidR="00361755">
        <w:rPr>
          <w:b/>
        </w:rPr>
        <w:t>e</w:t>
      </w:r>
      <w:r w:rsidRPr="00285913">
        <w:rPr>
          <w:b/>
        </w:rPr>
        <w:t>specíficos</w:t>
      </w:r>
      <w:bookmarkEnd w:id="34"/>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bookmarkStart w:id="35" w:name="_GoBack"/>
      <w:bookmarkEnd w:id="35"/>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Fondo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Gazmararian,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 xml:space="preserve">elloch, A., Morillo, C., Luciano, J. V., García-Soriano, G., Cabedo, E., &amp; Carrió,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IEEE Std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(Versión 22.0) [Software de computación]</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Artículo (inglés) con DOI (Digital Object Identifier)</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6695A" w14:textId="77777777" w:rsidR="002A5414" w:rsidRDefault="002A5414" w:rsidP="006B13CA">
      <w:pPr>
        <w:spacing w:line="240" w:lineRule="auto"/>
      </w:pPr>
      <w:r>
        <w:separator/>
      </w:r>
    </w:p>
  </w:endnote>
  <w:endnote w:type="continuationSeparator" w:id="0">
    <w:p w14:paraId="56AFF3C0" w14:textId="77777777" w:rsidR="002A5414" w:rsidRDefault="002A5414"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4F158A" w:rsidRPr="004F158A">
          <w:rPr>
            <w:noProof/>
            <w:lang w:val="es-ES"/>
          </w:rPr>
          <w:t>21</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18EEE" w14:textId="77777777" w:rsidR="002A5414" w:rsidRDefault="002A5414" w:rsidP="006B13CA">
      <w:pPr>
        <w:spacing w:line="240" w:lineRule="auto"/>
      </w:pPr>
      <w:r>
        <w:separator/>
      </w:r>
    </w:p>
  </w:footnote>
  <w:footnote w:type="continuationSeparator" w:id="0">
    <w:p w14:paraId="5FCDA339" w14:textId="77777777" w:rsidR="002A5414" w:rsidRDefault="002A5414"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4F158A" w:rsidRPr="004F158A">
          <w:rPr>
            <w:noProof/>
            <w:sz w:val="20"/>
            <w:szCs w:val="20"/>
            <w:lang w:val="es-ES"/>
          </w:rPr>
          <w:t>21</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10.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81E553C5-EAFE-4B20-BF60-0765C132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7616</Words>
  <Characters>41891</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2020-04-16T00:50:00Z</dcterms:modified>
</cp:coreProperties>
</file>