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E85A70"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E85A70"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MAkAIAAJQFAAAOAAAAZHJzL2Uyb0RvYy54bWysVEtPGzEQvlfqf7B8L7sJCZSIDUqDqCoh&#13;&#10;QA0VZ8drE6u2x7Wd7Ka/nrF38yjlQtXL7tjzzYznm8flVWs02QgfFNiKDk5KSoTlUCv7XNEfjzef&#13;&#10;PlMSIrM102BFRbci0Kvpxw+XjZuIIaxA18ITdGLDpHEVXcXoJkUR+EoYFk7ACYtKCd6wiEf/XNSe&#13;&#10;Nejd6GJYlmdFA752HrgIAW+vOyWdZv9SCh7vpQwiEl1RfFvMX5+/y/Qtppds8uyZWyneP4P9wysM&#13;&#10;UxaD7l1ds8jI2qu/XBnFPQSQ8YSDKUBKxUXOAbMZlK+yWayYEzkXJCe4PU3h/7nld5sHT1Rd0eGY&#13;&#10;EssM1mi+ZrUHUgsSRRuBoAZpalyYIHrhEB/bL9BiuXf3AS9T9q30Jv0xL4J6JHy7JxldEY6Xw/Ji&#13;&#10;PC5RxVE3PB+dYhmTn+Jg7nyIXwUYkoSKeqxiJpdtbkPsoDtIihZAq/pGaZ0PqXPEXHuyYVhzHfMj&#13;&#10;0fkfKG1JU9Gz03GZHVtI5p1nbZMbkXunD5dS71LMUtxqkTDafhcSucuZvhGbcS7sPn5GJ5TEUO8x&#13;&#10;7PGHV73HuMsDLXJksHFvbJQFn7PPw3agrP65o0x2eKzNUd5JjO2y7VtiCfUWO8JDN1rB8RuFVbtl&#13;&#10;IT4wj7OElcb9EO/xIzUg69BLlKzA/37rPuGxxVFLSYOzWdHwa828oER/s9j8F4PRKA1zPozG50M8&#13;&#10;+GPN8lhj12YO2AoD3ESOZzHho96J0oN5wjUyS1FRxSzH2BWNO3Eeu42Ba4iL2SyDcHwdi7d24Xhy&#13;&#10;nehNPfnYPjHv+sZN43MHuylmk1f922GTpYXZOoJUubkTwR2rPfE4+nk8+jWVdsvxOaMOy3T6AgAA&#13;&#10;//8DAFBLAwQUAAYACAAAACEAxYFpieQAAAAPAQAADwAAAGRycy9kb3ducmV2LnhtbExPyU7DMBC9&#13;&#10;I/EP1iBxQdRp0zWNUyFWiRsNi7i58ZBExOModpPw90xPcBlp5r15S7obbSN67HztSMF0EoFAKpyp&#13;&#10;qVTwmj9cr0H4oMnoxhEq+EEPu+z8LNWJcQO9YL8PpWAR8olWUIXQJlL6okKr/cS1SIx9uc7qwGtX&#13;&#10;StPpgcVtI2dRtJRW18QOlW7xtsLie3+0Cj6vyo9nPz6+DfEibu+f+nz1bnKlLi/Guy2Pmy2IgGP4&#13;&#10;+4BTB84PGQc7uCMZLxoFi/lixlQF8XQDggnr1elwUDBfxhuQWSr/98h+AQAA//8DAFBLAQItABQA&#13;&#10;BgAIAAAAIQC2gziS/gAAAOEBAAATAAAAAAAAAAAAAAAAAAAAAABbQ29udGVudF9UeXBlc10ueG1s&#13;&#10;UEsBAi0AFAAGAAgAAAAhADj9If/WAAAAlAEAAAsAAAAAAAAAAAAAAAAALwEAAF9yZWxzLy5yZWxz&#13;&#10;UEsBAi0AFAAGAAgAAAAhANjKAwCQAgAAlAUAAA4AAAAAAAAAAAAAAAAALgIAAGRycy9lMm9Eb2Mu&#13;&#10;eG1sUEsBAi0AFAAGAAgAAAAhAMWBaYnkAAAADwEAAA8AAAAAAAAAAAAAAAAA6gQAAGRycy9kb3du&#13;&#10;cmV2LnhtbFBLBQYAAAAABAAEAPMAAAD7BQAAAAA=&#13;&#10;" fillcolor="white [3201]" stroked="f" strokeweight=".5pt">
                <v:textbo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1akwIAAJsFAAAOAAAAZHJzL2Uyb0RvYy54bWysVEtv2zAMvg/YfxB0X51nuwV1iixFhwFF&#13;&#10;WywdelZkqREmiZqkxM5+/SjZTrKulw672JT4kRQ/Pi6vGqPJTvigwJZ0eDagRFgOlbLPJf3+ePPh&#13;&#10;IyUhMlsxDVaUdC8CvZq/f3dZu5kYwQZ0JTxBJzbMalfSTYxuVhSBb4Rh4QycsKiU4A2LePTPReVZ&#13;&#10;jd6NLkaDwXlRg6+cBy5CwNvrVknn2b+Ugsd7KYOIRJcU3xbz1+fvOn2L+SWbPXvmNop3z2D/8ArD&#13;&#10;lMWgB1fXLDKy9eovV0ZxDwFkPONgCpBScZFzwGyGgxfZrDbMiZwLkhPcgabw/9zyu92DJ6rC2l1Q&#13;&#10;YpnBGi23rPJAKkGiaCIQ1CBNtQszRK8c4mPzGRo06e8DXqbsG+lN+mNeBPVI+P5AMroiHC9Hw8l4&#13;&#10;OJpSwlE3Hk/Go4tp8lMczZ0P8YsAQ5JQUo9VzOSy3W2ILbSHpGgBtKpulNb5kDpHLLUnO4Y11zE/&#13;&#10;Ep3/gdKW1CU9H08H2bGFZN561ja5Ebl3unAp9TbFLMW9Fgmj7Tchkbuc6SuxGefCHuJndEJJDPUW&#13;&#10;ww5/fNVbjNs80CJHBhsPxkZZ8Dn7PGxHyqofPWWyxWNtTvJOYmzWTds0fQesodpjY3hoJyw4fqOw&#13;&#10;eLcsxAfmcaSwF3BNxHv8SA1IPnQSJRvwv167T3jsdNRSUuOIljT83DIvKNFfLc7Ap+FkkmY6HybT&#13;&#10;ixEe/KlmfaqxW7ME7IghLiTHs5jwUfei9GCecJssUlRUMcsxdkljLy5juzhwG3GxWGQQTrFj8dau&#13;&#10;HE+uE8upNR+bJ+Zd179piu6gH2Y2e9HGLTZZWlhsI0iVezzx3LLa8Y8bIE9Jt63Sijk9Z9Rxp85/&#13;&#10;AwAA//8DAFBLAwQUAAYACAAAACEAZD23deUAAAAOAQAADwAAAGRycy9kb3ducmV2LnhtbExPTU+D&#13;&#10;QBC9m/Q/bMbEi7FLCwVLGRrjR028WdTG25adApHdJewW8N+7nvQyycv7mPey7aRaNlBvG6MRFvMA&#13;&#10;GOnSyEZXCG/F080tMOuElqI1mhC+ycI2n11kIpVm1K807F3FfIi2qUConetSzm1ZkxJ2bjrSnjuZ&#13;&#10;XgnnYV9x2YvRh6uWL4Mg5ko02n+oRUf3NZVf+7NC+LyuDi922r2P4SrsHp+HIvmQBeLV5fSw8edu&#13;&#10;A8zR5P4c8LvB94fcFzuas5aWtQhxmHglQpisgXk+ChZLYEeEVRxFwPOM/5+R/wAAAP//AwBQSwEC&#13;&#10;LQAUAAYACAAAACEAtoM4kv4AAADhAQAAEwAAAAAAAAAAAAAAAAAAAAAAW0NvbnRlbnRfVHlwZXNd&#13;&#10;LnhtbFBLAQItABQABgAIAAAAIQA4/SH/1gAAAJQBAAALAAAAAAAAAAAAAAAAAC8BAABfcmVscy8u&#13;&#10;cmVsc1BLAQItABQABgAIAAAAIQBW+v1akwIAAJsFAAAOAAAAAAAAAAAAAAAAAC4CAABkcnMvZTJv&#13;&#10;RG9jLnhtbFBLAQItABQABgAIAAAAIQBkPbd15QAAAA4BAAAPAAAAAAAAAAAAAAAAAO0EAABkcnMv&#13;&#10;ZG93bnJldi54bWxQSwUGAAAAAAQABADzAAAA/wUAAAAA&#13;&#10;" fillcolor="white [3201]" stroked="f" strokeweight=".5pt">
                <v:textbo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E49CDDF" w14:textId="74B4F4A6" w:rsidR="00F92C50" w:rsidRP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El Sistema de Gestión de Seguridad y Salud en el Trabajo </w:t>
      </w:r>
      <w:r w:rsidR="00097EF6">
        <w:rPr>
          <w:rFonts w:eastAsia="Times New Roman" w:cs="Times New Roman"/>
          <w:color w:val="000000"/>
          <w:szCs w:val="24"/>
          <w:lang w:eastAsia="es-CO"/>
        </w:rPr>
        <w:fldChar w:fldCharType="begin"/>
      </w:r>
      <w:r w:rsidR="00097EF6">
        <w:rPr>
          <w:rFonts w:eastAsia="Times New Roman" w:cs="Times New Roman"/>
          <w:color w:val="000000"/>
          <w:szCs w:val="24"/>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f.)","noteIndex":0},"citationItems":[{"id":3,"uris":["http://zotero.org/users/local/qiXCOuzK/items/R887RGAZ"],"uri":["http://zotero.org/users/local/qiXCOuzK/items/R887RGAZ"],"itemData":{"id":3,"type":"webpage","title":"¿En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rFonts w:eastAsia="Times New Roman" w:cs="Times New Roman"/>
          <w:color w:val="000000"/>
          <w:szCs w:val="24"/>
          <w:lang w:eastAsia="es-CO"/>
        </w:rPr>
        <w:fldChar w:fldCharType="separate"/>
      </w:r>
      <w:r w:rsidR="00097EF6" w:rsidRPr="00097EF6">
        <w:rPr>
          <w:rFonts w:cs="Times New Roman"/>
          <w:color w:val="000000"/>
          <w:lang w:val="es-ES_tradnl"/>
        </w:rPr>
        <w:t>(</w:t>
      </w:r>
      <w:r w:rsidR="00097EF6" w:rsidRPr="00097EF6">
        <w:rPr>
          <w:rFonts w:cs="Times New Roman"/>
          <w:i/>
          <w:iCs/>
          <w:color w:val="000000"/>
          <w:lang w:val="es-ES_tradnl"/>
        </w:rPr>
        <w:t>SG-SST</w:t>
      </w:r>
      <w:r w:rsidR="00097EF6" w:rsidRPr="00097EF6">
        <w:rPr>
          <w:rFonts w:cs="Times New Roman"/>
          <w:color w:val="000000"/>
          <w:lang w:val="es-ES_tradnl"/>
        </w:rPr>
        <w:t>, s. f.)</w:t>
      </w:r>
      <w:r w:rsidR="00097EF6">
        <w:rPr>
          <w:rFonts w:eastAsia="Times New Roman" w:cs="Times New Roman"/>
          <w:color w:val="000000"/>
          <w:szCs w:val="24"/>
          <w:lang w:eastAsia="es-CO"/>
        </w:rPr>
        <w:fldChar w:fldCharType="end"/>
      </w:r>
      <w:r w:rsidR="002F7714">
        <w:rPr>
          <w:rFonts w:eastAsia="Times New Roman" w:cs="Times New Roman"/>
          <w:color w:val="000000"/>
          <w:szCs w:val="24"/>
          <w:lang w:eastAsia="es-CO"/>
        </w:rPr>
        <w:t xml:space="preserve"> </w:t>
      </w:r>
      <w:r w:rsidRPr="00F92C50">
        <w:rPr>
          <w:rFonts w:eastAsia="Times New Roman" w:cs="Times New Roman"/>
          <w:color w:val="000000"/>
          <w:szCs w:val="24"/>
          <w:lang w:eastAsia="es-CO"/>
        </w:rPr>
        <w:t xml:space="preserve">es un estandar que permite tratar y a su vez prevenir las lesiones y las enfermedades que se pueden generar a los empleados en sus areas de trabajo, además de la protección y promoción de la salud para los mismos. El </w:t>
      </w:r>
      <w:r w:rsidRPr="00F92C50">
        <w:rPr>
          <w:rFonts w:eastAsia="Times New Roman" w:cs="Times New Roman"/>
          <w:b/>
          <w:bCs/>
          <w:color w:val="000000"/>
          <w:szCs w:val="24"/>
          <w:lang w:eastAsia="es-CO"/>
        </w:rPr>
        <w:t>SG-SST</w:t>
      </w:r>
      <w:r w:rsidRPr="00F92C50">
        <w:rPr>
          <w:rFonts w:eastAsia="Times New Roman" w:cs="Times New Roman"/>
          <w:color w:val="000000"/>
          <w:szCs w:val="24"/>
          <w:lang w:eastAsia="es-CO"/>
        </w:rPr>
        <w:t xml:space="preserve"> tiene como objetivo, mejorar las condiciones laborales y el ambiente en el trabajo para los empleados, asi como el de mejorar el ambiente en terminos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05F0467A" w:rsid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Esto conyeba a realizar un desarrollo de procesos lógicos divid</w:t>
      </w:r>
      <w:r w:rsidR="002F7714">
        <w:rPr>
          <w:rFonts w:eastAsia="Times New Roman" w:cs="Times New Roman"/>
          <w:color w:val="000000"/>
          <w:szCs w:val="24"/>
          <w:lang w:eastAsia="es-CO"/>
        </w:rPr>
        <w:t>i</w:t>
      </w:r>
      <w:r w:rsidRPr="00F92C50">
        <w:rPr>
          <w:rFonts w:eastAsia="Times New Roman" w:cs="Times New Roman"/>
          <w:color w:val="000000"/>
          <w:szCs w:val="24"/>
          <w:lang w:eastAsia="es-CO"/>
        </w:rPr>
        <w:t>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compañia, iniciando por su jefe, quien debe ser la persona encargada de liderar e implementar el</w:t>
      </w:r>
      <w:r w:rsidR="002F7714">
        <w:rPr>
          <w:rFonts w:eastAsia="Times New Roman" w:cs="Times New Roman"/>
          <w:b/>
          <w:bCs/>
          <w:color w:val="000000"/>
          <w:szCs w:val="24"/>
          <w:lang w:eastAsia="es-CO"/>
        </w:rPr>
        <w:t xml:space="preserve"> </w:t>
      </w:r>
      <w:r w:rsidR="002F7714">
        <w:rPr>
          <w:rFonts w:eastAsia="Times New Roman" w:cs="Times New Roman"/>
          <w:b/>
          <w:bCs/>
          <w:color w:val="000000"/>
          <w:szCs w:val="24"/>
          <w:lang w:eastAsia="es-CO"/>
        </w:rPr>
        <w:fldChar w:fldCharType="begin"/>
      </w:r>
      <w:r w:rsidR="002F7714">
        <w:rPr>
          <w:rFonts w:eastAsia="Times New Roman" w:cs="Times New Roman"/>
          <w:b/>
          <w:bCs/>
          <w:color w:val="000000"/>
          <w:szCs w:val="24"/>
          <w:lang w:eastAsia="es-CO"/>
        </w:rPr>
        <w:instrText xml:space="preserve"> ADDIN ZOTERO_ITEM CSL_CITATION {"citationID":"eAC8czjK","properties":{"formattedCitation":"({\\i{}Sistema de Gesti\\uc0\\u243{}n de Seguridad y Salud en el Trabajo\\uc0\\u8212{}Ministerio del trabajo}, s.\\uc0\\u160{}f.)","plainCitation":"(Sistema de Gestión de Seguridad y Salud en el Trabajo—Ministerio del trabajo, s. f.)","noteIndex":0},"citationItems":[{"id":1,"uris":["http://zotero.org/users/local/qiXCOuzK/items/G95SEWMA"],"uri":["http://zotero.org/users/local/qiXCOuzK/items/G95SEWMA"],"itemData":{"id":1,"type":"webpage","title":"Sistema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rFonts w:eastAsia="Times New Roman" w:cs="Times New Roman"/>
          <w:b/>
          <w:bCs/>
          <w:color w:val="000000"/>
          <w:szCs w:val="24"/>
          <w:lang w:eastAsia="es-CO"/>
        </w:rPr>
        <w:fldChar w:fldCharType="separate"/>
      </w:r>
      <w:r w:rsidR="002F7714" w:rsidRPr="002F7714">
        <w:rPr>
          <w:rFonts w:cs="Times New Roman"/>
          <w:color w:val="000000"/>
          <w:lang w:val="es-ES_tradnl"/>
        </w:rPr>
        <w:t>(</w:t>
      </w:r>
      <w:r w:rsidR="002F7714" w:rsidRPr="002F7714">
        <w:rPr>
          <w:rFonts w:cs="Times New Roman"/>
          <w:i/>
          <w:iCs/>
          <w:color w:val="000000"/>
          <w:lang w:val="es-ES_tradnl"/>
        </w:rPr>
        <w:t>Sistema de Gestión de Seguridad y Salud en el Trabajo—Ministerio del trabajo</w:t>
      </w:r>
      <w:r w:rsidR="002F7714" w:rsidRPr="002F7714">
        <w:rPr>
          <w:rFonts w:cs="Times New Roman"/>
          <w:color w:val="000000"/>
          <w:lang w:val="es-ES_tradnl"/>
        </w:rPr>
        <w:t>, s. f.)</w:t>
      </w:r>
      <w:r w:rsidR="002F7714">
        <w:rPr>
          <w:rFonts w:eastAsia="Times New Roman" w:cs="Times New Roman"/>
          <w:b/>
          <w:bCs/>
          <w:color w:val="000000"/>
          <w:szCs w:val="24"/>
          <w:lang w:eastAsia="es-CO"/>
        </w:rPr>
        <w:fldChar w:fldCharType="end"/>
      </w:r>
      <w:r w:rsidRPr="00F92C50">
        <w:rPr>
          <w:rFonts w:eastAsia="Times New Roman" w:cs="Times New Roman"/>
          <w:color w:val="000000"/>
          <w:szCs w:val="24"/>
          <w:lang w:eastAsia="es-CO"/>
        </w:rPr>
        <w:t xml:space="preserve">, con la participación de todos los empleados, para poder garantizar que todas las medidas de seguridad y salud, se esten aplicando de la manera correcta bajos las distintas areas y condiciones que el trabajo en si lo requiera, como también el comportamiento de los empleados, las condiciones, el medio ambiente en el trabajo, el control de los posibles </w:t>
      </w:r>
      <w:r w:rsidR="002F7714">
        <w:rPr>
          <w:rFonts w:eastAsia="Times New Roman" w:cs="Times New Roman"/>
          <w:color w:val="000000"/>
          <w:szCs w:val="24"/>
          <w:lang w:eastAsia="es-CO"/>
        </w:rPr>
        <w:t xml:space="preserve">factores que representen </w:t>
      </w:r>
      <w:r w:rsidRPr="00F92C50">
        <w:rPr>
          <w:rFonts w:eastAsia="Times New Roman" w:cs="Times New Roman"/>
          <w:color w:val="000000"/>
          <w:szCs w:val="24"/>
          <w:lang w:eastAsia="es-CO"/>
        </w:rPr>
        <w:t>riesgos</w:t>
      </w:r>
      <w:r w:rsidR="002F7714">
        <w:rPr>
          <w:rFonts w:eastAsia="Times New Roman" w:cs="Times New Roman"/>
          <w:color w:val="000000"/>
          <w:szCs w:val="24"/>
          <w:lang w:eastAsia="es-CO"/>
        </w:rPr>
        <w:t xml:space="preserve"> para los trabajadores,</w:t>
      </w:r>
      <w:r w:rsidRPr="00F92C50">
        <w:rPr>
          <w:rFonts w:eastAsia="Times New Roman" w:cs="Times New Roman"/>
          <w:color w:val="000000"/>
          <w:szCs w:val="24"/>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4D150AEB" w:rsidR="00097EF6" w:rsidRDefault="00097EF6" w:rsidP="00097EF6">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esta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60EE23D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na buena planificación permite identificar posibles factores de riesgos y crear una estrategia que permita tener una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13DCF8D5"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 beneficiones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77777777" w:rsidR="00097EF6" w:rsidRPr="00097EF6" w:rsidRDefault="00097EF6" w:rsidP="00097EF6">
      <w:pPr>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SG-SST toma como marco de referencia la ISO 45001:2018, la cual nos dice que se debe 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t>Es una norma creada por ISO (International Organization for Standardzation) y específicamente dirigida a las pequeñas organizaciones las cuales son identificadas como VSE’s (Very Small Entities) por sus siglas en inglés.</w:t>
      </w:r>
    </w:p>
    <w:p w14:paraId="4120DFBE"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ICONIX</w:t>
      </w:r>
    </w:p>
    <w:p w14:paraId="381910F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ab/>
      </w:r>
      <w:r w:rsidRPr="00984C4D">
        <w:rPr>
          <w:rFonts w:eastAsia="Times New Roman" w:cs="Times New Roman"/>
          <w:color w:val="000000"/>
          <w:szCs w:val="24"/>
          <w:lang w:eastAsia="es-CO"/>
        </w:rPr>
        <w:t>La metodología empleada en este proyecto será Iconix la cual está orientada a equipos de trabajo pequeños, es semi ágil y emplea lo mejor de las metodologías RUP y XP,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varias iteraciones ocurren para su refinamiento, el modelo estático es incrementalmente refinado por los modelos dinámicos.</w:t>
      </w:r>
    </w:p>
    <w:p w14:paraId="595186E0"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capacidad de seguir una relación entre los diferentes módulos producidos que están referenciados por algún requisito.</w:t>
      </w:r>
    </w:p>
    <w:p w14:paraId="27B017CB"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Emplea el uso dinámico de UML en el diseño como son el diagrama de casos de uso, diagrama de secuencia no se emplean todos como si lo exige la metodología RUP.</w:t>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4DAE0997"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Prototipo de Interfaz de Usuario:</w:t>
      </w:r>
      <w:r w:rsidRPr="00984C4D">
        <w:rPr>
          <w:rFonts w:eastAsia="Times New Roman" w:cs="Times New Roman"/>
          <w:color w:val="000000"/>
          <w:szCs w:val="24"/>
          <w:lang w:eastAsia="es-CO"/>
        </w:rPr>
        <w:t xml:space="preserve"> implica la creación de un modelo/boceto de las interfaces donde se analizan lo que el usuario final ve y con lo que interactuara, el cliente debe estar de acuerdo. (Dinámico: el usuario/cliente se hacen participantes activos en el desarrollo)</w:t>
      </w:r>
    </w:p>
    <w:p w14:paraId="28B2B9B4"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Casos de Uso:</w:t>
      </w:r>
      <w:r w:rsidRPr="00984C4D">
        <w:rPr>
          <w:rFonts w:eastAsia="Times New Roman" w:cs="Times New Roman"/>
          <w:color w:val="000000"/>
          <w:szCs w:val="24"/>
          <w:lang w:eastAsia="es-CO"/>
        </w:rPr>
        <w:t xml:space="preserve"> describe las acciones o el comportamiento que un usuario realiza dentro del sistema. Comprende de: los actores, casos de uso y el alcance del sistema.</w:t>
      </w:r>
    </w:p>
    <w:p w14:paraId="6B8AEBAE"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Dominio:</w:t>
      </w:r>
      <w:r w:rsidRPr="00984C4D">
        <w:rPr>
          <w:rFonts w:eastAsia="Times New Roman" w:cs="Times New Roman"/>
          <w:color w:val="000000"/>
          <w:szCs w:val="24"/>
          <w:lang w:eastAsia="es-CO"/>
        </w:rPr>
        <w:t xml:space="preserve"> esto se refiere a identificar objetos y cosas del mundo real que intervienen con nuestro sistema. (Estático)</w:t>
      </w:r>
    </w:p>
    <w:p w14:paraId="4B806261"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del diseño preliminar /Análisis y Diseño Preliminar: </w:t>
      </w:r>
      <w:r w:rsidRPr="00984C4D">
        <w:rPr>
          <w:rFonts w:eastAsia="Times New Roman" w:cs="Times New Roman"/>
          <w:color w:val="000000"/>
          <w:szCs w:val="24"/>
          <w:lang w:eastAsia="es-CO"/>
        </w:rPr>
        <w:t xml:space="preserve">En esta fase a partir de cada caso de uso se obtendrán una ficha de caso de uso, (la cual no pertenece a UML), está formada por un nombre, una descripción, una precondición que debe cumplir antes de </w:t>
      </w:r>
      <w:r w:rsidRPr="00984C4D">
        <w:rPr>
          <w:rFonts w:eastAsia="Times New Roman" w:cs="Times New Roman"/>
          <w:color w:val="000000"/>
          <w:szCs w:val="24"/>
          <w:lang w:eastAsia="es-CO"/>
        </w:rPr>
        <w:lastRenderedPageBreak/>
        <w:t>iniciarse, una postcondición que debe cumplir al terminar si termina correctamente. Se deben describir los casos de uso, como un flujo principal de acciones, pudiendo contener los flujos alternativos y los flujos de excepción. la principal sugerencia de Iconix, en esta actividad es que no se debe perder mucho tiempo con la descripción textual. Debería usarse un estilo consistente que sea adecuado al contexto del proyecto. </w:t>
      </w:r>
    </w:p>
    <w:p w14:paraId="174AF9EF"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Realizar Diagrama de Robustez:</w:t>
      </w:r>
      <w:r w:rsidRPr="00984C4D">
        <w:rPr>
          <w:rFonts w:eastAsia="Times New Roman" w:cs="Times New Roman"/>
          <w:color w:val="000000"/>
          <w:szCs w:val="24"/>
          <w:lang w:eastAsia="es-CO"/>
        </w:rPr>
        <w:t xml:space="preserve"> es un híbrido entre un Diagrama de Clases y un Diagrama de Actividades. Es una herramienta que nos permite capturar el Que hacer y a partir de eso él Cómo hacerlo. Facilita el reconocimiento de objetos y hace más sencilla la lectura del sistema. Ayuda a identificar los objetos que participan en cada caso de uso.</w:t>
      </w:r>
    </w:p>
    <w:p w14:paraId="3262FF5F"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El diagrama de Robustez se divide en:</w:t>
      </w:r>
    </w:p>
    <w:p w14:paraId="1AEBA62C"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fronterizos: usado por los actores para comunicarse con el sistema.</w:t>
      </w:r>
    </w:p>
    <w:p w14:paraId="5D52A479"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entidad: son objetos del modelo del dominio.</w:t>
      </w:r>
    </w:p>
    <w:p w14:paraId="467CA287"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Diagrama de Clases: describe la estructura de un sistema mostrando sus clases, atributos y las relaciones entre ellos</w:t>
      </w:r>
    </w:p>
    <w:p w14:paraId="3673F673" w14:textId="77777777" w:rsidR="00984C4D" w:rsidRPr="00984C4D" w:rsidRDefault="00984C4D" w:rsidP="00984C4D">
      <w:pPr>
        <w:spacing w:line="240" w:lineRule="auto"/>
        <w:jc w:val="left"/>
        <w:rPr>
          <w:rFonts w:eastAsia="Times New Roman" w:cs="Times New Roman"/>
          <w:szCs w:val="24"/>
          <w:lang w:eastAsia="es-CO"/>
        </w:rPr>
      </w:pPr>
    </w:p>
    <w:p w14:paraId="19C278B7" w14:textId="77777777" w:rsidR="00984C4D" w:rsidRPr="00984C4D" w:rsidRDefault="00984C4D" w:rsidP="00984C4D">
      <w:pPr>
        <w:numPr>
          <w:ilvl w:val="0"/>
          <w:numId w:val="18"/>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crítica del diseño/Diseño: </w:t>
      </w:r>
      <w:r w:rsidRPr="00984C4D">
        <w:rPr>
          <w:rFonts w:eastAsia="Times New Roman" w:cs="Times New Roman"/>
          <w:color w:val="000000"/>
          <w:szCs w:val="24"/>
          <w:lang w:eastAsia="es-CO"/>
        </w:rPr>
        <w:t>En esta fase se reconocen todos los elementos que forman parte de nuestro sistema. Diagramas de Secuencia: muestra los métodos que llevaran las clases de nuestro sistema. Muestra todos los cursos alternos que pueden tomar todos nuestros casos de uso. Se debe terminar el modelo estático, añadiendo los detalles del diseño en el diagrama de clases y verificar si el diseño satisface todos los requisitos identificados.</w:t>
      </w:r>
    </w:p>
    <w:p w14:paraId="549DBD46" w14:textId="77777777" w:rsidR="00984C4D" w:rsidRPr="00984C4D" w:rsidRDefault="00984C4D" w:rsidP="00984C4D">
      <w:pPr>
        <w:numPr>
          <w:ilvl w:val="0"/>
          <w:numId w:val="18"/>
        </w:numPr>
        <w:spacing w:line="240" w:lineRule="auto"/>
        <w:textAlignment w:val="baseline"/>
        <w:rPr>
          <w:rFonts w:eastAsia="Times New Roman" w:cs="Times New Roman"/>
          <w:b/>
          <w:bCs/>
          <w:color w:val="000000"/>
          <w:szCs w:val="24"/>
          <w:lang w:eastAsia="es-CO"/>
        </w:rPr>
      </w:pPr>
      <w:r w:rsidRPr="00984C4D">
        <w:rPr>
          <w:rFonts w:eastAsia="Times New Roman" w:cs="Times New Roman"/>
          <w:b/>
          <w:bCs/>
          <w:color w:val="000000"/>
          <w:szCs w:val="24"/>
          <w:lang w:eastAsia="es-CO"/>
        </w:rPr>
        <w:t xml:space="preserve">Implementación: </w:t>
      </w:r>
      <w:r w:rsidRPr="00984C4D">
        <w:rPr>
          <w:rFonts w:eastAsia="Times New Roman" w:cs="Times New Roman"/>
          <w:color w:val="000000"/>
          <w:szCs w:val="24"/>
          <w:lang w:eastAsia="es-CO"/>
        </w:rPr>
        <w:t>En esta fase a partir del buen diseño logrado se creará el software; que posteriormente se entregará. Se debe utilizar el diagrama de componentes si fuera necesario para apoyar el desarrollo, es decir mostrar una distribución física de los elementos que componen la estructura interna del sistema. Así como escribir y generar el código.</w:t>
      </w:r>
    </w:p>
    <w:p w14:paraId="42731A7E"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Pero además se debe tener en cuenta factores como:</w:t>
      </w:r>
    </w:p>
    <w:p w14:paraId="54CC3B79"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Reusabilidad:</w:t>
      </w:r>
      <w:r w:rsidRPr="00984C4D">
        <w:rPr>
          <w:rFonts w:eastAsia="Times New Roman" w:cs="Times New Roman"/>
          <w:color w:val="000000"/>
          <w:szCs w:val="24"/>
          <w:lang w:eastAsia="es-CO"/>
        </w:rPr>
        <w:t xml:space="preserve"> es la posibilidad de hacer uso de los componentes en diferentes aplicaciones.</w:t>
      </w:r>
    </w:p>
    <w:p w14:paraId="3A1279C8"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Extensibilidad:</w:t>
      </w:r>
      <w:r w:rsidRPr="00984C4D">
        <w:rPr>
          <w:rFonts w:eastAsia="Times New Roman" w:cs="Times New Roman"/>
          <w:color w:val="000000"/>
          <w:szCs w:val="24"/>
          <w:lang w:eastAsia="es-CO"/>
        </w:rPr>
        <w:t xml:space="preserve"> consiste en modificar con facilidad el software.</w:t>
      </w:r>
    </w:p>
    <w:p w14:paraId="71D6CBEA"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Confiabilidad:</w:t>
      </w:r>
      <w:r w:rsidRPr="00984C4D">
        <w:rPr>
          <w:rFonts w:eastAsia="Times New Roman" w:cs="Times New Roman"/>
          <w:color w:val="000000"/>
          <w:szCs w:val="24"/>
          <w:lang w:eastAsia="es-CO"/>
        </w:rPr>
        <w:t xml:space="preserve"> realización de sistemas descartando las posibilidades de error.</w:t>
      </w:r>
    </w:p>
    <w:p w14:paraId="05E3A557" w14:textId="77777777" w:rsidR="00984C4D" w:rsidRDefault="00984C4D" w:rsidP="00984C4D">
      <w:pPr>
        <w:rPr>
          <w:rFonts w:eastAsia="Times New Roman" w:cs="Times New Roman"/>
          <w:b/>
          <w:bCs/>
          <w:color w:val="000000"/>
          <w:szCs w:val="24"/>
          <w:lang w:eastAsia="es-CO"/>
        </w:rPr>
      </w:pPr>
    </w:p>
    <w:p w14:paraId="1F143C33" w14:textId="07A9530C" w:rsidR="000F2962" w:rsidRDefault="00984C4D" w:rsidP="00984C4D">
      <w:pPr>
        <w:rPr>
          <w:rFonts w:eastAsia="Times New Roman" w:cs="Times New Roman"/>
          <w:color w:val="000000"/>
          <w:szCs w:val="24"/>
          <w:lang w:eastAsia="es-CO"/>
        </w:rPr>
      </w:pPr>
      <w:r w:rsidRPr="00984C4D">
        <w:rPr>
          <w:rFonts w:eastAsia="Times New Roman" w:cs="Times New Roman"/>
          <w:b/>
          <w:bCs/>
          <w:color w:val="000000"/>
          <w:szCs w:val="24"/>
          <w:lang w:eastAsia="es-CO"/>
        </w:rPr>
        <w:t>Realizar pruebas:</w:t>
      </w:r>
      <w:r w:rsidRPr="00984C4D">
        <w:rPr>
          <w:rFonts w:eastAsia="Times New Roman" w:cs="Times New Roman"/>
          <w:color w:val="000000"/>
          <w:szCs w:val="24"/>
          <w:lang w:eastAsia="es-CO"/>
        </w:rPr>
        <w:t xml:space="preserve"> Test de unidades, de casos, datos y resultad</w:t>
      </w:r>
      <w:r>
        <w:rPr>
          <w:rFonts w:eastAsia="Times New Roman" w:cs="Times New Roman"/>
          <w:color w:val="000000"/>
          <w:szCs w:val="24"/>
          <w:lang w:eastAsia="es-CO"/>
        </w:rPr>
        <w:t xml:space="preserve">os. Test de integración con los </w:t>
      </w:r>
      <w:r w:rsidRPr="00984C4D">
        <w:rPr>
          <w:rFonts w:eastAsia="Times New Roman" w:cs="Times New Roman"/>
          <w:color w:val="000000"/>
          <w:szCs w:val="24"/>
          <w:lang w:eastAsia="es-CO"/>
        </w:rPr>
        <w:t>usuarios para verificar la aceptación de los resultados.</w:t>
      </w: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5"/>
      <w:r w:rsidR="00DD6B8A" w:rsidRPr="00E10DFE">
        <w:rPr>
          <w:rFonts w:cs="Times New Roman"/>
          <w:color w:val="0070C0"/>
          <w:szCs w:val="24"/>
        </w:rPr>
        <w:t xml:space="preserve">se citan los autores </w:t>
      </w:r>
      <w:commentRangeEnd w:id="45"/>
      <w:r w:rsidR="00A63C2A" w:rsidRPr="00E10DFE">
        <w:rPr>
          <w:rStyle w:val="Refdecomentario"/>
          <w:color w:val="0070C0"/>
        </w:rPr>
        <w:commentReference w:id="45"/>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6"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7"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6"/>
      <w:r w:rsidRPr="00D00170">
        <w:rPr>
          <w:rFonts w:cs="Times New Roman"/>
          <w:color w:val="0070C0"/>
          <w:szCs w:val="24"/>
        </w:rPr>
        <w:t>c</w:t>
      </w:r>
      <w:r w:rsidR="004B3744" w:rsidRPr="00D00170">
        <w:rPr>
          <w:rFonts w:cs="Times New Roman"/>
          <w:color w:val="0070C0"/>
          <w:szCs w:val="24"/>
        </w:rPr>
        <w:t>ita</w:t>
      </w:r>
      <w:commentRangeEnd w:id="46"/>
      <w:r w:rsidRPr="00D00170">
        <w:rPr>
          <w:rStyle w:val="Refdecomentario"/>
          <w:color w:val="0070C0"/>
        </w:rPr>
        <w:commentReference w:id="46"/>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Español Urgente,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7"/>
      <w:r w:rsidRPr="002925A9">
        <w:rPr>
          <w:rFonts w:cs="Times New Roman"/>
          <w:color w:val="0070C0"/>
          <w:szCs w:val="24"/>
        </w:rPr>
        <w:lastRenderedPageBreak/>
        <w:t>(</w:t>
      </w:r>
      <w:commentRangeEnd w:id="47"/>
      <w:r w:rsidRPr="002925A9">
        <w:rPr>
          <w:rStyle w:val="Refdecomentario"/>
          <w:rFonts w:cs="Times New Roman"/>
          <w:color w:val="0070C0"/>
          <w:szCs w:val="24"/>
        </w:rPr>
        <w:commentReference w:id="47"/>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8"/>
      <w:r w:rsidRPr="002925A9">
        <w:rPr>
          <w:rFonts w:cs="Times New Roman"/>
          <w:color w:val="0070C0"/>
          <w:szCs w:val="24"/>
        </w:rPr>
        <w:t>s.f.</w:t>
      </w:r>
      <w:commentRangeEnd w:id="48"/>
      <w:r w:rsidRPr="002925A9">
        <w:rPr>
          <w:rStyle w:val="Refdecomentario"/>
          <w:rFonts w:cs="Times New Roman"/>
          <w:color w:val="0070C0"/>
          <w:szCs w:val="24"/>
        </w:rPr>
        <w:commentReference w:id="48"/>
      </w:r>
      <w:r w:rsidRPr="002925A9">
        <w:rPr>
          <w:rFonts w:cs="Times New Roman"/>
          <w:color w:val="0070C0"/>
          <w:szCs w:val="24"/>
        </w:rPr>
        <w:t xml:space="preserve">) / (Ramírez &amp; Guzmán, s.f., </w:t>
      </w:r>
      <w:commentRangeStart w:id="49"/>
      <w:r w:rsidRPr="002925A9">
        <w:rPr>
          <w:rFonts w:cs="Times New Roman"/>
          <w:color w:val="0070C0"/>
          <w:szCs w:val="24"/>
        </w:rPr>
        <w:t>párr. 2</w:t>
      </w:r>
      <w:commentRangeEnd w:id="49"/>
      <w:r w:rsidRPr="002925A9">
        <w:rPr>
          <w:rStyle w:val="Refdecomentario"/>
          <w:rFonts w:cs="Times New Roman"/>
          <w:color w:val="0070C0"/>
          <w:szCs w:val="24"/>
        </w:rPr>
        <w:commentReference w:id="49"/>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0"/>
      <w:r w:rsidRPr="002925A9">
        <w:rPr>
          <w:rFonts w:cs="Times New Roman"/>
          <w:color w:val="0070C0"/>
          <w:szCs w:val="24"/>
        </w:rPr>
        <w:t>Por</w:t>
      </w:r>
      <w:commentRangeEnd w:id="50"/>
      <w:r w:rsidRPr="002925A9">
        <w:rPr>
          <w:rStyle w:val="Refdecomentario"/>
          <w:rFonts w:cs="Times New Roman"/>
          <w:color w:val="0070C0"/>
          <w:szCs w:val="24"/>
        </w:rPr>
        <w:commentReference w:id="50"/>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1"/>
      <w:r w:rsidRPr="002925A9">
        <w:rPr>
          <w:rFonts w:cs="Times New Roman"/>
          <w:color w:val="0070C0"/>
          <w:szCs w:val="24"/>
        </w:rPr>
        <w:t>aspecto discursivo (Ruiz, 2014, p. 107).</w:t>
      </w:r>
      <w:commentRangeEnd w:id="51"/>
      <w:r w:rsidR="00C77DD3" w:rsidRPr="002925A9">
        <w:rPr>
          <w:rStyle w:val="Refdecomentario"/>
          <w:color w:val="0070C0"/>
        </w:rPr>
        <w:commentReference w:id="51"/>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2" w:name="_Toc440985138"/>
      <w:r>
        <w:rPr>
          <w:b/>
        </w:rPr>
        <w:br w:type="page"/>
      </w:r>
      <w:r w:rsidR="002649F5">
        <w:rPr>
          <w:b/>
        </w:rPr>
        <w:lastRenderedPageBreak/>
        <w:t>7</w:t>
      </w:r>
      <w:r w:rsidR="000F2962" w:rsidRPr="00285913">
        <w:rPr>
          <w:b/>
        </w:rPr>
        <w:t xml:space="preserve"> </w:t>
      </w:r>
      <w:bookmarkStart w:id="53" w:name="_Toc440985139"/>
      <w:r w:rsidRPr="00285913">
        <w:rPr>
          <w:b/>
        </w:rPr>
        <w:t>Metodología</w:t>
      </w:r>
      <w:bookmarkEnd w:id="53"/>
    </w:p>
    <w:bookmarkEnd w:id="52"/>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4"/>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vFzLAIAAFQEAAAOAAAAZHJzL2Uyb0RvYy54bWysVNuO0zAQfUfiHyy/06Q3to2arpYuRUjL&#13;&#10;RVr4gKntNBaOJ9huk/L1jJ1uqRZ4QeTB8njGxzPnzGR12zeGHZXzGm3Jx6OcM2UFSm33Jf/6Zftq&#13;&#10;wZkPYCUYtKrkJ+X57frli1XXFmqCNRqpHCMQ64uuLXkdQltkmRe1asCPsFWWnBW6BgKZbp9JBx2h&#13;&#10;Nyab5PnrrEMnW4dCeU+n94OTrxN+VSkRPlWVV4GZklNuIa0urbu4ZusVFHsHba3FOQ34hywa0JYe&#13;&#10;vUDdQwB2cPo3qEYLhx6rMBLYZFhVWqhUA1Uzzp9V81hDq1ItRI5vLzT5/wcrPh4/O6YlaTfmzEJD&#13;&#10;Gm0OIB0yqVhQfUA2iSx1rS8o+LGl8NC/wZ5upIp9+4Dim2cWNzXYvbpzDrtagaQsx/FmdnV1wPER&#13;&#10;ZNd9QEmvwSFgAuor10QKiRRG6KTW6aIQ5cEEHc6X01l+M+dMkG86vRkv5knDDIqn663z4Z3ChsVN&#13;&#10;yR21QIKH44MPMR0onkLiax6NllttTDLcfrcxjh2B2mWbvlTBszBjWVfy5XwyHxj4K0Sevj9BNDpQ&#13;&#10;3xvdlHxxCYIi8vbWytSVAbQZ9pSysWciI3cDi6Hf9Um5iz47lCdi1uHQ5jSWtKnR/eCsoxYvuf9+&#13;&#10;AKc4M+8tqbMcz2ZxJpIxm99MyHDXnt21B6wgqJIHzobtJqQ5irxZvCMVK534jXIPmZxTptZNtJ/H&#13;&#10;LM7GtZ2ifv0M1j8BAAD//wMAUEsDBBQABgAIAAAAIQDi7UXc4wAAAAwBAAAPAAAAZHJzL2Rvd25y&#13;&#10;ZXYueG1sTI9LT8MwEITvSPwHa5G4IOpAnT7SOBUCgeAGbQVXN94mEX4E203Dv2c5wWWk1Whn5ivX&#13;&#10;ozVswBA77yTcTDJg6GqvO9dI2G0frxfAYlJOK+MdSvjGCOvq/KxUhfYn94bDJjWMQlwslIQ2pb7g&#13;&#10;PNYtWhUnvkdH3sEHqxKdoeE6qBOFW8Nvs2zGreocNbSqx/sW68/N0UpYiOfhI75MX9/r2cEs09V8&#13;&#10;ePoKUl5ejA8rkrsVsIRj+vuAXwbaDxUN2/uj05EZCUSTJAghgJG7nIoc2F5CPs8F8Krk/yGqHwAA&#13;&#10;AP//AwBQSwECLQAUAAYACAAAACEAtoM4kv4AAADhAQAAEwAAAAAAAAAAAAAAAAAAAAAAW0NvbnRl&#13;&#10;bnRfVHlwZXNdLnhtbFBLAQItABQABgAIAAAAIQA4/SH/1gAAAJQBAAALAAAAAAAAAAAAAAAAAC8B&#13;&#10;AABfcmVscy8ucmVsc1BLAQItABQABgAIAAAAIQAAHvFzLAIAAFQEAAAOAAAAAAAAAAAAAAAAAC4C&#13;&#10;AABkcnMvZTJvRG9jLnhtbFBLAQItABQABgAIAAAAIQDi7UXc4wAAAAwBAAAPAAAAAAAAAAAAAAAA&#13;&#10;AIYEAABkcnMvZG93bnJldi54bWxQSwUGAAAAAAQABADzAAAAlgUAAAAA&#13;&#10;">
                <v:textbo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v:textbox>
                <w10:wrap type="square" anchorx="margin"/>
              </v:shape>
            </w:pict>
          </mc:Fallback>
        </mc:AlternateContent>
      </w:r>
      <w:r w:rsidR="007B5E42">
        <w:rPr>
          <w:rFonts w:cs="Times New Roman"/>
          <w:b/>
          <w:szCs w:val="24"/>
        </w:rPr>
        <w:t xml:space="preserve"> </w:t>
      </w:r>
      <w:commentRangeEnd w:id="54"/>
      <w:r w:rsidR="007B5E42">
        <w:rPr>
          <w:rStyle w:val="Refdecomentario"/>
        </w:rPr>
        <w:commentReference w:id="54"/>
      </w:r>
    </w:p>
    <w:p w14:paraId="06DDC413" w14:textId="0869C69A" w:rsidR="00611D76" w:rsidRDefault="00A71B2F" w:rsidP="000F2962">
      <w:pPr>
        <w:jc w:val="center"/>
        <w:rPr>
          <w:rFonts w:cs="Times New Roman"/>
          <w:b/>
          <w:szCs w:val="24"/>
        </w:rPr>
      </w:pPr>
      <w:commentRangeStart w:id="55"/>
      <w:r>
        <w:rPr>
          <w:rFonts w:cs="Times New Roman"/>
          <w:b/>
          <w:szCs w:val="24"/>
        </w:rPr>
        <w:t xml:space="preserve"> </w:t>
      </w:r>
      <w:commentRangeEnd w:id="55"/>
      <w:r>
        <w:rPr>
          <w:rStyle w:val="Refdecomentario"/>
        </w:rPr>
        <w:commentReference w:id="55"/>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6"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6"/>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7"/>
      <w:r w:rsidRPr="007F16AA">
        <w:rPr>
          <w:rFonts w:cs="Times New Roman"/>
          <w:szCs w:val="24"/>
        </w:rPr>
        <w:t>T</w:t>
      </w:r>
      <w:commentRangeEnd w:id="57"/>
      <w:r w:rsidR="000F68C2" w:rsidRPr="007F16AA">
        <w:rPr>
          <w:rStyle w:val="Refdecomentario"/>
          <w:sz w:val="24"/>
          <w:szCs w:val="24"/>
        </w:rPr>
        <w:commentReference w:id="57"/>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8"/>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8"/>
      <w:r w:rsidR="00B226DE">
        <w:rPr>
          <w:rStyle w:val="Refdecomentario"/>
        </w:rPr>
        <w:commentReference w:id="58"/>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59"/>
      <w:r w:rsidRPr="007F16AA">
        <w:rPr>
          <w:rFonts w:cs="Times New Roman"/>
          <w:szCs w:val="24"/>
        </w:rPr>
        <w:t xml:space="preserve">Tabla 2. </w:t>
      </w:r>
      <w:commentRangeEnd w:id="59"/>
      <w:r w:rsidR="00B226DE">
        <w:rPr>
          <w:rStyle w:val="Refdecomentario"/>
        </w:rPr>
        <w:commentReference w:id="59"/>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0"/>
            <w:r w:rsidRPr="004B3744">
              <w:rPr>
                <w:rFonts w:cs="Times New Roman"/>
                <w:sz w:val="20"/>
                <w:szCs w:val="20"/>
              </w:rPr>
              <w:t>4</w:t>
            </w:r>
            <w:commentRangeEnd w:id="60"/>
            <w:r w:rsidR="00234912">
              <w:rPr>
                <w:rStyle w:val="Refdecomentario"/>
              </w:rPr>
              <w:commentReference w:id="60"/>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1"/>
      <w:r w:rsidR="001A731E">
        <w:rPr>
          <w:rFonts w:cs="Times New Roman"/>
          <w:sz w:val="20"/>
          <w:szCs w:val="20"/>
        </w:rPr>
        <w:t>.</w:t>
      </w:r>
      <w:commentRangeEnd w:id="61"/>
      <w:r w:rsidR="008756D6">
        <w:rPr>
          <w:rStyle w:val="Refdecomentario"/>
        </w:rPr>
        <w:commentReference w:id="61"/>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2" w:name="_Toc440985141"/>
      <w:r>
        <w:rPr>
          <w:b/>
        </w:rPr>
        <w:lastRenderedPageBreak/>
        <w:t>9</w:t>
      </w:r>
      <w:r w:rsidR="000F2962" w:rsidRPr="00285913">
        <w:rPr>
          <w:b/>
        </w:rPr>
        <w:t xml:space="preserve"> Discusión</w:t>
      </w:r>
      <w:bookmarkEnd w:id="62"/>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3" w:name="_Toc440985142"/>
      <w:r>
        <w:rPr>
          <w:b/>
        </w:rPr>
        <w:lastRenderedPageBreak/>
        <w:t>10</w:t>
      </w:r>
      <w:r w:rsidR="000F2962" w:rsidRPr="00285913">
        <w:rPr>
          <w:b/>
        </w:rPr>
        <w:t xml:space="preserve"> Conclusiones</w:t>
      </w:r>
      <w:bookmarkEnd w:id="63"/>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4" w:name="_Toc440985143"/>
      <w:r>
        <w:rPr>
          <w:b/>
        </w:rPr>
        <w:br w:type="page"/>
      </w:r>
      <w:commentRangeStart w:id="65"/>
      <w:r w:rsidR="0065676B" w:rsidRPr="00285913">
        <w:rPr>
          <w:b/>
        </w:rPr>
        <w:lastRenderedPageBreak/>
        <w:t>R</w:t>
      </w:r>
      <w:commentRangeEnd w:id="65"/>
      <w:r w:rsidR="0065676B" w:rsidRPr="00285913">
        <w:rPr>
          <w:rStyle w:val="Refdecomentario"/>
          <w:rFonts w:cs="Times New Roman"/>
          <w:b/>
          <w:szCs w:val="24"/>
        </w:rPr>
        <w:commentReference w:id="65"/>
      </w:r>
      <w:r w:rsidR="0065676B" w:rsidRPr="00285913">
        <w:rPr>
          <w:b/>
        </w:rPr>
        <w:t>eferencias</w:t>
      </w:r>
      <w:bookmarkEnd w:id="64"/>
    </w:p>
    <w:p w14:paraId="654607DE" w14:textId="32DB6E86" w:rsidR="0065676B" w:rsidRDefault="0065676B" w:rsidP="0065676B">
      <w:pPr>
        <w:rPr>
          <w:rFonts w:cs="Times New Roman"/>
          <w:szCs w:val="24"/>
        </w:rPr>
      </w:pPr>
    </w:p>
    <w:p w14:paraId="7D815F95" w14:textId="6DCC6D64" w:rsidR="002F7714" w:rsidRPr="002F7714" w:rsidRDefault="002F7714" w:rsidP="002F7714">
      <w:pPr>
        <w:pStyle w:val="Bibliografa1"/>
        <w:rPr>
          <w:color w:val="000000" w:themeColor="text1"/>
          <w:lang w:val="es-ES_tradnl"/>
        </w:rPr>
      </w:pPr>
      <w:r w:rsidRPr="002F7714">
        <w:rPr>
          <w:color w:val="000000" w:themeColor="text1"/>
          <w:lang w:val="es-ES_tradnl"/>
        </w:rPr>
        <w:t>¿En qué consiste Sistema Gestión Seguridad Salud Trabajo</w:t>
      </w:r>
      <w:r>
        <w:rPr>
          <w:color w:val="000000" w:themeColor="text1"/>
          <w:lang w:val="es-ES_tradnl"/>
        </w:rPr>
        <w:t xml:space="preserve"> </w:t>
      </w:r>
      <w:r w:rsidRPr="002F7714">
        <w:rPr>
          <w:color w:val="000000" w:themeColor="text1"/>
          <w:lang w:val="es-ES_tradnl"/>
        </w:rPr>
        <w:t>(SG-SST)? (s. f.). Recuperado 15 de abril de 2020, de https://www.isotools.org/2016/09/06/consiste-sistema-gestion-la-seguridad-salud-trabajo-sg-sst/</w:t>
      </w:r>
    </w:p>
    <w:p w14:paraId="272BD2FD" w14:textId="16C5513E" w:rsidR="002F7714" w:rsidRDefault="002F7714" w:rsidP="0065676B">
      <w:pPr>
        <w:rPr>
          <w:rFonts w:cs="Times New Roman"/>
          <w:szCs w:val="24"/>
        </w:rPr>
      </w:pPr>
    </w:p>
    <w:p w14:paraId="33E7A01F" w14:textId="77777777" w:rsidR="002F7714" w:rsidRPr="002F7714" w:rsidRDefault="002F7714" w:rsidP="002F7714">
      <w:pPr>
        <w:pStyle w:val="Bibliografa1"/>
        <w:rPr>
          <w:color w:val="000000" w:themeColor="text1"/>
          <w:lang w:val="es-ES_tradnl"/>
        </w:rPr>
      </w:pPr>
      <w:r w:rsidRPr="002F7714">
        <w:rPr>
          <w:color w:val="000000" w:themeColor="text1"/>
          <w:lang w:val="es-ES_tradnl"/>
        </w:rPr>
        <w:t>Sistema de Gestión de Seguridad y Salud en el Trabajo—Ministerio del trabajo. (s. f.). Recuperado 15 de abril de 2020, de https://www.mintrabajo.gov.co/relaciones-laborales/riesgos-laborales/sistema-de-gestion-de-seguridad-y-salud-en-el-trabajo</w:t>
      </w:r>
    </w:p>
    <w:p w14:paraId="2ACA7497" w14:textId="77777777" w:rsidR="002F7714" w:rsidRDefault="002F7714" w:rsidP="0065676B">
      <w:pPr>
        <w:rPr>
          <w:rFonts w:cs="Times New Roman"/>
          <w:szCs w:val="24"/>
        </w:rPr>
      </w:pPr>
    </w:p>
    <w:p w14:paraId="4ADF5FE2" w14:textId="766E4ABF" w:rsidR="002F7714" w:rsidRDefault="002F7714" w:rsidP="0065676B">
      <w:pPr>
        <w:rPr>
          <w:rFonts w:cs="Times New Roman"/>
          <w:szCs w:val="24"/>
        </w:rPr>
      </w:pPr>
    </w:p>
    <w:p w14:paraId="763EEAA0" w14:textId="26E16C8E" w:rsidR="0065676B" w:rsidRPr="00241FB2" w:rsidRDefault="0065676B" w:rsidP="0065676B">
      <w:pPr>
        <w:ind w:left="709" w:hanging="709"/>
        <w:rPr>
          <w:rFonts w:cs="Times New Roman"/>
          <w:szCs w:val="24"/>
        </w:rPr>
      </w:pP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310E58EE" w:rsidR="00691DBA" w:rsidRDefault="00691DBA" w:rsidP="00257918">
      <w:pPr>
        <w:rPr>
          <w:rFonts w:cs="Times New Roman"/>
          <w:b/>
          <w:szCs w:val="24"/>
        </w:rPr>
      </w:pPr>
    </w:p>
    <w:p w14:paraId="0E767808" w14:textId="71E78F03" w:rsidR="002F7714" w:rsidRDefault="002F7714" w:rsidP="00257918">
      <w:pPr>
        <w:rPr>
          <w:rFonts w:cs="Times New Roman"/>
          <w:b/>
          <w:szCs w:val="24"/>
        </w:rPr>
      </w:pPr>
    </w:p>
    <w:p w14:paraId="5B666A90" w14:textId="0312F58D" w:rsidR="002F7714" w:rsidRDefault="002F7714" w:rsidP="00257918">
      <w:pPr>
        <w:rPr>
          <w:rFonts w:cs="Times New Roman"/>
          <w:b/>
          <w:szCs w:val="24"/>
        </w:rPr>
      </w:pPr>
    </w:p>
    <w:p w14:paraId="0962D088" w14:textId="2EE6AEA0" w:rsidR="002F7714" w:rsidRDefault="002F7714" w:rsidP="00257918">
      <w:pPr>
        <w:rPr>
          <w:rFonts w:cs="Times New Roman"/>
          <w:b/>
          <w:szCs w:val="24"/>
        </w:rPr>
      </w:pPr>
    </w:p>
    <w:p w14:paraId="62C609F4" w14:textId="6278BE6D" w:rsidR="002F7714" w:rsidRDefault="002F7714" w:rsidP="00257918">
      <w:pPr>
        <w:rPr>
          <w:rFonts w:cs="Times New Roman"/>
          <w:b/>
          <w:szCs w:val="24"/>
        </w:rPr>
      </w:pPr>
    </w:p>
    <w:p w14:paraId="4D2E4998" w14:textId="03CA1893" w:rsidR="002F7714" w:rsidRDefault="002F7714" w:rsidP="00257918">
      <w:pPr>
        <w:rPr>
          <w:rFonts w:cs="Times New Roman"/>
          <w:b/>
          <w:szCs w:val="24"/>
        </w:rPr>
      </w:pPr>
    </w:p>
    <w:p w14:paraId="7B1D7665" w14:textId="77777777" w:rsidR="002F7714" w:rsidRDefault="002F7714"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66" w:name="_Toc440985144"/>
      <w:commentRangeStart w:id="67"/>
      <w:r w:rsidRPr="00285913">
        <w:rPr>
          <w:b/>
        </w:rPr>
        <w:lastRenderedPageBreak/>
        <w:t>A</w:t>
      </w:r>
      <w:commentRangeEnd w:id="67"/>
      <w:r w:rsidR="002225AA">
        <w:rPr>
          <w:rStyle w:val="Refdecomentario"/>
        </w:rPr>
        <w:commentReference w:id="67"/>
      </w:r>
      <w:r w:rsidRPr="00285913">
        <w:rPr>
          <w:b/>
        </w:rPr>
        <w:t>nexos</w:t>
      </w:r>
      <w:bookmarkEnd w:id="66"/>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44B37A56"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{"citationID":"dA0vHXgi","properties":{"formattedCitation":"(Colombia. Presidencia de la Rep\\uc0\\u250{}blica, 1991)","plainCitation":"(Colombia. Presidencia de la República, 1991)","noteIndex":0},"citationItems":[{"id":"njUyAAid/qLbixRJy","uris":["http://www.mendeley.com/documents/?uuid=d0f7b468-8dae-4f0f-aabe-77f0f20387ca"],"uri":["http://www.mendeley.com/documents/?uuid=d0f7b468-8dae-4f0f-aabe-77f0f20387ca"],"itemData":{"author":[{"dropping-particle":"","family":"Colombia. Presidencia de la República","given":"","non-dropping-particle":"","parse-names":false,"suffix":""}],"id":"ITEM-1","issued":{"date-parts":[["1991"]]},"publisher":"Presidencia de la República","publisher-place":"Bogotá","title":"Constitución Política de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{"citationID":"ifUjqmAK","properties":{"formattedCitation":"(Colombia. Congreso de la Rep\\uc0\\u250{}blica, 1994)","plainCitation":"(Colombia. Congreso de la República, 1994)","noteIndex":0},"citationItems":[{"id":"njUyAAid/Vv3hUzy4","uris":["http://www.mendeley.com/documents/?uuid=a010d0e1-1829-47ac-b12c-a2dc6341235d"],"uri":["http://www.mendeley.com/documents/?uuid=a010d0e1-1829-47ac-b12c-a2dc6341235d"],"itemData":{"author":[{"dropping-particle":"","family":"Colombia. Congreso de la República","given":"","non-dropping-particle":"","parse-names":false,"suffix":""}],"id":"ITEM-1","issued":{"date-parts":[["1994"]]},"publisher":"Diario Oficial","publisher-place":"Bogotá","title":"Ley 133 de 1994 (mayo 23): por la cual se desarrolla el Decreto de Libertad Religiosa y de Cultos, reconocido en el artículo 19 de la Constitución Política","type":"book"}}],"schema":"https://github.com/citation-style-language/schema/raw/master/csl-citation.json"}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{"citationID":"qPaEYWxQ","properties":{"formattedCitation":"(Colombia. Presidencia de la Rep\\uc0\\u250{}blica, 1998)","plainCitation":"(Colombia. Presidencia de la República, 1998)","noteIndex":0},"citationItems":[{"id":"njUyAAid/vpxAqbCp","uris":["http://www.mendeley.com/documents/?uuid=85c14078-1558-4238-8786-c8c714ea8a25"],"uri":["http://www.mendeley.com/documents/?uuid=85c14078-1558-4238-8786-c8c714ea8a25"],"itemData":{"author":[{"dropping-particle":"","family":"Colombia. Presidencia de la República","given":"","non-dropping-particle":"","parse-names":false,"suffix":""}],"id":"ITEM-1","issued":{"date-parts":[["1998"]]},"publisher":"Diario Oficial","publisher-place":"Bogotá","title":"Decreto 1504 de 1998: por el cual se Reglamenta el Manejo del Espacio Público en los Planes de Ordenamiento Territorial","type":"book"}}],"schema":"https://github.com/citation-style-language/schema/raw/master/csl-citation.json"}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{"citationID":"I5XMibIL","properties":{"formattedCitation":"(Colombia. Congreso de la Rep\\uc0\\u250{}blica, 2014)","plainCitation":"(Colombia. Congreso de la República, 2014)","noteIndex":0},"citationItems":[{"id":"njUyAAid/9AJRJ6co","uris":["http://www.mendeley.com/documents/?uuid=5beeeb81-7080-47c9-b343-541d5eec8d1b"],"uri":["http://www.mendeley.com/documents/?uuid=5beeeb81-7080-47c9-b343-541d5eec8d1b"],"itemData":{"author":[{"dropping-particle":"","family":"Colombia. Congreso de la República","given":"","non-dropping-particle":"","parse-names":false,"suffix":""}],"id":"ITEM-1","issued":{"date-parts":[["2014"]]},"publisher":"Diario Oficial","publisher-place":"Bogotá","title":"Ley 1733 de 2014: Ley Consuelo Devis Saavedra, mediante la cual se regulan los servicios de cuidados paliativos para el manejo integral de pacientes con enfermedades terminales, crónicas, degenerativas e irreversibles en cualquier fase de la enfermedad de","type":"book"}}],"schema":"https://github.com/citation-style-language/schema/raw/master/csl-citation.json"}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{"citationID":"Ubd7Xnk6","properties":{"formattedCitation":"(Colombia.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{"citationID":"XaZOkhfH","properties":{"formattedCitation":"(Colombia. Corte Constitucional, 2003b)","plainCitation":"(Colombia. Corte Constitucional, 2003b)","noteIndex":0},"citationItems":[{"id":"njUyAAid/R1beqdfC","uris":["http://www.mendeley.com/documents/?uuid=a33d8827-e1be-4527-ae42-4022a1fa5520"],"uri":["http://www.mendeley.com/documents/?uuid=a33d8827-e1be-4527-ae42-4022a1fa5520"],"itemData":{"author":[{"dropping-particle":"","family":"Colombia. Corte Constitucional","given":"","non-dropping-particle":"","parse-names":false,"suffix":""}],"id":"ITEM-1","issued":{"date-parts":[["2003"]]},"publisher":"Corte Constitucional","publisher-place":"Bogotá","title":"Sentencia T-361 de 2003: acción de tutela instaurada por Elkis Patricia Jiménez Castro contra la Universidad Cooperativa de Colombia – Seccional Santa Marta. M.P. Manuel José Cepeda Espinosa","type":"book"}}],"schema":"https://github.com/citation-style-language/schema/raw/master/csl-citation.json"}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{"citationID":"8obRyW0k","properties":{"formattedCitation":"(Colombia. Corte Constitucional, 2006)","plainCitation":"(Colombia. Corte Constitucional, 2006)","noteIndex":0},"citationItems":[{"id":"njUyAAid/E76u5Dln","uris":["http://www.mendeley.com/documents/?uuid=05c296ad-c11d-492a-b1de-75eeb2dd26ff"],"uri":["http://www.mendeley.com/documents/?uuid=05c296ad-c11d-492a-b1de-75eeb2dd26ff"],"itemData":{"author":[{"dropping-particle":"","family":"Colombia. Corte Constitucional","given":"","non-dropping-particle":"","parse-names":false,"suffix":""}],"id":"ITEM-1","issued":{"date-parts":[["2006"]]},"publisher":"Corte Constitucional","publisher-place":"Bogotá","title":"Sentencia T-264 de 2006: acción de tutela instaurada por Fanny Stella Lesmes Galarza, en representación de su menor hijo Paul Andrés Rodríguez Lesmes contra la Universidad de los Andes. M.P. Jaime Araújo Rentería","type":"book"}}],"schema":"https://github.com/citation-style-language/schema/raw/master/csl-citation.json"}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{"citationID":"CHECFL12","properties":{"formattedCitation":"(Colombia.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{"citationID":"wPhZ25L2","properties":{"formattedCitation":"(Colombia. Ministerio de Hacienda y Cr\\uc0\\u233{}dito P\\uc0\\u250{}blico. Superintendencia Financiera, 2006)","plainCitation":"(Colombia. Ministerio de Hacienda y Crédito Público. Superintendencia Financiera, 2006)","noteIndex":0},"citationItems":[{"id":"njUyAAid/2mJnuvcq","uris":["http://www.mendeley.com/documents/?uuid=2ed8228f-3088-451a-b639-968c80ff3523"],"uri":["http://www.mendeley.com/documents/?uuid=2ed8228f-3088-451a-b639-968c80ff3523"],"itemData":{"author":[{"dropping-particle":"","family":"Colombia. Ministerio de Hacienda y Crédito Público. Superintendencia Financiera","given":"","non-dropping-particle":"","parse-names":false,"suffix":""}],"id":"ITEM-1","issued":{"date-parts":[["2006"]]},"publisher":"Superfinanciera","publisher-place":"Bogotá","title":"Circular Externa 048 de 2006 (diciembre 22)","type":"article"}}],"schema":"https://github.com/citation-style-language/schema/raw/master/csl-citation.json"}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{"citationID":"54aBA7uS","properties":{"formattedCitation":"(Colombia. Ministerio de Minas y Energ\\uc0\\u237{}a, 2010)","plainCitation":"(Colombia. Ministerio de Minas y Energía, 2010)","noteIndex":0},"citationItems":[{"id":"njUyAAid/aS9GIylR","uris":["http://www.mendeley.com/documents/?uuid=562da189-f966-47d3-8d86-76113522200e"],"uri":["http://www.mendeley.com/documents/?uuid=562da189-f966-47d3-8d86-76113522200e"],"itemData":{"author":[{"dropping-particle":"","family":"Colombia. Ministerio de Minas y Energía","given":"","non-dropping-particle":"","parse-names":false,"suffix":""}],"id":"ITEM-1","issued":{"date-parts":[["2010"]]},"publisher":"Ministerio de Minas y Energìa","publisher-place":"Bogotá","title":"Reglamento técnico de iluminación y alumbrado público","type":"book"}}],"schema":"https://github.com/citation-style-language/schema/raw/master/csl-citation.json"}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{"citationID":"4YQ2enCJ","properties":{"formattedCitation":"(Espa\\uc0\\u241{}a. Ministerio de Trabajo y Asuntos Sociales. Instituto Nacional de Seguridad e Higiene en el Trabajo, 1996)","plainCitation":"(España. Ministerio de Trabajo y Asuntos Sociales. Instituto Nacional de Seguridad e Higiene en el Trabajo, 1996)","noteIndex":0},"citationItems":[{"id":"njUyAAid/SnsczK26","uris":["http://www.mendeley.com/documents/?uuid=afef2af1-6a5c-4584-8ec9-23ba0432e04e"],"uri":["http://www.mendeley.com/documents/?uuid=afef2af1-6a5c-4584-8ec9-23ba0432e04e"],"itemData":{"author":[{"dropping-particle":"","family":"España. Ministerio de Trabajo y Asuntos Sociales. Instituto Nacional de Seguridad e Higiene en el Trabajo","given":"","non-dropping-particle":"","parse-names":false,"suffix":""}],"id":"ITEM-1","issued":{"date-parts":[["1996"]]},"publisher":"INSHT","publisher-place":"Madrid","title":"Evaluación de riesgos laborales","type":"book"}}],"schema":"https://github.com/citation-style-language/schema/raw/master/csl-citation.json"}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{"citationID":"rRS6xirW","properties":{"formattedCitation":"(Colombia. Ministerio de Ambiente Vivienda y Desarrollo Territorial, 2007)","plainCitation":"(Colombia. Ministerio de Ambiente Vivienda y Desarrollo Territorial, 2007)","noteIndex":0},"citationItems":[{"id":"njUyAAid/z1fHKoQS","uris":["http://www.mendeley.com/documents/?uuid=a877f8e6-ddce-4f38-af7e-0bf30c4b6c32"],"uri":["http://www.mendeley.com/documents/?uuid=a877f8e6-ddce-4f38-af7e-0bf30c4b6c32"],"itemData":{"author":[{"dropping-particle":"","family":"Colombia. Ministerio de Ambiente Vivienda y Desarrollo Territorial","given":"","non-dropping-particle":"","parse-names":false,"suffix":""}],"id":"ITEM-1","issued":{"date-parts":[["2007"]]},"publisher":"Diario Oficial","publisher-place":"Bogotá","title":"Decreto 3600 de 2007: por el cual se Reglamentan las Disposiciones de las Leyes 99 de 1993 y 388 de 1997 Relativas a las Determinantes de Ordenamiento del Suelo Rural y al Desarrollo de Actuaciones Urbanísticas de Parcelación y Edificación...","type":"book"}}],"schema":"https://github.com/citation-style-language/schema/raw/master/csl-citation.json"}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 xml:space="preserve">(Colombia. </w:t>
      </w:r>
      <w:r w:rsidR="00097EF6">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{"citationID":"WyCF9p89","properties":{"formattedCitation":"(Colombia. Ministerio de Comunicaciones, 2001)","plainCitation":"(Colombia. Ministerio de Comunicaciones, 2001)","noteIndex":0},"citationItems":[{"id":"njUyAAid/YyGI7M7b","uris":["http://www.mendeley.com/documents/?uuid=085b2126-5c00-464c-8ccd-5cd2b33ecf7c"],"uri":["http://www.mendeley.com/documents/?uuid=085b2126-5c00-464c-8ccd-5cd2b33ecf7c"],"itemData":{"author":[{"dropping-particle":"","family":"Colombia. Ministerio de Comunicaciones","given":"","non-dropping-particle":"","parse-names":false,"suffix":""}],"id":"ITEM-1","issued":{"date-parts":[["2001"]]},"publisher":"Diario Oficial","publisher-place":"Bogotá","title":"Resolución 000797 DE 2001 (junio 8): por la cual se atribuyen unas bandas de frecuencias radioeléctricas para su libre utilización dentro del territorio nacional","type":"book"}}],"schema":"https://github.com/citation-style-language/schema/raw/master/csl-citation.json"}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{"citationID":"8cOwYMJB","properties":{"formattedCitation":"(Colombia. Ministerio de Educaci\\uc0\\u243{}n Nacional, 2006)","plainCitation":"(Colombia. Ministerio de Educación Nacional, 2006)","noteIndex":0},"citationItems":[{"id":"njUyAAid/iFUgfLfz","uris":["http://www.mendeley.com/documents/?uuid=dccfd826-314f-475b-b6e4-e9a442dcc399"],"uri":["http://www.mendeley.com/documents/?uuid=dccfd826-314f-475b-b6e4-e9a442dcc399"],"itemData":{"author":[{"dropping-particle":"","family":"Colombia. Ministerio de Educación Nacional","given":"","non-dropping-particle":"","parse-names":false,"suffix":""}],"id":"ITEM-1","issued":{"date-parts":[["2006"]]},"publisher":"Ministerio de Educación Nacional","publisher-place":"Bogotá","title":"Plan Decenal de Educación 2006-2016: Pacto Social por la Educación","type":"book"}}],"schema":"https://github.com/citation-style-language/schema/raw/master/csl-citation.json"}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{"citationID":"yf6s5LQj","properties":{"formattedCitation":"(Colombia. Corte Constitucional, 2003a)","plainCitation":"(Colombia. Corte Constitucional, 2003a)","noteIndex":0},"citationItems":[{"id":"njUyAAid/aWBzB5Ki","uris":["http://www.mendeley.com/documents/?uuid=06c52074-5279-4694-a4c2-eb709874676f"],"uri":["http://www.mendeley.com/documents/?uuid=06c52074-5279-4694-a4c2-eb709874676f"],"itemData":{"author":[{"dropping-particle":"","family":"Colombia. Corte Constitucional","given":"","non-dropping-particle":"","parse-names":false,"suffix":""}],"id":"ITEM-1","issued":{"date-parts":[["2003"]]},"publisher":"Corte Constitucional","publisher-place":"Bogotá","title":"Sentencia SU.805 de 2003: vía de hecho en proceso de lanzamiento por ocupacion de hecho / debido proceso de querellados - vulneración por actuaciones arbitrarias. M. P. Jaime Córdoba Triviño","type":"book"}}],"schema":"https://github.com/citation-style-language/schema/raw/master/csl-citation.json"}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{"citationID":"aOcg96b3","properties":{"formattedCitation":"(Colombia. Congreso de la Rep\\uc0\\u250{}blica, 2010)","plainCitation":"(Colombia. Congreso de la República, 2010)","noteIndex":0},"citationItems":[{"id":"njUyAAid/mjCSgQPa","uris":["http://www.mendeley.com/documents/?uuid=6c15dd40-8a7e-463c-9a4d-443dec223a1a"],"uri":["http://www.mendeley.com/documents/?uuid=6c15dd40-8a7e-463c-9a4d-443dec223a1a"],"itemData":{"author":[{"dropping-particle":"","family":"Colombia. Congreso de la República","given":"","non-dropping-particle":"","parse-names":false,"suffix":""}],"id":"ITEM-1","issued":{"date-parts":[["2010"]]},"publisher":"Leyer","publisher-place":"Bogotá","title":"Código penal y de procedimiento penal anotado","type":"book"}}],"schema":"https://github.com/citation-style-language/schema/raw/master/csl-citation.json"}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{"citationID":"9rrbHZLw","properties":{"formattedCitation":"(Colombia. Congreso de la Rep\\uc0\\u250{}blica, 2006)","plainCitation":"(Colombia. Congreso de la República, 2006)","noteIndex":0},"citationItems":[{"id":"njUyAAid/dsfVUXqj","uris":["http://www.mendeley.com/documents/?uuid=e7e9b525-0b61-4baa-b722-7e5ebb0288b7"],"uri":["http://www.mendeley.com/documents/?uuid=e7e9b525-0b61-4baa-b722-7e5ebb0288b7"],"itemData":{"author":[{"dropping-particle":"","family":"Colombia. Congreso de la República","given":"","non-dropping-particle":"","parse-names":false,"suffix":""}],"id":"ITEM-1","issued":{"date-parts":[["2006"]]},"publisher":"Diario Oficial","publisher-place":"Bogotá","title":"Ley 1098 de 2006 (noviembre 8): por la cual se expide el Código de la Infancia y la Adolescencia en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{"citationID":"TLzWCqA5","properties":{"formattedCitation":"(Colombia. Contralor\\uc0\\u237{}a General de la Naci\\uc0\\u243{}n, 2003)","plainCitation":"(Colombia. Contraloría General de la Nación, 2003)","noteIndex":0},"citationItems":[{"id":"njUyAAid/5gK2kIe8","uris":["http://www.mendeley.com/documents/?uuid=59b1f59b-5696-4f08-946c-4dffe920eb19"],"uri":["http://www.mendeley.com/documents/?uuid=59b1f59b-5696-4f08-946c-4dffe920eb19"],"itemData":{"author":[{"dropping-particle":"","family":"Colombia. Contraloría General de la Nación","given":"","non-dropping-particle":"","parse-names":false,"suffix":""}],"id":"ITEM-1","issued":{"date-parts":[["2003"]]},"publisher":"Contraloría","publisher-place":"Bogotá","title":"La deserción escolar en la educación básica media","type":"book"}}],"schema":"https://github.com/citation-style-language/schema/raw/master/csl-citation.json"}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{"citationID":"VachM7XT","properties":{"formattedCitation":"(Colombia. Unidad Nacional para la Gesti\\uc0\\u243{}n del Riesgo de Desastres, 2012)","plainCitation":"(Colombia. Unidad Nacional para la Gestión del Riesgo de Desastres, 2012)","noteIndex":0},"citationItems":[{"id":"njUyAAid/YRC8p6Ii","uris":["http://www.mendeley.com/documents/?uuid=834b613d-14e9-4084-8123-3e9b4dc2b962"],"uri":["http://www.mendeley.com/documents/?uuid=834b613d-14e9-4084-8123-3e9b4dc2b962"],"itemData":{"author":[{"dropping-particle":"","family":"Colombia. Unidad Nacional para la Gestión del Riesgo de Desastres","given":"","non-dropping-particle":"","parse-names":false,"suffix":""}],"id":"ITEM-1","issued":{"date-parts":[["2012"]]},"publisher":"Sistema Nacional de Gestión del Riesgo de Desastres","publisher-place":"Bogotá","title":"Guía para la formulación del Plan Municipal de Gestión del Riesgo de Desastres","type":"book"}}],"schema":"https://github.com/citation-style-language/schema/raw/master/csl-citation.json"}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{"citationID":"Teen1NZg","properties":{"formattedCitation":"(Colombia. Departamento Administrativo Nacional de Estad\\uc0\\u237{}stica -DANE-, 2011)","plainCitation":"(Colombia. Departamento Administrativo Nacional de Estadística -DANE-, 2011)","noteIndex":0},"citationItems":[{"id":"njUyAAid/jgiIZEEi","uris":["http://www.mendeley.com/documents/?uuid=5217f7d3-bd13-4e4f-b52a-af4628fb755f"],"uri":["http://www.mendeley.com/documents/?uuid=5217f7d3-bd13-4e4f-b52a-af4628fb755f"],"itemData":{"author":[{"dropping-particle":"","family":"Colombia. Departamento Administrativo Nacional de Estadística -DANE-","given":"","non-dropping-particle":"","parse-names":false,"suffix":""}],"id":"ITEM-1","issued":{"date-parts":[["2011"]]},"publisher":"DANE","publisher-place":"Bogotá","title":"Encuesta de convivencia escolar y circunstancias que la afectan - ECECA, para estudiantes de 5º a 11º de Bogotá","type":"book"}}],"schema":"https://github.com/citation-style-language/schema/raw/master/csl-citation.json"}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{"citationID":"5OiiJqfo","properties":{"formattedCitation":"(Colombia. Departamento Administrativo de Ciencia Tecnolog\\uc0\\u237{}a e Innovaci\\uc0\\u243{}n -Colciencias-, 2015)","plainCitation":"(Colombia. Departamento Administrativo de Ciencia Tecnología e Innovación -Colciencias-, 2015)","noteIndex":0},"citationItems":[{"id":"njUyAAid/HY68FEQZ","uris":["http://www.mendeley.com/documents/?uuid=d17ce864-82ff-4f20-8cdc-790a002fa3b5"],"uri":["http://www.mendeley.com/documents/?uuid=d17ce864-82ff-4f20-8cdc-790a002fa3b5"],"itemData":{"author":[{"dropping-particle":"","family":"Colombia. Departamento Administrativo de Ciencia Tecnología e Innovación -Colciencias-","given":"","non-dropping-particle":"","parse-names":false,"suffix":""}],"id":"ITEM-1","issued":{"date-parts":[["2015"]]},"publisher":"Colciencias","publisher-place":"Bogotá","title":"Resultados finales de la Convocatoria Nacional para el Reconocimiento y Medición de Grupos de Investigación, Desarrollo Tecnológico o de Innovación y para el Reconocimiento de Investigadores del SNCTeI","type":"book"}}],"schema":"https://github.com/citation-style-language/schema/raw/master/csl-citation.json"}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{"citationID":"aiH7CPWL","properties":{"formattedCitation":"(Colombia. Procuradur\\uc0\\u237{}a General de la Naci\\uc0\\u243{}n, 2012)","plainCitation":"(Colombia. Procuraduría General de la Nación, 2012)","noteIndex":0},"citationItems":[{"id":"njUyAAid/RTNgNIOF","uris":["http://www.mendeley.com/documents/?uuid=879352ab-83d4-42f6-91b5-1741423a4851"],"uri":["http://www.mendeley.com/documents/?uuid=879352ab-83d4-42f6-91b5-1741423a4851"],"itemData":{"author":[{"dropping-particle":"","family":"Colombia. Procuraduría General de la Nación","given":"","non-dropping-particle":"","parse-names":false,"suffix":""}],"id":"ITEM-1","issued":{"date-parts":[["2012"]]},"publisher":"Procuraduría General de la Nación","publisher-place":"Bogotá","title":"Financiamiento del Sistema General de Seguridad Social en Salud: seguimiento y control preventivo a las políticas públicas","type":"book"}}],"schema":"https://github.com/citation-style-language/schema/raw/master/csl-citation.json"}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12BD42EC" w14:textId="77777777" w:rsidR="002F7714" w:rsidRPr="002F7714" w:rsidRDefault="00572C56" w:rsidP="002F7714">
      <w:pPr>
        <w:pStyle w:val="Bibliografa1"/>
        <w:rPr>
          <w:color w:val="008080"/>
          <w:lang w:val="es-ES_tradnl"/>
        </w:rPr>
      </w:pPr>
      <w:r w:rsidRPr="00F30107">
        <w:fldChar w:fldCharType="begin" w:fldLock="1"/>
      </w:r>
      <w:r w:rsidR="002F7714">
        <w:instrText xml:space="preserve"> ADDIN ZOTERO_BIBL {"uncited":[],"omitted":[],"custom":[]} CSL_BIBLIOGRAPHY </w:instrText>
      </w:r>
      <w:r w:rsidRPr="00F30107">
        <w:fldChar w:fldCharType="separate"/>
      </w:r>
      <w:r w:rsidR="002F7714" w:rsidRPr="002F7714">
        <w:rPr>
          <w:color w:val="008080"/>
          <w:lang w:val="es-ES_tradnl"/>
        </w:rPr>
        <w:t>Colombia. Congreso de la República. (1994). Ley 133 de 1994 (mayo 23): Por la cual se desarrolla el Decreto de Libertad Religiosa y de Cultos, reconocido en el artículo 19 de la Constitución Política. Diario Oficial.</w:t>
      </w:r>
    </w:p>
    <w:p w14:paraId="01BD1EFF"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(2006). Ley 1098 de 2006 (noviembre 8): Por la cual se expide el Código de la Infancia y la Adolescencia en Colombia. Diario Oficial.</w:t>
      </w:r>
    </w:p>
    <w:p w14:paraId="4F5AC625"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(2010). Código penal y de procedimiento penal anotado. Leyer.</w:t>
      </w:r>
    </w:p>
    <w:p w14:paraId="68706B68"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(2014). Ley 1733 de 2014: Ley Consuelo Devis Saavedra, mediante la cual se regulan los servicios de cuidados paliativos para el manejo integral de pacientes con enfermedades terminales, crónicas, degenerativas e irreversibles en cualquier fase de la enfermedad de. Diario Oficial.</w:t>
      </w:r>
    </w:p>
    <w:p w14:paraId="3BD57030" w14:textId="77777777" w:rsidR="002F7714" w:rsidRPr="002F7714" w:rsidRDefault="002F7714" w:rsidP="002F7714">
      <w:pPr>
        <w:pStyle w:val="Bibliografa1"/>
        <w:rPr>
          <w:color w:val="008080"/>
          <w:lang w:val="es-ES_tradnl"/>
        </w:rPr>
      </w:pPr>
      <w:r w:rsidRPr="002F7714">
        <w:rPr>
          <w:color w:val="008080"/>
          <w:lang w:val="es-ES_tradnl"/>
        </w:rPr>
        <w:t>Colombia. Contraloría General de la Nación. (2003). La deserción escolar en la educación básica media. Contraloría.</w:t>
      </w:r>
    </w:p>
    <w:p w14:paraId="063DC180" w14:textId="77777777" w:rsidR="002F7714" w:rsidRPr="002F7714" w:rsidRDefault="002F7714" w:rsidP="002F7714">
      <w:pPr>
        <w:pStyle w:val="Bibliografa1"/>
        <w:rPr>
          <w:color w:val="008080"/>
          <w:lang w:val="es-ES_tradnl"/>
        </w:rPr>
      </w:pPr>
      <w:r w:rsidRPr="002F7714">
        <w:rPr>
          <w:color w:val="008080"/>
          <w:lang w:val="es-ES_tradnl"/>
        </w:rPr>
        <w:lastRenderedPageBreak/>
        <w:t>Colombia. Corte Constitucional. (2003a). Sentencia SU.805 de 2003: Vía de hecho en proceso de lanzamiento por ocupacion de hecho / debido proceso de querellados—Vulneración por actuaciones arbitrarias. M. P. Jaime Córdoba Triviño. Corte Constitucional.</w:t>
      </w:r>
    </w:p>
    <w:p w14:paraId="0A34F9BC" w14:textId="77777777" w:rsidR="002F7714" w:rsidRPr="002F7714" w:rsidRDefault="002F7714" w:rsidP="002F7714">
      <w:pPr>
        <w:pStyle w:val="Bibliografa1"/>
        <w:rPr>
          <w:color w:val="008080"/>
          <w:lang w:val="es-ES_tradnl"/>
        </w:rPr>
      </w:pPr>
      <w:r w:rsidRPr="002F7714">
        <w:rPr>
          <w:color w:val="008080"/>
          <w:lang w:val="es-ES_tradnl"/>
        </w:rPr>
        <w:t>Colombia. Corte Constitucional. (2003b). Sentencia T-361 de 2003: Acción de tutela instaurada por Elkis Patricia Jiménez Castro contra la Universidad Cooperativa de Colombia – Seccional Santa Marta. M.P. Manuel José Cepeda Espinosa. Corte Constitucional.</w:t>
      </w:r>
    </w:p>
    <w:p w14:paraId="2D5D578C" w14:textId="77777777" w:rsidR="002F7714" w:rsidRPr="002F7714" w:rsidRDefault="002F7714" w:rsidP="002F7714">
      <w:pPr>
        <w:pStyle w:val="Bibliografa1"/>
        <w:rPr>
          <w:color w:val="008080"/>
          <w:lang w:val="es-ES_tradnl"/>
        </w:rPr>
      </w:pPr>
      <w:r w:rsidRPr="002F7714">
        <w:rPr>
          <w:color w:val="008080"/>
          <w:lang w:val="es-ES_tradnl"/>
        </w:rPr>
        <w:t>Colombia. Corte Constitucional. (2006). Sentencia T-264 de 2006: Acción de tutela instaurada por Fanny Stella Lesmes Galarza, en representación de su menor hijo Paul Andrés Rodríguez Lesmes contra la Universidad de los Andes. M.P. Jaime Araújo Rentería. Corte Constitucional.</w:t>
      </w:r>
    </w:p>
    <w:p w14:paraId="70F45CD0" w14:textId="77777777" w:rsidR="002F7714" w:rsidRPr="002F7714" w:rsidRDefault="002F7714" w:rsidP="002F7714">
      <w:pPr>
        <w:pStyle w:val="Bibliografa1"/>
        <w:rPr>
          <w:color w:val="008080"/>
          <w:lang w:val="es-ES_tradnl"/>
        </w:rPr>
      </w:pPr>
      <w:r w:rsidRPr="002F7714">
        <w:rPr>
          <w:color w:val="008080"/>
          <w:lang w:val="es-ES_tradnl"/>
        </w:rPr>
        <w:t>Colombia. Departamento Administrativo de Ciencia Tecnología e Innovación -Colciencias-. (2015). Resultados finales de la Convocatoria Nacional para el Reconocimiento y Medición de Grupos de Investigación, Desarrollo Tecnológico o de Innovación y para el Reconocimiento de Investigadores del SNCTeI. Colciencias.</w:t>
      </w:r>
    </w:p>
    <w:p w14:paraId="69999849" w14:textId="77777777" w:rsidR="002F7714" w:rsidRPr="002F7714" w:rsidRDefault="002F7714" w:rsidP="002F7714">
      <w:pPr>
        <w:pStyle w:val="Bibliografa1"/>
        <w:rPr>
          <w:color w:val="008080"/>
          <w:lang w:val="es-ES_tradnl"/>
        </w:rPr>
      </w:pPr>
      <w:r w:rsidRPr="002F7714">
        <w:rPr>
          <w:color w:val="008080"/>
          <w:lang w:val="es-ES_tradnl"/>
        </w:rPr>
        <w:t>Colombia. Departamento Administrativo Nacional de Estadística -DANE-. (2011). Encuesta de convivencia escolar y circunstancias que la afectan—ECECA, para estudiantes de 5</w:t>
      </w:r>
      <w:r w:rsidRPr="002F7714">
        <w:rPr>
          <w:color w:val="008080"/>
          <w:vertAlign w:val="superscript"/>
          <w:lang w:val="es-ES_tradnl"/>
        </w:rPr>
        <w:t>o</w:t>
      </w:r>
      <w:r w:rsidRPr="002F7714">
        <w:rPr>
          <w:color w:val="008080"/>
          <w:lang w:val="es-ES_tradnl"/>
        </w:rPr>
        <w:t xml:space="preserve"> a 11</w:t>
      </w:r>
      <w:r w:rsidRPr="002F7714">
        <w:rPr>
          <w:color w:val="008080"/>
          <w:vertAlign w:val="superscript"/>
          <w:lang w:val="es-ES_tradnl"/>
        </w:rPr>
        <w:t>o</w:t>
      </w:r>
      <w:r w:rsidRPr="002F7714">
        <w:rPr>
          <w:color w:val="008080"/>
          <w:lang w:val="es-ES_tradnl"/>
        </w:rPr>
        <w:t xml:space="preserve"> de Bogotá. DANE.</w:t>
      </w:r>
    </w:p>
    <w:p w14:paraId="44742B1F" w14:textId="77777777" w:rsidR="002F7714" w:rsidRPr="002F7714" w:rsidRDefault="002F7714" w:rsidP="002F7714">
      <w:pPr>
        <w:pStyle w:val="Bibliografa1"/>
        <w:rPr>
          <w:color w:val="008080"/>
          <w:lang w:val="es-ES_tradnl"/>
        </w:rPr>
      </w:pPr>
      <w:r w:rsidRPr="002F7714">
        <w:rPr>
          <w:color w:val="008080"/>
          <w:lang w:val="es-ES_tradnl"/>
        </w:rPr>
        <w:t>Colombia. Ministerio de Ambiente Vivienda y Desarrollo Territorial. (2007). Decreto 3600 de 2007: Por el cual se Reglamentan las Disposiciones de las Leyes 99 de 1993 y 388 de 1997 Relativas a las Determinantes de Ordenamiento del Suelo Rural y al Desarrollo de Actuaciones Urbanísticas de Parcelación y Edificación... Diario Oficial.</w:t>
      </w:r>
    </w:p>
    <w:p w14:paraId="37A70EBE" w14:textId="77777777" w:rsidR="002F7714" w:rsidRPr="002F7714" w:rsidRDefault="002F7714" w:rsidP="002F7714">
      <w:pPr>
        <w:pStyle w:val="Bibliografa1"/>
        <w:rPr>
          <w:color w:val="008080"/>
          <w:lang w:val="es-ES_tradnl"/>
        </w:rPr>
      </w:pPr>
      <w:r w:rsidRPr="002F7714">
        <w:rPr>
          <w:color w:val="008080"/>
          <w:lang w:val="es-ES_tradnl"/>
        </w:rPr>
        <w:lastRenderedPageBreak/>
        <w:t>Colombia. Ministerio de Comunicaciones. (2001). Resolución 000797 DE 2001 (junio 8): Por la cual se atribuyen unas bandas de frecuencias radioeléctricas para su libre utilización dentro del territorio nacional. Diario Oficial.</w:t>
      </w:r>
    </w:p>
    <w:p w14:paraId="1EED57A2" w14:textId="77777777" w:rsidR="002F7714" w:rsidRPr="002F7714" w:rsidRDefault="002F7714" w:rsidP="002F7714">
      <w:pPr>
        <w:pStyle w:val="Bibliografa1"/>
        <w:rPr>
          <w:color w:val="008080"/>
          <w:lang w:val="es-ES_tradnl"/>
        </w:rPr>
      </w:pPr>
      <w:r w:rsidRPr="002F7714">
        <w:rPr>
          <w:color w:val="008080"/>
          <w:lang w:val="es-ES_tradnl"/>
        </w:rPr>
        <w:t>Colombia. Ministerio de Educación Nacional. (2006). Plan Decenal de Educación 2006-2016: Pacto Social por la Educación. Ministerio de Educación Nacional.</w:t>
      </w:r>
    </w:p>
    <w:p w14:paraId="124795B4" w14:textId="77777777" w:rsidR="002F7714" w:rsidRPr="002F7714" w:rsidRDefault="002F7714" w:rsidP="002F7714">
      <w:pPr>
        <w:pStyle w:val="Bibliografa1"/>
        <w:rPr>
          <w:color w:val="008080"/>
          <w:lang w:val="es-ES_tradnl"/>
        </w:rPr>
      </w:pPr>
      <w:r w:rsidRPr="002F7714">
        <w:rPr>
          <w:color w:val="008080"/>
          <w:lang w:val="es-ES_tradnl"/>
        </w:rPr>
        <w:t>Colombia. Ministerio de Hacienda y Crédito Público. Superintendencia Financiera. (2006). Circular Externa 048 de 2006 (diciembre 22). Superfinanciera.</w:t>
      </w:r>
    </w:p>
    <w:p w14:paraId="5F46E88A" w14:textId="77777777" w:rsidR="002F7714" w:rsidRPr="002F7714" w:rsidRDefault="002F7714" w:rsidP="002F7714">
      <w:pPr>
        <w:pStyle w:val="Bibliografa1"/>
        <w:rPr>
          <w:color w:val="008080"/>
          <w:lang w:val="es-ES_tradnl"/>
        </w:rPr>
      </w:pPr>
      <w:r w:rsidRPr="002F7714">
        <w:rPr>
          <w:color w:val="008080"/>
          <w:lang w:val="es-ES_tradnl"/>
        </w:rPr>
        <w:t>Colombia. Ministerio de Minas y Energía. (2010). Reglamento técnico de iluminación y alumbrado público. Ministerio de Minas y Energìa.</w:t>
      </w:r>
    </w:p>
    <w:p w14:paraId="3E53E148" w14:textId="77777777" w:rsidR="002F7714" w:rsidRPr="002F7714" w:rsidRDefault="002F7714" w:rsidP="002F7714">
      <w:pPr>
        <w:pStyle w:val="Bibliografa1"/>
        <w:rPr>
          <w:color w:val="008080"/>
          <w:lang w:val="es-ES_tradnl"/>
        </w:rPr>
      </w:pPr>
      <w:r w:rsidRPr="002F7714">
        <w:rPr>
          <w:color w:val="008080"/>
          <w:lang w:val="es-ES_tradnl"/>
        </w:rPr>
        <w:t>Colombia. Ministerio de Salud y Protección Social. (2012). Resolución 4331 de 2012 (diciembre 19): Por medio de la cual se adiciona y modifica parcialmente la Resolución 3047 de 2008 modificada por la resolución 416 de 2009. Diario Oficial.</w:t>
      </w:r>
    </w:p>
    <w:p w14:paraId="32F65741" w14:textId="77777777" w:rsidR="002F7714" w:rsidRPr="002F7714" w:rsidRDefault="002F7714" w:rsidP="002F7714">
      <w:pPr>
        <w:pStyle w:val="Bibliografa1"/>
        <w:rPr>
          <w:color w:val="008080"/>
          <w:lang w:val="es-ES_tradnl"/>
        </w:rPr>
      </w:pPr>
      <w:r w:rsidRPr="002F7714">
        <w:rPr>
          <w:color w:val="008080"/>
          <w:lang w:val="es-ES_tradnl"/>
        </w:rPr>
        <w:t>Colombia. Presidencia de la República. (1991). Constitución Política de Colombia. Presidencia de la República.</w:t>
      </w:r>
    </w:p>
    <w:p w14:paraId="2F7E391F" w14:textId="77777777" w:rsidR="002F7714" w:rsidRPr="002F7714" w:rsidRDefault="002F7714" w:rsidP="002F7714">
      <w:pPr>
        <w:pStyle w:val="Bibliografa1"/>
        <w:rPr>
          <w:color w:val="008080"/>
          <w:lang w:val="es-ES_tradnl"/>
        </w:rPr>
      </w:pPr>
      <w:r w:rsidRPr="002F7714">
        <w:rPr>
          <w:color w:val="008080"/>
          <w:lang w:val="es-ES_tradnl"/>
        </w:rPr>
        <w:t>Colombia. Presidencia de la República. (1998). Decreto 1504 de 1998: Por el cual se Reglamenta el Manejo del Espacio Público en los Planes de Ordenamiento Territorial. Diario Oficial.</w:t>
      </w:r>
    </w:p>
    <w:p w14:paraId="1862324E" w14:textId="77777777" w:rsidR="002F7714" w:rsidRPr="002F7714" w:rsidRDefault="002F7714" w:rsidP="002F7714">
      <w:pPr>
        <w:pStyle w:val="Bibliografa1"/>
        <w:rPr>
          <w:color w:val="008080"/>
          <w:lang w:val="es-ES_tradnl"/>
        </w:rPr>
      </w:pPr>
      <w:r w:rsidRPr="002F7714">
        <w:rPr>
          <w:color w:val="008080"/>
          <w:lang w:val="es-ES_tradnl"/>
        </w:rPr>
        <w:t>Colombia. Procuraduría General de la Nación. (2012). Financiamiento del Sistema General de Seguridad Social en Salud: Seguimiento y control preventivo a las políticas públicas. Procuraduría General de la Nación.</w:t>
      </w:r>
    </w:p>
    <w:p w14:paraId="0A309E39" w14:textId="77777777" w:rsidR="002F7714" w:rsidRPr="002F7714" w:rsidRDefault="002F7714" w:rsidP="002F7714">
      <w:pPr>
        <w:pStyle w:val="Bibliografa1"/>
        <w:rPr>
          <w:color w:val="008080"/>
          <w:lang w:val="es-ES_tradnl"/>
        </w:rPr>
      </w:pPr>
      <w:r w:rsidRPr="002F7714">
        <w:rPr>
          <w:color w:val="008080"/>
          <w:lang w:val="es-ES_tradnl"/>
        </w:rPr>
        <w:t>Colombia. Unidad Nacional para la Gestión del Riesgo de Desastres. (2012). Guía para la formulación del Plan Municipal de Gestión del Riesgo de Desastres. Sistema Nacional de Gestión del Riesgo de Desastres.</w:t>
      </w:r>
    </w:p>
    <w:p w14:paraId="0632B9EA" w14:textId="77777777" w:rsidR="002F7714" w:rsidRPr="002F7714" w:rsidRDefault="002F7714" w:rsidP="002F7714">
      <w:pPr>
        <w:pStyle w:val="Bibliografa1"/>
        <w:rPr>
          <w:color w:val="008080"/>
          <w:lang w:val="es-ES_tradnl"/>
        </w:rPr>
      </w:pPr>
      <w:r w:rsidRPr="002F7714">
        <w:rPr>
          <w:color w:val="008080"/>
          <w:lang w:val="es-ES_tradnl"/>
        </w:rPr>
        <w:lastRenderedPageBreak/>
        <w:t>¿En qué consiste Sistema Gestión Seguridad Salud Trabajo(SG-SST)? (s. f.). Recuperado 15 de abril de 2020, de https://www.isotools.org/2016/09/06/consiste-sistema-gestion-la-seguridad-salud-trabajo-sg-sst/</w:t>
      </w:r>
    </w:p>
    <w:p w14:paraId="63130B3D" w14:textId="77777777" w:rsidR="002F7714" w:rsidRPr="002F7714" w:rsidRDefault="002F7714" w:rsidP="002F7714">
      <w:pPr>
        <w:pStyle w:val="Bibliografa1"/>
        <w:rPr>
          <w:color w:val="008080"/>
          <w:lang w:val="es-ES_tradnl"/>
        </w:rPr>
      </w:pPr>
      <w:r w:rsidRPr="002F7714">
        <w:rPr>
          <w:color w:val="008080"/>
          <w:lang w:val="es-ES_tradnl"/>
        </w:rPr>
        <w:t>España. Ministerio de Trabajo y Asuntos Sociales. Instituto Nacional de Seguridad e Higiene en el Trabajo. (1996). Evaluación de riesgos laborales. INSHT.</w:t>
      </w:r>
    </w:p>
    <w:p w14:paraId="6CA31D11" w14:textId="77777777" w:rsidR="002F7714" w:rsidRPr="002F7714" w:rsidRDefault="002F7714" w:rsidP="002F7714">
      <w:pPr>
        <w:pStyle w:val="Bibliografa1"/>
        <w:rPr>
          <w:color w:val="008080"/>
          <w:lang w:val="es-ES_tradnl"/>
        </w:rPr>
      </w:pPr>
      <w:r w:rsidRPr="002F7714">
        <w:rPr>
          <w:color w:val="008080"/>
          <w:lang w:val="es-ES_tradnl"/>
        </w:rPr>
        <w:t>Sistema de Gestión de Seguridad y Salud en el Trabajo—Ministerio del trabajo. (s. f.). Recuperado 15 de abril de 2020, de https://www.mintrabajo.gov.co/relaciones-laborales/riesgos-laborales/sistema-de-gestion-de-seguridad-y-salud-en-el-trabajo</w:t>
      </w:r>
    </w:p>
    <w:p w14:paraId="4AFC86AB" w14:textId="7A40AE17"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F92C50" w:rsidRDefault="00F92C50"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F92C50" w:rsidRDefault="00F92C50"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F92C50" w:rsidRDefault="00F92C50" w:rsidP="00DA4501">
      <w:pPr>
        <w:pStyle w:val="Textocomentario"/>
      </w:pPr>
      <w:r>
        <w:rPr>
          <w:rStyle w:val="Refdecomentario"/>
        </w:rPr>
        <w:annotationRef/>
      </w:r>
    </w:p>
    <w:p w14:paraId="41D162C2" w14:textId="77777777" w:rsidR="00F92C50" w:rsidRDefault="00F92C50" w:rsidP="00DA4501">
      <w:pPr>
        <w:pStyle w:val="Textocomentario"/>
      </w:pPr>
    </w:p>
    <w:p w14:paraId="13DF1A4E" w14:textId="19D174AE" w:rsidR="00F92C50" w:rsidRDefault="00F92C50" w:rsidP="00DA4501">
      <w:pPr>
        <w:pStyle w:val="Textocomentario"/>
      </w:pPr>
      <w:r>
        <w:t>ESCRIBA NOMBRES Y APELLIDOS DEL JURADO 1</w:t>
      </w:r>
    </w:p>
  </w:comment>
  <w:comment w:id="3" w:author="Autor" w:initials="A">
    <w:p w14:paraId="7100F009" w14:textId="77777777" w:rsidR="00F92C50" w:rsidRDefault="00F92C50" w:rsidP="00DA4501">
      <w:pPr>
        <w:pStyle w:val="Textocomentario"/>
      </w:pPr>
      <w:r>
        <w:rPr>
          <w:rStyle w:val="Refdecomentario"/>
        </w:rPr>
        <w:annotationRef/>
      </w:r>
    </w:p>
    <w:p w14:paraId="4C0570F8" w14:textId="77777777" w:rsidR="00F92C50" w:rsidRDefault="00F92C50" w:rsidP="00DA4501">
      <w:pPr>
        <w:pStyle w:val="Textocomentario"/>
      </w:pPr>
    </w:p>
    <w:p w14:paraId="07CBC2EC" w14:textId="77777777" w:rsidR="00F92C50" w:rsidRDefault="00F92C50" w:rsidP="00DA4501">
      <w:pPr>
        <w:pStyle w:val="Textocomentario"/>
      </w:pPr>
      <w:r>
        <w:t>ESCRIBA NOMBRES Y APELLIDOS DEL JURADO 2</w:t>
      </w:r>
    </w:p>
  </w:comment>
  <w:comment w:id="4" w:author="Autor" w:initials="A">
    <w:p w14:paraId="2F018FA2" w14:textId="77777777" w:rsidR="00F92C50" w:rsidRDefault="00F92C50" w:rsidP="00DA4501">
      <w:pPr>
        <w:pStyle w:val="Textocomentario"/>
      </w:pPr>
      <w:r>
        <w:rPr>
          <w:rStyle w:val="Refdecomentario"/>
        </w:rPr>
        <w:annotationRef/>
      </w:r>
    </w:p>
    <w:p w14:paraId="69F000A8" w14:textId="77777777" w:rsidR="00F92C50" w:rsidRDefault="00F92C50" w:rsidP="00DA4501">
      <w:pPr>
        <w:pStyle w:val="Textocomentario"/>
      </w:pPr>
    </w:p>
    <w:p w14:paraId="37561FD2" w14:textId="77777777" w:rsidR="00F92C50" w:rsidRDefault="00F92C50" w:rsidP="00DA4501">
      <w:pPr>
        <w:pStyle w:val="Textocomentario"/>
      </w:pPr>
      <w:r>
        <w:t>DÍA, MES Y AÑO DE LA SUSTENTACIÓN</w:t>
      </w:r>
    </w:p>
  </w:comment>
  <w:comment w:id="5" w:author="Autor" w:initials="A">
    <w:p w14:paraId="58C4D32E" w14:textId="77777777" w:rsidR="00F92C50" w:rsidRDefault="00F92C50">
      <w:pPr>
        <w:pStyle w:val="Textocomentario"/>
      </w:pPr>
      <w:r>
        <w:rPr>
          <w:rStyle w:val="Refdecomentario"/>
        </w:rPr>
        <w:annotationRef/>
      </w:r>
      <w:r>
        <w:t xml:space="preserve">Opcional. </w:t>
      </w:r>
    </w:p>
    <w:p w14:paraId="70ED8418" w14:textId="77777777" w:rsidR="00F92C50" w:rsidRDefault="00F92C50">
      <w:pPr>
        <w:pStyle w:val="Textocomentario"/>
      </w:pPr>
    </w:p>
    <w:p w14:paraId="0D632611" w14:textId="027A3560" w:rsidR="00F92C50" w:rsidRDefault="00F92C50">
      <w:pPr>
        <w:pStyle w:val="Textocomentario"/>
      </w:pPr>
      <w:r>
        <w:t>Procura que texto de dedicatoria y agradecimientos no exceda una página. Puedes reducir a tamaño 10 puntos el tamaño de letra.</w:t>
      </w:r>
    </w:p>
  </w:comment>
  <w:comment w:id="6" w:author="Autor" w:initials="A">
    <w:p w14:paraId="2A5938CE" w14:textId="59FA99D8" w:rsidR="00F92C50" w:rsidRDefault="00F92C50">
      <w:pPr>
        <w:pStyle w:val="Textocomentario"/>
      </w:pPr>
      <w:r>
        <w:rPr>
          <w:rStyle w:val="Refdecomentario"/>
        </w:rPr>
        <w:annotationRef/>
      </w:r>
      <w:r>
        <w:t>Opcional</w:t>
      </w:r>
    </w:p>
  </w:comment>
  <w:comment w:id="7" w:author="Autor" w:initials="A">
    <w:p w14:paraId="52304D5A" w14:textId="77777777" w:rsidR="00F92C50" w:rsidRDefault="00F92C50">
      <w:pPr>
        <w:pStyle w:val="Textocomentario"/>
      </w:pPr>
    </w:p>
    <w:p w14:paraId="1A49BD68" w14:textId="30D5BB2C" w:rsidR="00F92C50" w:rsidRDefault="00F92C50">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F92C50" w:rsidRDefault="00F92C50">
      <w:pPr>
        <w:pStyle w:val="Textocomentario"/>
      </w:pPr>
    </w:p>
    <w:p w14:paraId="254FC7BE" w14:textId="4A7C1822" w:rsidR="00F92C50" w:rsidRDefault="00F92C50">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F92C50" w:rsidRDefault="00F92C50">
      <w:pPr>
        <w:pStyle w:val="Textocomentario"/>
      </w:pPr>
    </w:p>
    <w:p w14:paraId="16070014" w14:textId="5649E86E" w:rsidR="00F92C50" w:rsidRDefault="00F92C50">
      <w:pPr>
        <w:pStyle w:val="Textocomentario"/>
      </w:pPr>
      <w:r>
        <w:t xml:space="preserve">Si tienes dudas, solicita asesoría en Biblioteca. </w:t>
      </w:r>
    </w:p>
    <w:p w14:paraId="67A89F29" w14:textId="6AE95FA4" w:rsidR="00F92C50" w:rsidRDefault="00F92C50">
      <w:pPr>
        <w:pStyle w:val="Textocomentario"/>
      </w:pPr>
      <w:r>
        <w:t xml:space="preserve"> </w:t>
      </w:r>
    </w:p>
    <w:p w14:paraId="1048F215" w14:textId="03D152D7" w:rsidR="00F92C50" w:rsidRDefault="00F92C50">
      <w:pPr>
        <w:pStyle w:val="Textocomentario"/>
      </w:pPr>
      <w:r>
        <w:t xml:space="preserve">Elimina la imagen como ejemplo y reemplázala con tu tabla de contenido. </w:t>
      </w:r>
    </w:p>
  </w:comment>
  <w:comment w:id="8" w:author="Autor" w:initials="A">
    <w:p w14:paraId="669404C7" w14:textId="161072C8" w:rsidR="00F92C50" w:rsidRDefault="00F92C50">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F92C50" w:rsidRDefault="00F92C50">
      <w:pPr>
        <w:pStyle w:val="Textocomentario"/>
      </w:pPr>
    </w:p>
    <w:p w14:paraId="0974877E" w14:textId="0A583C73" w:rsidR="00F92C50" w:rsidRDefault="00F92C50">
      <w:pPr>
        <w:pStyle w:val="Textocomentario"/>
      </w:pPr>
      <w:r>
        <w:t>El título “Lista de tablas” no se incluye en la tabla de contenido.</w:t>
      </w:r>
    </w:p>
    <w:p w14:paraId="40A27890" w14:textId="77777777" w:rsidR="00F92C50" w:rsidRDefault="00F92C50">
      <w:pPr>
        <w:pStyle w:val="Textocomentario"/>
      </w:pPr>
    </w:p>
    <w:p w14:paraId="1C903FC3" w14:textId="43AF8C34" w:rsidR="00F92C50" w:rsidRDefault="00F92C50">
      <w:pPr>
        <w:pStyle w:val="Textocomentario"/>
      </w:pPr>
      <w:r>
        <w:t>Si tienes dudas, solicita asesoría en Biblioteca.</w:t>
      </w:r>
    </w:p>
  </w:comment>
  <w:comment w:id="9" w:author="Autor" w:initials="A">
    <w:p w14:paraId="3FA76181" w14:textId="3FA7A03A" w:rsidR="00F92C50" w:rsidRDefault="00F92C50"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F92C50" w:rsidRDefault="00F92C50"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F92C50" w:rsidRDefault="00F92C50" w:rsidP="00671FB5">
      <w:pPr>
        <w:pStyle w:val="Textocomentario"/>
      </w:pPr>
    </w:p>
    <w:p w14:paraId="76361466" w14:textId="3EDE2AB1" w:rsidR="00F92C50" w:rsidRDefault="00F92C50" w:rsidP="00671FB5">
      <w:pPr>
        <w:pStyle w:val="Textocomentario"/>
      </w:pPr>
      <w:r>
        <w:t>El título “Lista de figuras” no se incluye en la tabla de contenido.</w:t>
      </w:r>
    </w:p>
    <w:p w14:paraId="6C189E9E" w14:textId="77777777" w:rsidR="00F92C50" w:rsidRDefault="00F92C50" w:rsidP="00671FB5">
      <w:pPr>
        <w:pStyle w:val="Textocomentario"/>
      </w:pPr>
    </w:p>
    <w:p w14:paraId="25A23FB3" w14:textId="139655AB" w:rsidR="00F92C50" w:rsidRDefault="00F92C50">
      <w:pPr>
        <w:pStyle w:val="Textocomentario"/>
      </w:pPr>
      <w:r>
        <w:t>Si tienes dudas, solicita asesoría en Biblioteca.</w:t>
      </w:r>
    </w:p>
  </w:comment>
  <w:comment w:id="11" w:author="Autor" w:initials="A">
    <w:p w14:paraId="7EFD68A1" w14:textId="5CF1059E" w:rsidR="00F92C50" w:rsidRDefault="00F92C50">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F92C50" w:rsidRDefault="00F92C50"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F92C50" w:rsidRDefault="00F92C50">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F92C50" w:rsidRDefault="00F92C50">
      <w:pPr>
        <w:pStyle w:val="Textocomentario"/>
      </w:pPr>
    </w:p>
    <w:p w14:paraId="4F5F4CE8" w14:textId="0C4C4A39" w:rsidR="00F92C50" w:rsidRDefault="00F92C50">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F92C50" w:rsidRDefault="00F92C50">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F92C50" w:rsidRPr="00E02F9F" w:rsidRDefault="00F92C50"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F92C50" w:rsidRDefault="00F92C50"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F92C50" w:rsidRDefault="00F92C50"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F92C50" w:rsidRDefault="00F92C50" w:rsidP="008741B0">
      <w:pPr>
        <w:pStyle w:val="Textocomentario"/>
      </w:pPr>
    </w:p>
    <w:p w14:paraId="7E6B1428" w14:textId="44FC8AC9" w:rsidR="00F92C50" w:rsidRDefault="00F92C50" w:rsidP="008741B0">
      <w:pPr>
        <w:pStyle w:val="Textocomentario"/>
      </w:pPr>
      <w:r>
        <w:t>El título “Abstract” no se incluye en la tabla de contenido.</w:t>
      </w:r>
    </w:p>
  </w:comment>
  <w:comment w:id="18" w:author="Autor" w:initials="A">
    <w:p w14:paraId="78BD42ED" w14:textId="218D3BE3" w:rsidR="00F92C50" w:rsidRDefault="00F92C50"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F92C50" w:rsidRDefault="00F92C50"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F92C50" w:rsidRDefault="00F92C50" w:rsidP="00E02F9F">
      <w:pPr>
        <w:pStyle w:val="Textocomentario"/>
      </w:pPr>
    </w:p>
    <w:p w14:paraId="5FC2F72E" w14:textId="790FF50B" w:rsidR="00F92C50" w:rsidRDefault="00F92C50" w:rsidP="00E02F9F">
      <w:pPr>
        <w:pStyle w:val="Textocomentario"/>
      </w:pPr>
      <w:r>
        <w:t>Si tienes dudas, solicita asesoría en Biblioteca.</w:t>
      </w:r>
    </w:p>
  </w:comment>
  <w:comment w:id="23" w:author="Autor" w:initials="A">
    <w:p w14:paraId="330F865A" w14:textId="49B6DB7C" w:rsidR="00F92C50" w:rsidRDefault="00F92C50"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F92C50" w:rsidRDefault="00F92C50" w:rsidP="00670427">
      <w:pPr>
        <w:pStyle w:val="Textocomentario"/>
      </w:pPr>
      <w:r>
        <w:rPr>
          <w:rStyle w:val="Refdecomentario"/>
        </w:rPr>
        <w:annotationRef/>
      </w:r>
      <w:r>
        <w:t>Utiliza 1 espacio sencillo entre:</w:t>
      </w:r>
    </w:p>
    <w:p w14:paraId="22717309" w14:textId="2A1A9166" w:rsidR="00F92C50" w:rsidRDefault="00F92C50" w:rsidP="00670427">
      <w:pPr>
        <w:pStyle w:val="Textocomentario"/>
      </w:pPr>
      <w:r>
        <w:t>-Párrafo y párrafo.</w:t>
      </w:r>
    </w:p>
    <w:p w14:paraId="5848BB4A" w14:textId="7824E50D" w:rsidR="00F92C50" w:rsidRDefault="00F92C50" w:rsidP="00670427">
      <w:pPr>
        <w:pStyle w:val="Textocomentario"/>
      </w:pPr>
      <w:r>
        <w:t>-Viñeta y viñeta</w:t>
      </w:r>
    </w:p>
    <w:p w14:paraId="7556E7FA" w14:textId="77777777" w:rsidR="00F92C50" w:rsidRDefault="00F92C50" w:rsidP="00670427">
      <w:pPr>
        <w:pStyle w:val="Textocomentario"/>
      </w:pPr>
    </w:p>
    <w:p w14:paraId="220E4C25" w14:textId="77777777" w:rsidR="00F92C50" w:rsidRDefault="00F92C50" w:rsidP="00670427">
      <w:pPr>
        <w:pStyle w:val="Textocomentario"/>
      </w:pPr>
      <w:r>
        <w:t>Utiliza 2 espacios sencillos entre:</w:t>
      </w:r>
    </w:p>
    <w:p w14:paraId="198BF7B1" w14:textId="77777777" w:rsidR="00F92C50" w:rsidRDefault="00F92C50" w:rsidP="00670427">
      <w:pPr>
        <w:pStyle w:val="Textocomentario"/>
      </w:pPr>
      <w:r>
        <w:t>-Título y párrafo.</w:t>
      </w:r>
    </w:p>
    <w:p w14:paraId="29AA0962" w14:textId="77777777" w:rsidR="00F92C50" w:rsidRDefault="00F92C50" w:rsidP="00670427">
      <w:pPr>
        <w:pStyle w:val="Textocomentario"/>
      </w:pPr>
      <w:r>
        <w:t>-Párrafo e imagen.</w:t>
      </w:r>
    </w:p>
    <w:p w14:paraId="7B36C466" w14:textId="77777777" w:rsidR="00F92C50" w:rsidRDefault="00F92C50" w:rsidP="00670427">
      <w:pPr>
        <w:pStyle w:val="Textocomentario"/>
      </w:pPr>
      <w:r>
        <w:t>-Imagen y párrafo.</w:t>
      </w:r>
    </w:p>
    <w:p w14:paraId="7F19680C" w14:textId="77777777" w:rsidR="00F92C50" w:rsidRDefault="00F92C50" w:rsidP="00670427">
      <w:pPr>
        <w:pStyle w:val="Textocomentario"/>
      </w:pPr>
      <w:r>
        <w:t>-Párrafo y subtítulo.</w:t>
      </w:r>
    </w:p>
    <w:p w14:paraId="0CB9A340" w14:textId="77777777" w:rsidR="00F92C50" w:rsidRDefault="00F92C50" w:rsidP="00670427">
      <w:pPr>
        <w:pStyle w:val="Textocomentario"/>
      </w:pPr>
      <w:r>
        <w:t>-Tabla y párrafo.</w:t>
      </w:r>
    </w:p>
    <w:p w14:paraId="5EC20E1E" w14:textId="48B890B6" w:rsidR="00F92C50" w:rsidRDefault="00F92C50" w:rsidP="00670427">
      <w:pPr>
        <w:pStyle w:val="Textocomentario"/>
      </w:pPr>
      <w:r>
        <w:t>Etc.</w:t>
      </w:r>
    </w:p>
  </w:comment>
  <w:comment w:id="25" w:author="Autor" w:initials="A">
    <w:p w14:paraId="1E68F7AE" w14:textId="77777777" w:rsidR="00F92C50" w:rsidRDefault="00F92C50"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F92C50" w:rsidRDefault="00F92C50" w:rsidP="003D1806">
      <w:pPr>
        <w:pStyle w:val="Textocomentario"/>
      </w:pPr>
    </w:p>
    <w:p w14:paraId="5A191319" w14:textId="6653F5D5" w:rsidR="00F92C50" w:rsidRDefault="00F92C50" w:rsidP="003D1806">
      <w:pPr>
        <w:pStyle w:val="Textocomentario"/>
      </w:pPr>
      <w:r>
        <w:t>Referencias &gt; Insertar nota al pie (Word lleva la numeración automática)</w:t>
      </w:r>
    </w:p>
  </w:comment>
  <w:comment w:id="27" w:author="Autor" w:initials="A">
    <w:p w14:paraId="48E0FA57" w14:textId="3DC0F946" w:rsidR="00F92C50" w:rsidRDefault="00F92C50"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F92C50" w:rsidRDefault="00F92C50">
      <w:pPr>
        <w:pStyle w:val="Textocomentario"/>
      </w:pPr>
      <w:r>
        <w:rPr>
          <w:rStyle w:val="Refdecomentario"/>
        </w:rPr>
        <w:annotationRef/>
      </w:r>
      <w:r>
        <w:t>Entre párrafo y párrafo utiliza 1 espacio sencillo.</w:t>
      </w:r>
    </w:p>
  </w:comment>
  <w:comment w:id="31" w:author="Autor" w:initials="A">
    <w:p w14:paraId="1538A0FD" w14:textId="503ED7CE" w:rsidR="00F92C50" w:rsidRDefault="00F92C50"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F92C50" w:rsidRDefault="00F92C50">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F92C50" w:rsidRDefault="00F92C50">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F92C50" w:rsidRDefault="00F92C50">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F92C50" w:rsidRDefault="00F92C50">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F92C50" w:rsidRDefault="00F92C50">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F92C50" w:rsidRDefault="00F92C50">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5" w:author="Autor" w:initials="A">
    <w:p w14:paraId="4BDB6B67" w14:textId="49132684" w:rsidR="00F92C50" w:rsidRDefault="00F92C50">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6" w:author="Autor" w:initials="A">
    <w:p w14:paraId="6DB60576" w14:textId="488F98BE" w:rsidR="00F92C50" w:rsidRDefault="00F92C50">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F92C50" w:rsidRDefault="00F92C50">
      <w:pPr>
        <w:pStyle w:val="Textocomentario"/>
        <w:rPr>
          <w:rFonts w:cs="Times New Roman"/>
        </w:rPr>
      </w:pPr>
    </w:p>
    <w:p w14:paraId="3F8DE1B0" w14:textId="11EF4C55" w:rsidR="00F92C50" w:rsidRDefault="00F92C50">
      <w:pPr>
        <w:pStyle w:val="Textocomentario"/>
      </w:pPr>
      <w:r>
        <w:rPr>
          <w:rFonts w:cs="Times New Roman"/>
        </w:rPr>
        <w:t xml:space="preserve">Es mala idea elaborar citas y referencias “manualmente”, son altas las posibilidades de errores. </w:t>
      </w:r>
    </w:p>
  </w:comment>
  <w:comment w:id="47" w:author="Autor" w:initials="A">
    <w:p w14:paraId="5F1EDCEE" w14:textId="77777777" w:rsidR="00F92C50" w:rsidRPr="00411DFC" w:rsidRDefault="00F92C50"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8" w:author="Autor" w:initials="A">
    <w:p w14:paraId="3E0E76E5" w14:textId="77777777" w:rsidR="00F92C50" w:rsidRPr="00411DFC" w:rsidRDefault="00F92C50"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49" w:author="Autor" w:initials="A">
    <w:p w14:paraId="4BF40043" w14:textId="77777777" w:rsidR="00F92C50" w:rsidRPr="00411DFC" w:rsidRDefault="00F92C50"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0" w:author="Autor" w:initials="A">
    <w:p w14:paraId="2FAF780F" w14:textId="1E3DDF9A" w:rsidR="00F92C50" w:rsidRPr="00411DFC" w:rsidRDefault="00F92C50"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1" w:author="Autor" w:initials="A">
    <w:p w14:paraId="05802A94" w14:textId="282963F0" w:rsidR="00F92C50" w:rsidRDefault="00F92C50">
      <w:pPr>
        <w:pStyle w:val="Textocomentario"/>
      </w:pPr>
      <w:r>
        <w:rPr>
          <w:rStyle w:val="Refdecomentario"/>
        </w:rPr>
        <w:annotationRef/>
      </w:r>
      <w:r>
        <w:t>Uno de los errores más comunes al citar es ubicar el punto final entre la frase y la cita:</w:t>
      </w:r>
    </w:p>
    <w:p w14:paraId="7A80C327" w14:textId="2EB0D24F" w:rsidR="00F92C50" w:rsidRDefault="00F92C50">
      <w:pPr>
        <w:pStyle w:val="Textocomentario"/>
      </w:pPr>
    </w:p>
    <w:p w14:paraId="5080DF7D" w14:textId="271AB428" w:rsidR="00F92C50" w:rsidRDefault="00F92C50">
      <w:pPr>
        <w:pStyle w:val="Textocomentario"/>
      </w:pPr>
      <w:r>
        <w:rPr>
          <w:color w:val="FF0000"/>
        </w:rPr>
        <w:t>a</w:t>
      </w:r>
      <w:r w:rsidRPr="00C22420">
        <w:rPr>
          <w:color w:val="FF0000"/>
        </w:rPr>
        <w:t>specto discursivo. (Ruiz, 2014, p. 107)</w:t>
      </w:r>
    </w:p>
    <w:p w14:paraId="59A53744" w14:textId="35F1258E" w:rsidR="00F92C50" w:rsidRDefault="00F92C50">
      <w:pPr>
        <w:pStyle w:val="Textocomentario"/>
      </w:pPr>
    </w:p>
    <w:p w14:paraId="7F3A817D" w14:textId="44345689" w:rsidR="00F92C50" w:rsidRDefault="00F92C50">
      <w:pPr>
        <w:pStyle w:val="Textocomentario"/>
      </w:pPr>
      <w:r>
        <w:t>Lo correcto es ubicar el punto final después de la cita:</w:t>
      </w:r>
    </w:p>
    <w:p w14:paraId="6570CF0A" w14:textId="3B119AAA" w:rsidR="00F92C50" w:rsidRDefault="00F92C50">
      <w:pPr>
        <w:pStyle w:val="Textocomentario"/>
      </w:pPr>
    </w:p>
    <w:p w14:paraId="2D674C31" w14:textId="159E506C" w:rsidR="00F92C50" w:rsidRDefault="00F92C50">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F92C50" w:rsidRDefault="00F92C50">
      <w:pPr>
        <w:pStyle w:val="Textocomentario"/>
        <w:rPr>
          <w:color w:val="70AD47" w:themeColor="accent6"/>
        </w:rPr>
      </w:pPr>
    </w:p>
    <w:p w14:paraId="27046008" w14:textId="5EDA76A9" w:rsidR="00F92C50" w:rsidRPr="00C22420" w:rsidRDefault="00F92C50">
      <w:pPr>
        <w:pStyle w:val="Textocomentario"/>
      </w:pPr>
      <w:r w:rsidRPr="00C22420">
        <w:t>O si incluye comillas de cita textual:</w:t>
      </w:r>
    </w:p>
    <w:p w14:paraId="74237904" w14:textId="77777777" w:rsidR="00F92C50" w:rsidRDefault="00F92C50">
      <w:pPr>
        <w:pStyle w:val="Textocomentario"/>
        <w:rPr>
          <w:color w:val="70AD47" w:themeColor="accent6"/>
        </w:rPr>
      </w:pPr>
    </w:p>
    <w:p w14:paraId="50C1B96E" w14:textId="62574924" w:rsidR="00F92C50" w:rsidRDefault="00F92C50">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4" w:author="Autor" w:initials="A">
    <w:p w14:paraId="75F414B1" w14:textId="77777777" w:rsidR="00F92C50" w:rsidRDefault="00F92C50" w:rsidP="007B5E42">
      <w:pPr>
        <w:pStyle w:val="Textocomentario"/>
      </w:pPr>
      <w:r>
        <w:rPr>
          <w:rStyle w:val="Refdecomentario"/>
        </w:rPr>
        <w:annotationRef/>
      </w:r>
      <w:r>
        <w:t xml:space="preserve">Imagen centrada, tamaño moderado y legible </w:t>
      </w:r>
    </w:p>
    <w:p w14:paraId="2FCACD34" w14:textId="77777777" w:rsidR="00F92C50" w:rsidRDefault="00F92C50" w:rsidP="007B5E42">
      <w:pPr>
        <w:pStyle w:val="Textocomentario"/>
      </w:pPr>
    </w:p>
    <w:p w14:paraId="122F03F5" w14:textId="77777777" w:rsidR="00F92C50" w:rsidRDefault="00F92C50" w:rsidP="007B5E42">
      <w:pPr>
        <w:pStyle w:val="Textocomentario"/>
      </w:pPr>
      <w:r>
        <w:t>Para insertar imágenes usa un recuadro con bordes externos, donde existen dos alternativas:</w:t>
      </w:r>
    </w:p>
    <w:p w14:paraId="30B78D18" w14:textId="77777777" w:rsidR="00F92C50" w:rsidRDefault="00F92C50" w:rsidP="007B5E42">
      <w:pPr>
        <w:pStyle w:val="Textocomentario"/>
      </w:pPr>
    </w:p>
    <w:p w14:paraId="0CACA950" w14:textId="77777777" w:rsidR="00F92C50" w:rsidRDefault="00F92C50" w:rsidP="007B5E42">
      <w:pPr>
        <w:pStyle w:val="Textocomentario"/>
      </w:pPr>
      <w:r w:rsidRPr="00A40199">
        <w:rPr>
          <w:b/>
        </w:rPr>
        <w:t>1. Cuadro de texto</w:t>
      </w:r>
      <w:r>
        <w:t>: Insertar &gt; Cuadro de texto (borde exterior). Línea(s) para título, línea para imagen, línea(s) para leyenda.</w:t>
      </w:r>
    </w:p>
    <w:p w14:paraId="56E82280" w14:textId="77777777" w:rsidR="00F92C50" w:rsidRDefault="00F92C50" w:rsidP="007B5E42">
      <w:pPr>
        <w:pStyle w:val="Textocomentario"/>
      </w:pPr>
    </w:p>
    <w:p w14:paraId="22806A6F" w14:textId="77777777" w:rsidR="00F92C50" w:rsidRDefault="00F92C50" w:rsidP="007B5E42">
      <w:pPr>
        <w:pStyle w:val="Textocomentario"/>
      </w:pPr>
      <w:r w:rsidRPr="00A40199">
        <w:rPr>
          <w:b/>
        </w:rPr>
        <w:t>2. Tabla</w:t>
      </w:r>
      <w:r>
        <w:t>: Insertar &gt; Tabla &gt; 1 columna, 3 filas (eliminar bordes internos, dejar solo bordes externos).</w:t>
      </w:r>
    </w:p>
    <w:p w14:paraId="337FE750" w14:textId="77777777" w:rsidR="00F92C50" w:rsidRDefault="00F92C50" w:rsidP="007B5E42">
      <w:pPr>
        <w:pStyle w:val="Textocomentario"/>
      </w:pPr>
      <w:r>
        <w:t>Línea 1 para título, línea 2 para imagen, línea 3 para leyenda.</w:t>
      </w:r>
    </w:p>
    <w:p w14:paraId="4CD9AA60" w14:textId="77777777" w:rsidR="00F92C50" w:rsidRDefault="00F92C50" w:rsidP="007B5E42">
      <w:pPr>
        <w:pStyle w:val="Textocomentario"/>
      </w:pPr>
    </w:p>
    <w:p w14:paraId="5569F532" w14:textId="77777777" w:rsidR="00F92C50" w:rsidRDefault="00F92C50" w:rsidP="007B5E42">
      <w:pPr>
        <w:pStyle w:val="Textocomentario"/>
      </w:pPr>
      <w:r>
        <w:t>Ejemplo figura 1 hecho con cuadro de texto, figura 2 con tabla.</w:t>
      </w:r>
    </w:p>
    <w:p w14:paraId="5CF07493" w14:textId="77777777" w:rsidR="00F92C50" w:rsidRDefault="00F92C50" w:rsidP="007B5E42">
      <w:pPr>
        <w:pStyle w:val="Textocomentario"/>
      </w:pPr>
    </w:p>
    <w:p w14:paraId="6C33B947" w14:textId="0355BB46" w:rsidR="00F92C50" w:rsidRDefault="00F92C50" w:rsidP="007B5E42">
      <w:pPr>
        <w:pStyle w:val="Textocomentario"/>
      </w:pPr>
      <w:r>
        <w:t xml:space="preserve">Si la figura es de tu completa autoría, </w:t>
      </w:r>
      <w:r w:rsidRPr="008756D6">
        <w:rPr>
          <w:b/>
        </w:rPr>
        <w:t>NO</w:t>
      </w:r>
      <w:r>
        <w:t xml:space="preserve"> es necesario colocar la leyenda “Elaboración propia”.</w:t>
      </w:r>
    </w:p>
  </w:comment>
  <w:comment w:id="55" w:author="Autor" w:initials="A">
    <w:p w14:paraId="46CFD098" w14:textId="77777777" w:rsidR="00F92C50" w:rsidRDefault="00F92C50" w:rsidP="00A71B2F">
      <w:pPr>
        <w:pStyle w:val="Textocomentario"/>
      </w:pPr>
    </w:p>
    <w:p w14:paraId="5A929F1A" w14:textId="3F85C9A1" w:rsidR="00F92C50" w:rsidRDefault="00F92C50"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F92C50" w:rsidRDefault="00F92C50" w:rsidP="00A71B2F">
      <w:pPr>
        <w:pStyle w:val="Textocomentario"/>
      </w:pPr>
    </w:p>
    <w:p w14:paraId="6DEE8651" w14:textId="3451455B" w:rsidR="00F92C50" w:rsidRDefault="00F92C50" w:rsidP="00A71B2F">
      <w:pPr>
        <w:pStyle w:val="Textocomentario"/>
      </w:pPr>
      <w:r>
        <w:t>Los números consecutivos de cada figura se asignan automáticamente.</w:t>
      </w:r>
    </w:p>
    <w:p w14:paraId="72A3BD8B" w14:textId="77777777" w:rsidR="00F92C50" w:rsidRDefault="00F92C50" w:rsidP="00A71B2F">
      <w:pPr>
        <w:pStyle w:val="Textocomentario"/>
      </w:pPr>
    </w:p>
    <w:p w14:paraId="5FBB96B9" w14:textId="0EAB81E6" w:rsidR="00F92C50" w:rsidRDefault="00F92C50" w:rsidP="00A71B2F">
      <w:pPr>
        <w:pStyle w:val="Textocomentario"/>
      </w:pPr>
      <w:r>
        <w:t>Si tienes dudas, solicita asesoría en Biblioteca.</w:t>
      </w:r>
    </w:p>
  </w:comment>
  <w:comment w:id="57" w:author="Autor" w:initials="A">
    <w:p w14:paraId="5059F301" w14:textId="152DED38" w:rsidR="00F92C50" w:rsidRDefault="00F92C50"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F92C50" w:rsidRDefault="00F92C50" w:rsidP="000F68C2">
      <w:pPr>
        <w:pStyle w:val="Textocomentario"/>
      </w:pPr>
    </w:p>
    <w:p w14:paraId="44BA6EBA" w14:textId="251267BA" w:rsidR="00F92C50" w:rsidRDefault="00F92C50" w:rsidP="000F68C2">
      <w:pPr>
        <w:pStyle w:val="Textocomentario"/>
      </w:pPr>
      <w:r>
        <w:t>Los números consecutivos de cada tabla se asignan automáticamente.</w:t>
      </w:r>
    </w:p>
    <w:p w14:paraId="25CC4927" w14:textId="77777777" w:rsidR="00F92C50" w:rsidRDefault="00F92C50" w:rsidP="000F68C2">
      <w:pPr>
        <w:pStyle w:val="Textocomentario"/>
      </w:pPr>
    </w:p>
    <w:p w14:paraId="291F2434" w14:textId="5070E68F" w:rsidR="00F92C50" w:rsidRDefault="00F92C50" w:rsidP="000F68C2">
      <w:pPr>
        <w:pStyle w:val="Textocomentario"/>
      </w:pPr>
      <w:r>
        <w:t>Si tienes dudas, solicita asesoría en Biblioteca.</w:t>
      </w:r>
    </w:p>
    <w:p w14:paraId="2F408B20" w14:textId="5A260C43" w:rsidR="00F92C50" w:rsidRDefault="00F92C50">
      <w:pPr>
        <w:pStyle w:val="Textocomentario"/>
      </w:pPr>
    </w:p>
  </w:comment>
  <w:comment w:id="58" w:author="Autor" w:initials="A">
    <w:p w14:paraId="7E115CA0" w14:textId="2E3F2759" w:rsidR="00F92C50" w:rsidRDefault="00F92C50">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59" w:author="Autor" w:initials="A">
    <w:p w14:paraId="07054698" w14:textId="12674B10" w:rsidR="00F92C50" w:rsidRDefault="00F92C50">
      <w:pPr>
        <w:pStyle w:val="Textocomentario"/>
      </w:pPr>
      <w:r>
        <w:rPr>
          <w:rStyle w:val="Refdecomentario"/>
        </w:rPr>
        <w:annotationRef/>
      </w:r>
      <w:r>
        <w:t>Palabra Tabla, número consecutivo y título de la tabla en cursiva, ambos en tamaño 12 puntos.</w:t>
      </w:r>
    </w:p>
    <w:p w14:paraId="28E81BF4" w14:textId="6191879B" w:rsidR="00F92C50" w:rsidRDefault="00F92C50">
      <w:pPr>
        <w:pStyle w:val="Textocomentario"/>
      </w:pPr>
    </w:p>
    <w:p w14:paraId="270C2CF0" w14:textId="77777777" w:rsidR="00F92C50" w:rsidRDefault="00F92C50">
      <w:pPr>
        <w:pStyle w:val="Textocomentario"/>
      </w:pPr>
    </w:p>
    <w:p w14:paraId="36E316F1" w14:textId="32DA39DB" w:rsidR="00F92C50" w:rsidRDefault="00F92C50">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F92C50" w:rsidRDefault="00F92C50">
      <w:pPr>
        <w:pStyle w:val="Textocomentario"/>
      </w:pPr>
    </w:p>
    <w:p w14:paraId="4C1D0C1D" w14:textId="3A7A6E82" w:rsidR="00F92C50" w:rsidRDefault="00F92C50">
      <w:pPr>
        <w:pStyle w:val="Textocomentario"/>
      </w:pPr>
      <w:r>
        <w:t>Tabla 2</w:t>
      </w:r>
      <w:r>
        <w:br/>
      </w:r>
      <w:r w:rsidRPr="001A731E">
        <w:rPr>
          <w:rFonts w:cs="Times New Roman"/>
          <w:i/>
          <w:szCs w:val="24"/>
        </w:rPr>
        <w:t>Cita paráfrasis o no textual, dentro de paréntesis</w:t>
      </w:r>
    </w:p>
  </w:comment>
  <w:comment w:id="60" w:author="Autor" w:initials="A">
    <w:p w14:paraId="5995B0C5" w14:textId="77777777" w:rsidR="00F92C50" w:rsidRDefault="00F92C50"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F92C50" w:rsidRDefault="00F92C50" w:rsidP="00234912">
      <w:pPr>
        <w:pStyle w:val="Textocomentario"/>
      </w:pPr>
    </w:p>
    <w:p w14:paraId="5C589537" w14:textId="4F04E9B9" w:rsidR="00F92C50" w:rsidRDefault="00F92C50" w:rsidP="00234912">
      <w:pPr>
        <w:pStyle w:val="Textocomentario"/>
      </w:pPr>
      <w:r>
        <w:t>Puedes utilizar el interlineado simple (1.0), intermedio (1.5) o doble (2.0)</w:t>
      </w:r>
    </w:p>
  </w:comment>
  <w:comment w:id="61" w:author="Autor" w:initials="A">
    <w:p w14:paraId="3CD5CA9C" w14:textId="3063DFB9" w:rsidR="00F92C50" w:rsidRDefault="00F92C50">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5" w:author="Autor" w:initials="A">
    <w:p w14:paraId="2168511F" w14:textId="53DB752F" w:rsidR="00F92C50" w:rsidRDefault="00F92C50"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F92C50" w:rsidRPr="00411DFC" w:rsidRDefault="00F92C50" w:rsidP="0065676B">
      <w:pPr>
        <w:pStyle w:val="Textocomentario"/>
      </w:pPr>
    </w:p>
  </w:comment>
  <w:comment w:id="67" w:author="Autor" w:initials="A">
    <w:p w14:paraId="41A1811D" w14:textId="77777777" w:rsidR="00F92C50" w:rsidRDefault="00F92C50">
      <w:pPr>
        <w:pStyle w:val="Textocomentario"/>
      </w:pPr>
      <w:r>
        <w:rPr>
          <w:rStyle w:val="Refdecomentario"/>
        </w:rPr>
        <w:annotationRef/>
      </w:r>
      <w:r>
        <w:t>Incluye en la tabla de contenido solo el título Anexos, no incluyas Anexo 1, Anexo 2, Anexo 3, etc.</w:t>
      </w:r>
    </w:p>
    <w:p w14:paraId="2DF56C29" w14:textId="77777777" w:rsidR="00F92C50" w:rsidRDefault="00F92C50" w:rsidP="00782E25">
      <w:pPr>
        <w:pStyle w:val="Textocomentario"/>
        <w:rPr>
          <w:b/>
          <w:color w:val="FF0000"/>
        </w:rPr>
      </w:pPr>
    </w:p>
    <w:p w14:paraId="49A0206B" w14:textId="30F479E7" w:rsidR="00F92C50" w:rsidRDefault="00F92C50"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F92C50" w:rsidRDefault="00F92C50" w:rsidP="00782E25">
      <w:pPr>
        <w:pStyle w:val="Textocomentario"/>
      </w:pPr>
    </w:p>
    <w:p w14:paraId="453BE36E" w14:textId="1CABE968" w:rsidR="00F92C50" w:rsidRDefault="00F92C50"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B67AA" w14:textId="77777777" w:rsidR="00E85A70" w:rsidRDefault="00E85A70" w:rsidP="006B13CA">
      <w:pPr>
        <w:spacing w:line="240" w:lineRule="auto"/>
      </w:pPr>
      <w:r>
        <w:separator/>
      </w:r>
    </w:p>
  </w:endnote>
  <w:endnote w:type="continuationSeparator" w:id="0">
    <w:p w14:paraId="2D595A77" w14:textId="77777777" w:rsidR="00E85A70" w:rsidRDefault="00E85A70"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EndPr/>
    <w:sdtContent>
      <w:p w14:paraId="7E0F9F9D" w14:textId="77777777" w:rsidR="00F92C50" w:rsidRDefault="00F92C50">
        <w:pPr>
          <w:pStyle w:val="Piedepgina"/>
          <w:jc w:val="center"/>
        </w:pPr>
        <w:r>
          <w:fldChar w:fldCharType="begin"/>
        </w:r>
        <w:r w:rsidRPr="00FF0E9C">
          <w:instrText>PAGE   \* MERGEFORMAT</w:instrText>
        </w:r>
        <w:r>
          <w:fldChar w:fldCharType="separate"/>
        </w:r>
        <w:r w:rsidRPr="00984C4D">
          <w:rPr>
            <w:noProof/>
            <w:lang w:val="es-ES"/>
          </w:rPr>
          <w:t>29</w:t>
        </w:r>
        <w:r>
          <w:fldChar w:fldCharType="end"/>
        </w:r>
      </w:p>
    </w:sdtContent>
  </w:sdt>
  <w:p w14:paraId="386B528E" w14:textId="77777777" w:rsidR="00F92C50" w:rsidRDefault="00F92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E03A5" w14:textId="77777777" w:rsidR="00E85A70" w:rsidRDefault="00E85A70" w:rsidP="006B13CA">
      <w:pPr>
        <w:spacing w:line="240" w:lineRule="auto"/>
      </w:pPr>
      <w:r>
        <w:separator/>
      </w:r>
    </w:p>
  </w:footnote>
  <w:footnote w:type="continuationSeparator" w:id="0">
    <w:p w14:paraId="4973A852" w14:textId="77777777" w:rsidR="00E85A70" w:rsidRDefault="00E85A70" w:rsidP="006B13CA">
      <w:pPr>
        <w:spacing w:line="240" w:lineRule="auto"/>
      </w:pPr>
      <w:r>
        <w:continuationSeparator/>
      </w:r>
    </w:p>
  </w:footnote>
  <w:footnote w:id="1">
    <w:p w14:paraId="132D75B2" w14:textId="7948B0D1" w:rsidR="00F92C50" w:rsidRDefault="00F92C50"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F92C50" w:rsidRDefault="00F92C50"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Pr="00984C4D">
          <w:rPr>
            <w:noProof/>
            <w:sz w:val="20"/>
            <w:szCs w:val="20"/>
            <w:lang w:val="es-ES"/>
          </w:rPr>
          <w:t>29</w:t>
        </w:r>
        <w:r w:rsidRPr="0008236F">
          <w:rPr>
            <w:sz w:val="20"/>
            <w:szCs w:val="20"/>
          </w:rPr>
          <w:fldChar w:fldCharType="end"/>
        </w:r>
      </w:sdtContent>
    </w:sdt>
  </w:p>
  <w:p w14:paraId="529A43D8" w14:textId="77777777" w:rsidR="00F92C50" w:rsidRPr="002421AA" w:rsidRDefault="00F92C50" w:rsidP="002421AA">
    <w:pPr>
      <w:pStyle w:val="Encabezado"/>
    </w:pPr>
  </w:p>
  <w:p w14:paraId="21A3D53C" w14:textId="77777777" w:rsidR="00F92C50" w:rsidRDefault="00F92C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9"/>
  </w:num>
  <w:num w:numId="5">
    <w:abstractNumId w:val="4"/>
  </w:num>
  <w:num w:numId="6">
    <w:abstractNumId w:val="14"/>
  </w:num>
  <w:num w:numId="7">
    <w:abstractNumId w:val="0"/>
  </w:num>
  <w:num w:numId="8">
    <w:abstractNumId w:val="7"/>
  </w:num>
  <w:num w:numId="9">
    <w:abstractNumId w:val="17"/>
  </w:num>
  <w:num w:numId="10">
    <w:abstractNumId w:val="15"/>
  </w:num>
  <w:num w:numId="11">
    <w:abstractNumId w:val="2"/>
  </w:num>
  <w:num w:numId="12">
    <w:abstractNumId w:val="5"/>
  </w:num>
  <w:num w:numId="13">
    <w:abstractNumId w:val="3"/>
  </w:num>
  <w:num w:numId="14">
    <w:abstractNumId w:val="8"/>
  </w:num>
  <w:num w:numId="15">
    <w:abstractNumId w:val="16"/>
  </w:num>
  <w:num w:numId="16">
    <w:abstractNumId w:val="11"/>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94E2A"/>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14"/>
    <w:rsid w:val="002F7768"/>
    <w:rsid w:val="002F7EDF"/>
    <w:rsid w:val="00301CC3"/>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E7A79"/>
    <w:rsid w:val="008F20B2"/>
    <w:rsid w:val="008F2529"/>
    <w:rsid w:val="00910469"/>
    <w:rsid w:val="00922FB3"/>
    <w:rsid w:val="00923F8D"/>
    <w:rsid w:val="0092417F"/>
    <w:rsid w:val="009274F3"/>
    <w:rsid w:val="00930D47"/>
    <w:rsid w:val="00931931"/>
    <w:rsid w:val="00932C75"/>
    <w:rsid w:val="00950C28"/>
    <w:rsid w:val="009512BA"/>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2C50"/>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e.ebrary.com/lib/uniajcsp/home.ac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arch.ebscohost.com/"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jpe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2CE8D99-94E3-491D-A3A2-70B23B8C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8247</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id="njUyAAid"/&gt;&lt;style id="http://www.zotero.org/styles/apa" locale="es-ES" hasBibliography="1" bibliographyStyleHasBeenSet="1"/&gt;&lt;prefs&gt;&lt;pref name="fieldType" value="Field"/&gt;&lt;/prefs&gt;&lt;/data&gt;</vt:lpwstr>
  </property>
</Properties>
</file>