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F92C50"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F92C50"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" fillcolor="white [3201]" stroked="f" strokeweight=".5pt">
                <v:textbox>
                  <w:txbxContent>
                    <w:p w14:paraId="08C6C915" w14:textId="77777777" w:rsidR="00F92C50" w:rsidRPr="006C1D97" w:rsidRDefault="00F92C50" w:rsidP="006A03E3">
                      <w:pPr>
                        <w:spacing w:line="276" w:lineRule="auto"/>
                        <w:rPr>
                          <w:color w:val="0070C0"/>
                        </w:rPr>
                      </w:pPr>
                      <w:r w:rsidRPr="006C1D97">
                        <w:rPr>
                          <w:color w:val="0070C0"/>
                        </w:rPr>
                        <w:t>En pocas palabras</w:t>
                      </w:r>
                    </w:p>
                    <w:p w14:paraId="4D1CD497" w14:textId="77777777" w:rsidR="00F92C50" w:rsidRPr="006C1D97" w:rsidRDefault="00F92C50" w:rsidP="006A03E3">
                      <w:pPr>
                        <w:spacing w:line="276" w:lineRule="auto"/>
                        <w:rPr>
                          <w:color w:val="0070C0"/>
                        </w:rPr>
                      </w:pPr>
                      <w:r w:rsidRPr="006C1D97">
                        <w:rPr>
                          <w:color w:val="0070C0"/>
                        </w:rPr>
                        <w:t>A continuación</w:t>
                      </w:r>
                    </w:p>
                    <w:p w14:paraId="661473E7" w14:textId="77777777" w:rsidR="00F92C50" w:rsidRPr="006C1D97" w:rsidRDefault="00F92C50" w:rsidP="006A03E3">
                      <w:pPr>
                        <w:spacing w:line="276" w:lineRule="auto"/>
                        <w:rPr>
                          <w:color w:val="0070C0"/>
                        </w:rPr>
                      </w:pPr>
                      <w:r w:rsidRPr="006C1D97">
                        <w:rPr>
                          <w:color w:val="0070C0"/>
                        </w:rPr>
                        <w:t>Acto seguido</w:t>
                      </w:r>
                    </w:p>
                    <w:p w14:paraId="39AF56F6" w14:textId="77777777" w:rsidR="00F92C50" w:rsidRPr="006C1D97" w:rsidRDefault="00F92C50" w:rsidP="006A03E3">
                      <w:pPr>
                        <w:spacing w:line="276" w:lineRule="auto"/>
                        <w:rPr>
                          <w:color w:val="0070C0"/>
                        </w:rPr>
                      </w:pPr>
                      <w:r w:rsidRPr="006C1D97">
                        <w:rPr>
                          <w:color w:val="0070C0"/>
                        </w:rPr>
                        <w:t>Con motivo de</w:t>
                      </w:r>
                    </w:p>
                    <w:p w14:paraId="16A7E061" w14:textId="77777777" w:rsidR="00F92C50" w:rsidRPr="006C1D97" w:rsidRDefault="00F92C50" w:rsidP="006A03E3">
                      <w:pPr>
                        <w:spacing w:line="276" w:lineRule="auto"/>
                        <w:rPr>
                          <w:color w:val="0070C0"/>
                        </w:rPr>
                      </w:pPr>
                      <w:r w:rsidRPr="006C1D97">
                        <w:rPr>
                          <w:color w:val="0070C0"/>
                        </w:rPr>
                        <w:t>A saber</w:t>
                      </w:r>
                    </w:p>
                    <w:p w14:paraId="4157A7E1" w14:textId="77777777" w:rsidR="00F92C50" w:rsidRPr="006C1D97" w:rsidRDefault="00F92C50" w:rsidP="006A03E3">
                      <w:pPr>
                        <w:spacing w:line="276" w:lineRule="auto"/>
                        <w:rPr>
                          <w:color w:val="0070C0"/>
                        </w:rPr>
                      </w:pPr>
                      <w:r w:rsidRPr="006C1D97">
                        <w:rPr>
                          <w:color w:val="0070C0"/>
                        </w:rPr>
                        <w:t>De la misma forma</w:t>
                      </w:r>
                    </w:p>
                    <w:p w14:paraId="5AD036E2" w14:textId="77777777" w:rsidR="00F92C50" w:rsidRPr="006C1D97" w:rsidRDefault="00F92C50" w:rsidP="006A03E3">
                      <w:pPr>
                        <w:spacing w:line="276" w:lineRule="auto"/>
                        <w:rPr>
                          <w:color w:val="0070C0"/>
                        </w:rPr>
                      </w:pPr>
                      <w:r w:rsidRPr="006C1D97">
                        <w:rPr>
                          <w:color w:val="0070C0"/>
                        </w:rPr>
                        <w:t>En síntesis</w:t>
                      </w:r>
                    </w:p>
                    <w:p w14:paraId="00D65545" w14:textId="77777777" w:rsidR="00F92C50" w:rsidRPr="006C1D97" w:rsidRDefault="00F92C50" w:rsidP="006A03E3">
                      <w:pPr>
                        <w:spacing w:line="276" w:lineRule="auto"/>
                        <w:rPr>
                          <w:color w:val="0070C0"/>
                        </w:rPr>
                      </w:pPr>
                      <w:r w:rsidRPr="006C1D97">
                        <w:rPr>
                          <w:color w:val="0070C0"/>
                        </w:rPr>
                        <w:t>Así</w:t>
                      </w:r>
                    </w:p>
                    <w:p w14:paraId="3991F163" w14:textId="77777777" w:rsidR="00F92C50" w:rsidRPr="006C1D97" w:rsidRDefault="00F92C50" w:rsidP="006A03E3">
                      <w:pPr>
                        <w:spacing w:line="276" w:lineRule="auto"/>
                        <w:rPr>
                          <w:color w:val="0070C0"/>
                        </w:rPr>
                      </w:pPr>
                      <w:r w:rsidRPr="006C1D97">
                        <w:rPr>
                          <w:color w:val="0070C0"/>
                        </w:rPr>
                        <w:t>Para concluir</w:t>
                      </w:r>
                    </w:p>
                    <w:p w14:paraId="2EE63B15" w14:textId="77777777" w:rsidR="00F92C50" w:rsidRPr="006C1D97" w:rsidRDefault="00F92C50" w:rsidP="006A03E3">
                      <w:pPr>
                        <w:spacing w:line="276" w:lineRule="auto"/>
                        <w:rPr>
                          <w:color w:val="0070C0"/>
                        </w:rPr>
                      </w:pPr>
                      <w:r w:rsidRPr="006C1D97">
                        <w:rPr>
                          <w:color w:val="0070C0"/>
                        </w:rPr>
                        <w:t>Luego</w:t>
                      </w:r>
                    </w:p>
                    <w:p w14:paraId="51756AF2" w14:textId="77777777" w:rsidR="00F92C50" w:rsidRPr="006C1D97" w:rsidRDefault="00F92C50" w:rsidP="006A03E3">
                      <w:pPr>
                        <w:spacing w:line="276" w:lineRule="auto"/>
                        <w:rPr>
                          <w:color w:val="0070C0"/>
                        </w:rPr>
                      </w:pPr>
                      <w:r w:rsidRPr="006C1D97">
                        <w:rPr>
                          <w:color w:val="0070C0"/>
                        </w:rPr>
                        <w:t>Resumiendo</w:t>
                      </w:r>
                    </w:p>
                    <w:p w14:paraId="2094A959" w14:textId="77777777" w:rsidR="00F92C50" w:rsidRPr="006C1D97" w:rsidRDefault="00F92C50" w:rsidP="006A03E3">
                      <w:pPr>
                        <w:spacing w:line="276" w:lineRule="auto"/>
                        <w:rPr>
                          <w:color w:val="0070C0"/>
                        </w:rPr>
                      </w:pPr>
                      <w:r w:rsidRPr="006C1D97">
                        <w:rPr>
                          <w:color w:val="0070C0"/>
                        </w:rPr>
                        <w:t>De igual manera</w:t>
                      </w:r>
                    </w:p>
                    <w:p w14:paraId="0231703C" w14:textId="77777777" w:rsidR="00F92C50" w:rsidRPr="006C1D97" w:rsidRDefault="00F92C50" w:rsidP="006A03E3">
                      <w:pPr>
                        <w:spacing w:line="276" w:lineRule="auto"/>
                        <w:rPr>
                          <w:color w:val="0070C0"/>
                        </w:rPr>
                      </w:pPr>
                      <w:r w:rsidRPr="006C1D97">
                        <w:rPr>
                          <w:color w:val="0070C0"/>
                        </w:rPr>
                        <w:t>Al mismo tiempo</w:t>
                      </w:r>
                    </w:p>
                    <w:p w14:paraId="3DAB6A6A" w14:textId="77777777" w:rsidR="00F92C50" w:rsidRPr="006C1D97" w:rsidRDefault="00F92C50" w:rsidP="006A03E3">
                      <w:pPr>
                        <w:spacing w:line="276" w:lineRule="auto"/>
                        <w:rPr>
                          <w:color w:val="0070C0"/>
                        </w:rPr>
                      </w:pPr>
                      <w:r w:rsidRPr="006C1D97">
                        <w:rPr>
                          <w:color w:val="0070C0"/>
                        </w:rPr>
                        <w:t xml:space="preserve">Probablemente </w:t>
                      </w:r>
                    </w:p>
                    <w:p w14:paraId="1BFFD3AB" w14:textId="741E3C53" w:rsidR="00F92C50" w:rsidRDefault="00F92C50"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" fillcolor="white [3201]" stroked="f" strokeweight=".5pt">
                <v:textbox>
                  <w:txbxContent>
                    <w:p w14:paraId="3A7AAD8F" w14:textId="77777777" w:rsidR="00F92C50" w:rsidRPr="006C1D97" w:rsidRDefault="00F92C50" w:rsidP="006A03E3">
                      <w:pPr>
                        <w:spacing w:line="276" w:lineRule="auto"/>
                        <w:rPr>
                          <w:color w:val="0070C0"/>
                        </w:rPr>
                      </w:pPr>
                      <w:r w:rsidRPr="006C1D97">
                        <w:rPr>
                          <w:color w:val="0070C0"/>
                        </w:rPr>
                        <w:t>Sin embargo</w:t>
                      </w:r>
                    </w:p>
                    <w:p w14:paraId="0F6108AA" w14:textId="77777777" w:rsidR="00F92C50" w:rsidRPr="006C1D97" w:rsidRDefault="00F92C50" w:rsidP="006A03E3">
                      <w:pPr>
                        <w:spacing w:line="276" w:lineRule="auto"/>
                        <w:rPr>
                          <w:color w:val="0070C0"/>
                        </w:rPr>
                      </w:pPr>
                      <w:r w:rsidRPr="006C1D97">
                        <w:rPr>
                          <w:color w:val="0070C0"/>
                        </w:rPr>
                        <w:t>Puesto que</w:t>
                      </w:r>
                    </w:p>
                    <w:p w14:paraId="189620B3" w14:textId="77777777" w:rsidR="00F92C50" w:rsidRPr="006C1D97" w:rsidRDefault="00F92C50" w:rsidP="006A03E3">
                      <w:pPr>
                        <w:spacing w:line="276" w:lineRule="auto"/>
                        <w:rPr>
                          <w:color w:val="0070C0"/>
                        </w:rPr>
                      </w:pPr>
                      <w:r w:rsidRPr="006C1D97">
                        <w:rPr>
                          <w:color w:val="0070C0"/>
                        </w:rPr>
                        <w:t>Por consiguiente</w:t>
                      </w:r>
                    </w:p>
                    <w:p w14:paraId="52713CAE" w14:textId="77777777" w:rsidR="00F92C50" w:rsidRPr="006C1D97" w:rsidRDefault="00F92C50" w:rsidP="006A03E3">
                      <w:pPr>
                        <w:spacing w:line="276" w:lineRule="auto"/>
                        <w:rPr>
                          <w:color w:val="0070C0"/>
                        </w:rPr>
                      </w:pPr>
                      <w:r w:rsidRPr="006C1D97">
                        <w:rPr>
                          <w:color w:val="0070C0"/>
                        </w:rPr>
                        <w:t>Dado que</w:t>
                      </w:r>
                    </w:p>
                    <w:p w14:paraId="5D31CE41" w14:textId="77777777" w:rsidR="00F92C50" w:rsidRPr="006C1D97" w:rsidRDefault="00F92C50" w:rsidP="006A03E3">
                      <w:pPr>
                        <w:spacing w:line="276" w:lineRule="auto"/>
                        <w:rPr>
                          <w:color w:val="0070C0"/>
                        </w:rPr>
                      </w:pPr>
                      <w:r w:rsidRPr="006C1D97">
                        <w:rPr>
                          <w:color w:val="0070C0"/>
                        </w:rPr>
                        <w:t>Teniendo en cuenta</w:t>
                      </w:r>
                    </w:p>
                    <w:p w14:paraId="5AC274CB" w14:textId="77777777" w:rsidR="00F92C50" w:rsidRPr="006C1D97" w:rsidRDefault="00F92C50" w:rsidP="006A03E3">
                      <w:pPr>
                        <w:spacing w:line="276" w:lineRule="auto"/>
                        <w:rPr>
                          <w:color w:val="0070C0"/>
                        </w:rPr>
                      </w:pPr>
                      <w:r w:rsidRPr="006C1D97">
                        <w:rPr>
                          <w:color w:val="0070C0"/>
                        </w:rPr>
                        <w:t>Entonces</w:t>
                      </w:r>
                    </w:p>
                    <w:p w14:paraId="71078023" w14:textId="77777777" w:rsidR="00F92C50" w:rsidRPr="006C1D97" w:rsidRDefault="00F92C50" w:rsidP="006A03E3">
                      <w:pPr>
                        <w:spacing w:line="276" w:lineRule="auto"/>
                        <w:rPr>
                          <w:color w:val="0070C0"/>
                        </w:rPr>
                      </w:pPr>
                      <w:r w:rsidRPr="006C1D97">
                        <w:rPr>
                          <w:color w:val="0070C0"/>
                        </w:rPr>
                        <w:t>Simultáneamente</w:t>
                      </w:r>
                    </w:p>
                    <w:p w14:paraId="47CBAA3D" w14:textId="77777777" w:rsidR="00F92C50" w:rsidRPr="006C1D97" w:rsidRDefault="00F92C50" w:rsidP="006A03E3">
                      <w:pPr>
                        <w:spacing w:line="276" w:lineRule="auto"/>
                        <w:rPr>
                          <w:color w:val="0070C0"/>
                        </w:rPr>
                      </w:pPr>
                      <w:r w:rsidRPr="006C1D97">
                        <w:rPr>
                          <w:color w:val="0070C0"/>
                        </w:rPr>
                        <w:t>Posiblemente</w:t>
                      </w:r>
                    </w:p>
                    <w:p w14:paraId="6B4EB2CF" w14:textId="77777777" w:rsidR="00F92C50" w:rsidRPr="006C1D97" w:rsidRDefault="00F92C50" w:rsidP="006A03E3">
                      <w:pPr>
                        <w:spacing w:line="276" w:lineRule="auto"/>
                        <w:rPr>
                          <w:color w:val="0070C0"/>
                        </w:rPr>
                      </w:pPr>
                      <w:r w:rsidRPr="006C1D97">
                        <w:rPr>
                          <w:color w:val="0070C0"/>
                        </w:rPr>
                        <w:t>En efecto</w:t>
                      </w:r>
                    </w:p>
                    <w:p w14:paraId="452EA86F" w14:textId="77777777" w:rsidR="00F92C50" w:rsidRPr="006C1D97" w:rsidRDefault="00F92C50" w:rsidP="006A03E3">
                      <w:pPr>
                        <w:spacing w:line="276" w:lineRule="auto"/>
                        <w:rPr>
                          <w:color w:val="0070C0"/>
                        </w:rPr>
                      </w:pPr>
                      <w:r w:rsidRPr="006C1D97">
                        <w:rPr>
                          <w:color w:val="0070C0"/>
                        </w:rPr>
                        <w:t>Ya que</w:t>
                      </w:r>
                    </w:p>
                    <w:p w14:paraId="2A008045" w14:textId="77777777" w:rsidR="00F92C50" w:rsidRPr="006C1D97" w:rsidRDefault="00F92C50" w:rsidP="006A03E3">
                      <w:pPr>
                        <w:spacing w:line="276" w:lineRule="auto"/>
                        <w:rPr>
                          <w:color w:val="0070C0"/>
                        </w:rPr>
                      </w:pPr>
                      <w:r w:rsidRPr="006C1D97">
                        <w:rPr>
                          <w:color w:val="0070C0"/>
                        </w:rPr>
                        <w:t>Ahora bien</w:t>
                      </w:r>
                    </w:p>
                    <w:p w14:paraId="704597A7" w14:textId="77777777" w:rsidR="00F92C50" w:rsidRPr="006C1D97" w:rsidRDefault="00F92C50" w:rsidP="006A03E3">
                      <w:pPr>
                        <w:spacing w:line="276" w:lineRule="auto"/>
                        <w:rPr>
                          <w:color w:val="0070C0"/>
                        </w:rPr>
                      </w:pPr>
                      <w:r w:rsidRPr="006C1D97">
                        <w:rPr>
                          <w:color w:val="0070C0"/>
                        </w:rPr>
                        <w:t>En cambio</w:t>
                      </w:r>
                    </w:p>
                    <w:p w14:paraId="38D7D189" w14:textId="77777777" w:rsidR="00F92C50" w:rsidRPr="006C1D97" w:rsidRDefault="00F92C50" w:rsidP="006A03E3">
                      <w:pPr>
                        <w:spacing w:line="276" w:lineRule="auto"/>
                        <w:rPr>
                          <w:color w:val="0070C0"/>
                        </w:rPr>
                      </w:pPr>
                      <w:r w:rsidRPr="006C1D97">
                        <w:rPr>
                          <w:color w:val="0070C0"/>
                        </w:rPr>
                        <w:t>En cuanto a</w:t>
                      </w:r>
                    </w:p>
                    <w:p w14:paraId="4A8E55F4" w14:textId="77777777" w:rsidR="00F92C50" w:rsidRPr="006C1D97" w:rsidRDefault="00F92C50" w:rsidP="006A03E3">
                      <w:pPr>
                        <w:spacing w:line="276" w:lineRule="auto"/>
                        <w:rPr>
                          <w:color w:val="0070C0"/>
                        </w:rPr>
                      </w:pPr>
                      <w:r w:rsidRPr="006C1D97">
                        <w:rPr>
                          <w:color w:val="0070C0"/>
                        </w:rPr>
                        <w:t>El siguiente punto es</w:t>
                      </w:r>
                    </w:p>
                    <w:p w14:paraId="50F2FEE8" w14:textId="77777777" w:rsidR="00F92C50" w:rsidRDefault="00F92C50"/>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E49CDDF" w14:textId="74B4F4A6" w:rsidR="00F92C50" w:rsidRP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097EF6">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f.)","noteIndex":0},"citationItems":[{"id":3,"uris":["http://zotero.org/users/local/qiXCOuzK/items/R887RGAZ"],"uri":["http://zotero.org/users/local/qiXCOuzK/items/R887RGAZ"],"itemData":{"id":3,"type":"webpage","title":"¿En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097EF6" w:rsidRPr="00097EF6">
        <w:rPr>
          <w:rFonts w:cs="Times New Roman"/>
          <w:color w:val="000000"/>
          <w:lang w:val="es-ES_tradnl"/>
        </w:rPr>
        <w:t>(</w:t>
      </w:r>
      <w:r w:rsidR="00097EF6" w:rsidRPr="00097EF6">
        <w:rPr>
          <w:rFonts w:cs="Times New Roman"/>
          <w:i/>
          <w:iCs/>
          <w:color w:val="000000"/>
          <w:lang w:val="es-ES_tradnl"/>
        </w:rPr>
        <w:t>SG-SST</w:t>
      </w:r>
      <w:r w:rsidR="00097EF6" w:rsidRPr="00097EF6">
        <w:rPr>
          <w:rFonts w:cs="Times New Roman"/>
          <w:color w:val="000000"/>
          <w:lang w:val="es-ES_tradnl"/>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Pr="00F92C50">
        <w:rPr>
          <w:rFonts w:eastAsia="Times New Roman" w:cs="Times New Roman"/>
          <w:color w:val="000000"/>
          <w:szCs w:val="24"/>
          <w:lang w:eastAsia="es-CO"/>
        </w:rPr>
        <w:t xml:space="preserve">es un estandar que permite tratar y a su vez prevenir las lesiones y las enfermedades que se pueden generar a los empleados en sus areas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asi como el de mejorar el ambiente en terminos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05F0467A" w:rsidR="00F92C50" w:rsidRDefault="00F92C50" w:rsidP="00F92C50">
      <w:pPr>
        <w:spacing w:line="240" w:lineRule="auto"/>
        <w:ind w:firstLine="720"/>
        <w:rPr>
          <w:rFonts w:eastAsia="Times New Roman" w:cs="Times New Roman"/>
          <w:color w:val="000000"/>
          <w:szCs w:val="24"/>
          <w:lang w:eastAsia="es-CO"/>
        </w:rPr>
      </w:pPr>
      <w:r w:rsidRPr="00F92C50">
        <w:rPr>
          <w:rFonts w:eastAsia="Times New Roman" w:cs="Times New Roman"/>
          <w:color w:val="000000"/>
          <w:szCs w:val="24"/>
          <w:lang w:eastAsia="es-CO"/>
        </w:rPr>
        <w:t>Esto conyeba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compañia,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2F7714">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Trabajo\\uc0\\u8212{}Ministerio del trabajo}, s.\\uc0\\u160{}f.)","plainCitation":"(Sistema de Gestión de Seguridad y Salud en el Trabajo—Ministerio del trabajo, s. f.)","noteIndex":0},"citationItems":[{"id":1,"uris":["http://zotero.org/users/local/qiXCOuzK/items/G95SEWMA"],"uri":["http://zotero.org/users/local/qiXCOuzK/items/G95SEWMA"],"itemData":{"id":1,"type":"webpage","title":"Sistema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2F7714" w:rsidRPr="002F7714">
        <w:rPr>
          <w:rFonts w:cs="Times New Roman"/>
          <w:color w:val="000000"/>
          <w:lang w:val="es-ES_tradnl"/>
        </w:rPr>
        <w:t>(</w:t>
      </w:r>
      <w:r w:rsidR="002F7714" w:rsidRPr="002F7714">
        <w:rPr>
          <w:rFonts w:cs="Times New Roman"/>
          <w:i/>
          <w:iCs/>
          <w:color w:val="000000"/>
          <w:lang w:val="es-ES_tradnl"/>
        </w:rPr>
        <w:t>Sistema de Gestión de Seguridad y Salud en el Trabajo—Ministerio del trabajo</w:t>
      </w:r>
      <w:r w:rsidR="002F7714" w:rsidRPr="002F7714">
        <w:rPr>
          <w:rFonts w:cs="Times New Roman"/>
          <w:color w:val="000000"/>
          <w:lang w:val="es-ES_tradnl"/>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esten aplicando de la manera correcta bajos las distintas areas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4D150AEB" w:rsidR="00097EF6" w:rsidRDefault="00097EF6" w:rsidP="00097EF6">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esta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60EE23D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na buena planificación permite identificar posibles factores de riesgos y crear una estrategia que permita tener una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13DCF8D5"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 beneficiones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77777777" w:rsidR="00097EF6" w:rsidRPr="00097EF6" w:rsidRDefault="00097EF6" w:rsidP="00097EF6">
      <w:pPr>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SG-SST toma como marco de referencia la ISO 45001:2018, la cual nos dice que se debe 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Es una norma creada por ISO (International Organization for Standardzation) y específicamente dirigida a las pequeñas organizaciones las cuales son identificadas como VSE’s (Very Small Entities)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La metodología empleada en este proyecto será Iconix la cual está orientada a equipos de trabajo pequeños, es semi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Emplea el uso dinámico de UML en el diseño como son el diagrama de casos de uso, diagrama de secuencia no se emplean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iniciarse, una postcondición que debe cumplir al terminar si termina correctamente. Se deben describir los casos de uso, como un flujo principal de acciones, pudiendo contener los flujos alternativos y los flujos de excepción. la principal sugerencia de Iconix,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5"/>
      <w:r w:rsidR="00DD6B8A" w:rsidRPr="00E10DFE">
        <w:rPr>
          <w:rFonts w:cs="Times New Roman"/>
          <w:color w:val="0070C0"/>
          <w:szCs w:val="24"/>
        </w:rPr>
        <w:t xml:space="preserve">se citan los autores </w:t>
      </w:r>
      <w:commentRangeEnd w:id="45"/>
      <w:r w:rsidR="00A63C2A" w:rsidRPr="00E10DFE">
        <w:rPr>
          <w:rStyle w:val="Refdecomentario"/>
          <w:color w:val="0070C0"/>
        </w:rPr>
        <w:commentReference w:id="45"/>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r w:rsidR="00F92C50">
        <w:fldChar w:fldCharType="begin"/>
      </w:r>
      <w:r w:rsidR="00F92C50">
        <w:instrText xml:space="preserve"> HYPERLINK "http://search.ebscohost.com/" </w:instrText>
      </w:r>
      <w:r w:rsidR="00F92C50">
        <w:fldChar w:fldCharType="separate"/>
      </w:r>
      <w:r w:rsidR="002925A9" w:rsidRPr="002925A9">
        <w:rPr>
          <w:rStyle w:val="Hipervnculo"/>
          <w:rFonts w:cs="Times New Roman"/>
          <w:szCs w:val="24"/>
        </w:rPr>
        <w:t>http://search.ebscohost.com/</w:t>
      </w:r>
      <w:r w:rsidR="00F92C50">
        <w:rPr>
          <w:rStyle w:val="Hipervnculo"/>
          <w:rFonts w:cs="Times New Roman"/>
          <w:szCs w:val="24"/>
        </w:rPr>
        <w:fldChar w:fldCharType="end"/>
      </w:r>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r w:rsidR="00F92C50">
        <w:fldChar w:fldCharType="begin"/>
      </w:r>
      <w:r w:rsidR="00F92C50">
        <w:instrText xml:space="preserve"> HYPERLINK "http://site.ebrary.com/lib/uniajcsp/home.action" </w:instrText>
      </w:r>
      <w:r w:rsidR="00F92C50">
        <w:fldChar w:fldCharType="separate"/>
      </w:r>
      <w:r w:rsidR="002925A9" w:rsidRPr="002925A9">
        <w:rPr>
          <w:rStyle w:val="Hipervnculo"/>
          <w:rFonts w:cs="Times New Roman"/>
          <w:szCs w:val="24"/>
        </w:rPr>
        <w:t>http://site.ebrary.com/lib/uniajcsp/home.action</w:t>
      </w:r>
      <w:r w:rsidR="00F92C50">
        <w:rPr>
          <w:rStyle w:val="Hipervnculo"/>
          <w:rFonts w:cs="Times New Roman"/>
          <w:szCs w:val="24"/>
        </w:rPr>
        <w:fldChar w:fldCharType="end"/>
      </w:r>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6"/>
      <w:r w:rsidRPr="00D00170">
        <w:rPr>
          <w:rFonts w:cs="Times New Roman"/>
          <w:color w:val="0070C0"/>
          <w:szCs w:val="24"/>
        </w:rPr>
        <w:t>c</w:t>
      </w:r>
      <w:r w:rsidR="004B3744" w:rsidRPr="00D00170">
        <w:rPr>
          <w:rFonts w:cs="Times New Roman"/>
          <w:color w:val="0070C0"/>
          <w:szCs w:val="24"/>
        </w:rPr>
        <w:t>ita</w:t>
      </w:r>
      <w:commentRangeEnd w:id="46"/>
      <w:r w:rsidRPr="00D00170">
        <w:rPr>
          <w:rStyle w:val="Refdecomentario"/>
          <w:color w:val="0070C0"/>
        </w:rPr>
        <w:commentReference w:id="46"/>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7"/>
      <w:r w:rsidRPr="002925A9">
        <w:rPr>
          <w:rFonts w:cs="Times New Roman"/>
          <w:color w:val="0070C0"/>
          <w:szCs w:val="24"/>
        </w:rPr>
        <w:lastRenderedPageBreak/>
        <w:t>(</w:t>
      </w:r>
      <w:commentRangeEnd w:id="47"/>
      <w:r w:rsidRPr="002925A9">
        <w:rPr>
          <w:rStyle w:val="Refdecomentario"/>
          <w:rFonts w:cs="Times New Roman"/>
          <w:color w:val="0070C0"/>
          <w:szCs w:val="24"/>
        </w:rPr>
        <w:commentReference w:id="47"/>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8"/>
      <w:r w:rsidRPr="002925A9">
        <w:rPr>
          <w:rFonts w:cs="Times New Roman"/>
          <w:color w:val="0070C0"/>
          <w:szCs w:val="24"/>
        </w:rPr>
        <w:t>s.f.</w:t>
      </w:r>
      <w:commentRangeEnd w:id="48"/>
      <w:r w:rsidRPr="002925A9">
        <w:rPr>
          <w:rStyle w:val="Refdecomentario"/>
          <w:rFonts w:cs="Times New Roman"/>
          <w:color w:val="0070C0"/>
          <w:szCs w:val="24"/>
        </w:rPr>
        <w:commentReference w:id="48"/>
      </w:r>
      <w:r w:rsidRPr="002925A9">
        <w:rPr>
          <w:rFonts w:cs="Times New Roman"/>
          <w:color w:val="0070C0"/>
          <w:szCs w:val="24"/>
        </w:rPr>
        <w:t xml:space="preserve">) / (Ramírez &amp; Guzmán, s.f., </w:t>
      </w:r>
      <w:commentRangeStart w:id="49"/>
      <w:r w:rsidRPr="002925A9">
        <w:rPr>
          <w:rFonts w:cs="Times New Roman"/>
          <w:color w:val="0070C0"/>
          <w:szCs w:val="24"/>
        </w:rPr>
        <w:t>párr. 2</w:t>
      </w:r>
      <w:commentRangeEnd w:id="49"/>
      <w:r w:rsidRPr="002925A9">
        <w:rPr>
          <w:rStyle w:val="Refdecomentario"/>
          <w:rFonts w:cs="Times New Roman"/>
          <w:color w:val="0070C0"/>
          <w:szCs w:val="24"/>
        </w:rPr>
        <w:commentReference w:id="49"/>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0"/>
      <w:r w:rsidRPr="002925A9">
        <w:rPr>
          <w:rFonts w:cs="Times New Roman"/>
          <w:color w:val="0070C0"/>
          <w:szCs w:val="24"/>
        </w:rPr>
        <w:t>Por</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1"/>
      <w:r w:rsidRPr="002925A9">
        <w:rPr>
          <w:rFonts w:cs="Times New Roman"/>
          <w:color w:val="0070C0"/>
          <w:szCs w:val="24"/>
        </w:rPr>
        <w:t>aspecto discursivo (Ruiz, 2014, p. 107).</w:t>
      </w:r>
      <w:commentRangeEnd w:id="51"/>
      <w:r w:rsidR="00C77DD3" w:rsidRPr="002925A9">
        <w:rPr>
          <w:rStyle w:val="Refdecomentario"/>
          <w:color w:val="0070C0"/>
        </w:rPr>
        <w:commentReference w:id="51"/>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2" w:name="_Toc440985138"/>
      <w:r>
        <w:rPr>
          <w:b/>
        </w:rPr>
        <w:br w:type="page"/>
      </w:r>
      <w:r w:rsidR="002649F5">
        <w:rPr>
          <w:b/>
        </w:rPr>
        <w:lastRenderedPageBreak/>
        <w:t>7</w:t>
      </w:r>
      <w:r w:rsidR="000F2962" w:rsidRPr="00285913">
        <w:rPr>
          <w:b/>
        </w:rPr>
        <w:t xml:space="preserve"> </w:t>
      </w:r>
      <w:bookmarkStart w:id="53" w:name="_Toc440985139"/>
      <w:r w:rsidRPr="00285913">
        <w:rPr>
          <w:b/>
        </w:rPr>
        <w:t>Metodología</w:t>
      </w:r>
      <w:bookmarkEnd w:id="53"/>
    </w:p>
    <w:bookmarkEnd w:id="52"/>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p w14:paraId="315EA5DC" w14:textId="74FFD301" w:rsidR="000F2962" w:rsidRDefault="00C44C0E" w:rsidP="000F2962">
      <w:pPr>
        <w:jc w:val="center"/>
        <w:rPr>
          <w:rFonts w:cs="Times New Roman"/>
          <w:b/>
          <w:szCs w:val="24"/>
        </w:rPr>
      </w:pPr>
      <w:commentRangeStart w:id="54"/>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">
                <v:textbox>
                  <w:txbxContent>
                    <w:p w14:paraId="303DA71C" w14:textId="4D1047ED" w:rsidR="00F92C50" w:rsidRDefault="00F92C50"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F92C50" w:rsidRDefault="00F92C50"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F92C50" w:rsidRPr="00C44C0E" w:rsidRDefault="00F92C50"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F92C50" w:rsidRDefault="00F92C50"/>
                  </w:txbxContent>
                </v:textbox>
                <w10:wrap type="square" anchorx="margin"/>
              </v:shape>
            </w:pict>
          </mc:Fallback>
        </mc:AlternateContent>
      </w:r>
      <w:r w:rsidR="007B5E42">
        <w:rPr>
          <w:rFonts w:cs="Times New Roman"/>
          <w:b/>
          <w:szCs w:val="24"/>
        </w:rPr>
        <w:t xml:space="preserve"> </w:t>
      </w:r>
      <w:commentRangeEnd w:id="54"/>
      <w:r w:rsidR="007B5E42">
        <w:rPr>
          <w:rStyle w:val="Refdecomentario"/>
        </w:rPr>
        <w:commentReference w:id="54"/>
      </w:r>
    </w:p>
    <w:p w14:paraId="06DDC413" w14:textId="0869C69A" w:rsidR="00611D76" w:rsidRDefault="00A71B2F" w:rsidP="000F2962">
      <w:pPr>
        <w:jc w:val="center"/>
        <w:rPr>
          <w:rFonts w:cs="Times New Roman"/>
          <w:b/>
          <w:szCs w:val="24"/>
        </w:rPr>
      </w:pPr>
      <w:commentRangeStart w:id="55"/>
      <w:r>
        <w:rPr>
          <w:rFonts w:cs="Times New Roman"/>
          <w:b/>
          <w:szCs w:val="24"/>
        </w:rPr>
        <w:t xml:space="preserve"> </w:t>
      </w:r>
      <w:commentRangeEnd w:id="55"/>
      <w:r>
        <w:rPr>
          <w:rStyle w:val="Refdecomentario"/>
        </w:rPr>
        <w:commentReference w:id="55"/>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3"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6"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6"/>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7"/>
      <w:r w:rsidRPr="007F16AA">
        <w:rPr>
          <w:rFonts w:cs="Times New Roman"/>
          <w:szCs w:val="24"/>
        </w:rPr>
        <w:t>T</w:t>
      </w:r>
      <w:commentRangeEnd w:id="57"/>
      <w:r w:rsidR="000F68C2" w:rsidRPr="007F16AA">
        <w:rPr>
          <w:rStyle w:val="Refdecomentario"/>
          <w:sz w:val="24"/>
          <w:szCs w:val="24"/>
        </w:rPr>
        <w:commentReference w:id="57"/>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8"/>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8"/>
      <w:r w:rsidR="00B226DE">
        <w:rPr>
          <w:rStyle w:val="Refdecomentario"/>
        </w:rPr>
        <w:commentReference w:id="58"/>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59"/>
      <w:r w:rsidRPr="007F16AA">
        <w:rPr>
          <w:rFonts w:cs="Times New Roman"/>
          <w:szCs w:val="24"/>
        </w:rPr>
        <w:t xml:space="preserve">Tabla 2. </w:t>
      </w:r>
      <w:commentRangeEnd w:id="59"/>
      <w:r w:rsidR="00B226DE">
        <w:rPr>
          <w:rStyle w:val="Refdecomentario"/>
        </w:rPr>
        <w:commentReference w:id="59"/>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0"/>
            <w:r w:rsidRPr="004B3744">
              <w:rPr>
                <w:rFonts w:cs="Times New Roman"/>
                <w:sz w:val="20"/>
                <w:szCs w:val="20"/>
              </w:rPr>
              <w:t>4</w:t>
            </w:r>
            <w:commentRangeEnd w:id="60"/>
            <w:r w:rsidR="00234912">
              <w:rPr>
                <w:rStyle w:val="Refdecomentario"/>
              </w:rPr>
              <w:commentReference w:id="60"/>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1"/>
      <w:r w:rsidR="001A731E">
        <w:rPr>
          <w:rFonts w:cs="Times New Roman"/>
          <w:sz w:val="20"/>
          <w:szCs w:val="20"/>
        </w:rPr>
        <w:t>.</w:t>
      </w:r>
      <w:commentRangeEnd w:id="61"/>
      <w:r w:rsidR="008756D6">
        <w:rPr>
          <w:rStyle w:val="Refdecomentario"/>
        </w:rPr>
        <w:commentReference w:id="61"/>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2" w:name="_Toc440985141"/>
      <w:r>
        <w:rPr>
          <w:b/>
        </w:rPr>
        <w:lastRenderedPageBreak/>
        <w:t>9</w:t>
      </w:r>
      <w:r w:rsidR="000F2962" w:rsidRPr="00285913">
        <w:rPr>
          <w:b/>
        </w:rPr>
        <w:t xml:space="preserve"> Discusión</w:t>
      </w:r>
      <w:bookmarkEnd w:id="62"/>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3" w:name="_Toc440985142"/>
      <w:r>
        <w:rPr>
          <w:b/>
        </w:rPr>
        <w:lastRenderedPageBreak/>
        <w:t>10</w:t>
      </w:r>
      <w:r w:rsidR="000F2962" w:rsidRPr="00285913">
        <w:rPr>
          <w:b/>
        </w:rPr>
        <w:t xml:space="preserve"> Conclusiones</w:t>
      </w:r>
      <w:bookmarkEnd w:id="63"/>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4" w:name="_Toc440985143"/>
      <w:r>
        <w:rPr>
          <w:b/>
        </w:rPr>
        <w:br w:type="page"/>
      </w:r>
      <w:commentRangeStart w:id="65"/>
      <w:r w:rsidR="0065676B" w:rsidRPr="00285913">
        <w:rPr>
          <w:b/>
        </w:rPr>
        <w:lastRenderedPageBreak/>
        <w:t>R</w:t>
      </w:r>
      <w:commentRangeEnd w:id="65"/>
      <w:r w:rsidR="0065676B" w:rsidRPr="00285913">
        <w:rPr>
          <w:rStyle w:val="Refdecomentario"/>
          <w:rFonts w:cs="Times New Roman"/>
          <w:b/>
          <w:szCs w:val="24"/>
        </w:rPr>
        <w:commentReference w:id="65"/>
      </w:r>
      <w:r w:rsidR="0065676B" w:rsidRPr="00285913">
        <w:rPr>
          <w:b/>
        </w:rPr>
        <w:t>eferencias</w:t>
      </w:r>
      <w:bookmarkEnd w:id="64"/>
    </w:p>
    <w:p w14:paraId="654607DE" w14:textId="32DB6E86" w:rsidR="0065676B" w:rsidRDefault="0065676B" w:rsidP="0065676B">
      <w:pPr>
        <w:rPr>
          <w:rFonts w:cs="Times New Roman"/>
          <w:szCs w:val="24"/>
        </w:rPr>
      </w:pPr>
    </w:p>
    <w:p w14:paraId="7D815F95" w14:textId="6DCC6D64" w:rsidR="002F7714" w:rsidRPr="002F7714" w:rsidRDefault="002F7714" w:rsidP="002F7714">
      <w:pPr>
        <w:pStyle w:val="Bibliography"/>
        <w:rPr>
          <w:color w:val="000000" w:themeColor="text1"/>
          <w:lang w:val="es-ES_tradnl"/>
        </w:rPr>
      </w:pPr>
      <w:r w:rsidRPr="002F7714">
        <w:rPr>
          <w:color w:val="000000" w:themeColor="text1"/>
          <w:lang w:val="es-ES_tradnl"/>
        </w:rPr>
        <w:t>¿En qué consiste Sistema Gestión Seguridad Salud Trabajo</w:t>
      </w:r>
      <w:r>
        <w:rPr>
          <w:color w:val="000000" w:themeColor="text1"/>
          <w:lang w:val="es-ES_tradnl"/>
        </w:rPr>
        <w:t xml:space="preserve"> </w:t>
      </w:r>
      <w:r w:rsidRPr="002F7714">
        <w:rPr>
          <w:color w:val="000000" w:themeColor="text1"/>
          <w:lang w:val="es-ES_tradnl"/>
        </w:rPr>
        <w:t>(SG-SST)? (s. f.). Recuperado 15 de abril de 2020, de https://www.isotools.org/2016/09/06/consiste-sistema-gestion-la-seguridad-salud-trabajo-sg-sst/</w:t>
      </w:r>
    </w:p>
    <w:p w14:paraId="272BD2FD" w14:textId="16C5513E" w:rsidR="002F7714" w:rsidRDefault="002F7714" w:rsidP="0065676B">
      <w:pPr>
        <w:rPr>
          <w:rFonts w:cs="Times New Roman"/>
          <w:szCs w:val="24"/>
        </w:rPr>
      </w:pPr>
    </w:p>
    <w:p w14:paraId="33E7A01F" w14:textId="77777777" w:rsidR="002F7714" w:rsidRPr="002F7714" w:rsidRDefault="002F7714" w:rsidP="002F7714">
      <w:pPr>
        <w:pStyle w:val="Bibliography"/>
        <w:rPr>
          <w:color w:val="000000" w:themeColor="text1"/>
          <w:lang w:val="es-ES_tradnl"/>
        </w:rPr>
      </w:pPr>
      <w:r w:rsidRPr="002F7714">
        <w:rPr>
          <w:color w:val="000000" w:themeColor="text1"/>
          <w:lang w:val="es-ES_tradnl"/>
        </w:rPr>
        <w:t>Sistema de Gestión de Seguridad y Salud en el Trabajo—Ministerio del trabajo. (s. f.). Recuperado 15 de abril de 2020, de https://www.mintrabajo.gov.co/relaciones-laborales/riesgos-laborales/sistema-de-gestion-de-seguridad-y-salud-en-el-trabajo</w:t>
      </w:r>
    </w:p>
    <w:p w14:paraId="2ACA7497" w14:textId="77777777" w:rsidR="002F7714" w:rsidRDefault="002F7714" w:rsidP="0065676B">
      <w:pPr>
        <w:rPr>
          <w:rFonts w:cs="Times New Roman"/>
          <w:szCs w:val="24"/>
        </w:rPr>
      </w:pPr>
    </w:p>
    <w:p w14:paraId="4ADF5FE2" w14:textId="766E4ABF" w:rsidR="002F7714" w:rsidRDefault="002F7714" w:rsidP="0065676B">
      <w:pPr>
        <w:rPr>
          <w:rFonts w:cs="Times New Roman"/>
          <w:szCs w:val="24"/>
        </w:rPr>
      </w:pPr>
    </w:p>
    <w:p w14:paraId="763EEAA0" w14:textId="26E16C8E" w:rsidR="0065676B" w:rsidRPr="00241FB2" w:rsidRDefault="0065676B" w:rsidP="0065676B">
      <w:pPr>
        <w:ind w:left="709" w:hanging="709"/>
        <w:rPr>
          <w:rFonts w:cs="Times New Roman"/>
          <w:szCs w:val="24"/>
        </w:rPr>
      </w:pP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310E58EE" w:rsidR="00691DBA" w:rsidRDefault="00691DBA" w:rsidP="00257918">
      <w:pPr>
        <w:rPr>
          <w:rFonts w:cs="Times New Roman"/>
          <w:b/>
          <w:szCs w:val="24"/>
        </w:rPr>
      </w:pPr>
    </w:p>
    <w:p w14:paraId="0E767808" w14:textId="71E78F03" w:rsidR="002F7714" w:rsidRDefault="002F7714" w:rsidP="00257918">
      <w:pPr>
        <w:rPr>
          <w:rFonts w:cs="Times New Roman"/>
          <w:b/>
          <w:szCs w:val="24"/>
        </w:rPr>
      </w:pPr>
    </w:p>
    <w:p w14:paraId="5B666A90" w14:textId="0312F58D" w:rsidR="002F7714" w:rsidRDefault="002F7714" w:rsidP="00257918">
      <w:pPr>
        <w:rPr>
          <w:rFonts w:cs="Times New Roman"/>
          <w:b/>
          <w:szCs w:val="24"/>
        </w:rPr>
      </w:pPr>
    </w:p>
    <w:p w14:paraId="0962D088" w14:textId="2EE6AEA0" w:rsidR="002F7714" w:rsidRDefault="002F7714" w:rsidP="00257918">
      <w:pPr>
        <w:rPr>
          <w:rFonts w:cs="Times New Roman"/>
          <w:b/>
          <w:szCs w:val="24"/>
        </w:rPr>
      </w:pPr>
    </w:p>
    <w:p w14:paraId="62C609F4" w14:textId="6278BE6D" w:rsidR="002F7714" w:rsidRDefault="002F7714" w:rsidP="00257918">
      <w:pPr>
        <w:rPr>
          <w:rFonts w:cs="Times New Roman"/>
          <w:b/>
          <w:szCs w:val="24"/>
        </w:rPr>
      </w:pPr>
    </w:p>
    <w:p w14:paraId="4D2E4998" w14:textId="03CA1893" w:rsidR="002F7714" w:rsidRDefault="002F7714" w:rsidP="00257918">
      <w:pPr>
        <w:rPr>
          <w:rFonts w:cs="Times New Roman"/>
          <w:b/>
          <w:szCs w:val="24"/>
        </w:rPr>
      </w:pPr>
    </w:p>
    <w:p w14:paraId="7B1D7665" w14:textId="77777777" w:rsidR="002F7714" w:rsidRDefault="002F7714"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66" w:name="_Toc440985144"/>
      <w:commentRangeStart w:id="67"/>
      <w:r w:rsidRPr="00285913">
        <w:rPr>
          <w:b/>
        </w:rPr>
        <w:lastRenderedPageBreak/>
        <w:t>A</w:t>
      </w:r>
      <w:commentRangeEnd w:id="67"/>
      <w:r w:rsidR="002225AA">
        <w:rPr>
          <w:rStyle w:val="Refdecomentario"/>
        </w:rPr>
        <w:commentReference w:id="67"/>
      </w:r>
      <w:r w:rsidRPr="00285913">
        <w:rPr>
          <w:b/>
        </w:rPr>
        <w:t>nexos</w:t>
      </w:r>
      <w:bookmarkEnd w:id="66"/>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44B37A56"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{"citationID":"dA0vHXgi","properties":{"formattedCitation":"(Colombia. Presidencia de la Rep\\uc0\\u250{}blica, 1991)","plainCitation":"(Colombia. Presidencia de la República, 1991)","noteIndex":0},"citationItems":[{"id":"njUyAAid/qLbixRJy","uris":["http://www.mendeley.com/documents/?uuid=d0f7b468-8dae-4f0f-aabe-77f0f20387ca"],"uri":["http://www.mendeley.com/documents/?uuid=d0f7b468-8dae-4f0f-aabe-77f0f20387ca"],"itemData":{"author":[{"dropping-particle":"","family":"Colombia. Presidencia de la República","given":"","non-dropping-particle":"","parse-names":false,"suffix":""}],"id":"ITEM-1","issued":{"date-parts":[["1991"]]},"publisher":"Presidencia de la República","publisher-place":"Bogotá","title":"Constitución Política de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{"citationID":"ifUjqmAK","properties":{"formattedCitation":"(Colombia. Congreso de la Rep\\uc0\\u250{}blica, 1994)","plainCitation":"(Colombia. Congreso de la República, 1994)","noteIndex":0},"citationItems":[{"id":"njUyAAid/Vv3hUzy4","uris":["http://www.mendeley.com/documents/?uuid=a010d0e1-1829-47ac-b12c-a2dc6341235d"],"uri":["http://www.mendeley.com/documents/?uuid=a010d0e1-1829-47ac-b12c-a2dc6341235d"],"itemData":{"author":[{"dropping-particle":"","family":"Colombia. Congreso de la República","given":"","non-dropping-particle":"","parse-names":false,"suffix":""}],"id":"ITEM-1","issued":{"date-parts":[["1994"]]},"publisher":"Diario Oficial","publisher-place":"Bogotá","title":"Ley 133 de 1994 (mayo 23): por la cual se desarrolla el Decreto de Libertad Religiosa y de Cultos, reconocido en el artículo 19 de la Constitución Política","type":"book"}}],"schema":"https://github.com/citation-style-language/schema/raw/master/csl-citation.json"}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{"citationID":"qPaEYWxQ","properties":{"formattedCitation":"(Colombia. Presidencia de la Rep\\uc0\\u250{}blica, 1998)","plainCitation":"(Colombia. Presidencia de la República, 1998)","noteIndex":0},"citationItems":[{"id":"njUyAAid/vpxAqbCp","uris":["http://www.mendeley.com/documents/?uuid=85c14078-1558-4238-8786-c8c714ea8a25"],"uri":["http://www.mendeley.com/documents/?uuid=85c14078-1558-4238-8786-c8c714ea8a25"],"itemData":{"author":[{"dropping-particle":"","family":"Colombia. Presidencia de la República","given":"","non-dropping-particle":"","parse-names":false,"suffix":""}],"id":"ITEM-1","issued":{"date-parts":[["1998"]]},"publisher":"Diario Oficial","publisher-place":"Bogotá","title":"Decreto 1504 de 1998: por el cual se Reglamenta el Manejo del Espacio Público en los Planes de Ordenamiento Territorial","type":"book"}}],"schema":"https://github.com/citation-style-language/schema/raw/master/csl-citation.json"}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{"citationID":"I5XMibIL","properties":{"formattedCitation":"(Colombia. Congreso de la Rep\\uc0\\u250{}blica, 2014)","plainCitation":"(Colombia. Congreso de la República, 2014)","noteIndex":0},"citationItems":[{"id":"njUyAAid/9AJRJ6co","uris":["http://www.mendeley.com/documents/?uuid=5beeeb81-7080-47c9-b343-541d5eec8d1b"],"uri":["http://www.mendeley.com/documents/?uuid=5beeeb81-7080-47c9-b343-541d5eec8d1b"],"itemData":{"author":[{"dropping-particle":"","family":"Colombia. Congreso de la República","given":"","non-dropping-particle":"","parse-names":false,"suffix":""}],"id":"ITEM-1","issued":{"date-parts":[["2014"]]},"publisher":"Diario Oficial","publisher-place":"Bogotá","title":"Ley 1733 de 2014: Ley Consuelo Devis Saavedra, mediante la cual se regulan los servicios de cuidados paliativos para el manejo integral de pacientes con enfermedades terminales, crónicas, degenerativas e irreversibles en cualquier fase de la enfermedad de","type":"book"}}],"schema":"https://github.com/citation-style-language/schema/raw/master/csl-citation.json"}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{"citationID":"Ubd7Xnk6","properties":{"formattedCitation":"(Colombia.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{"citationID":"XaZOkhfH","properties":{"formattedCitation":"(Colombia. Corte Constitucional, 2003b)","plainCitation":"(Colombia. Corte Constitucional, 2003b)","noteIndex":0},"citationItems":[{"id":"njUyAAid/R1beqdfC","uris":["http://www.mendeley.com/documents/?uuid=a33d8827-e1be-4527-ae42-4022a1fa5520"],"uri":["http://www.mendeley.com/documents/?uuid=a33d8827-e1be-4527-ae42-4022a1fa5520"],"itemData":{"author":[{"dropping-particle":"","family":"Colombia. Corte Constitucional","given":"","non-dropping-particle":"","parse-names":false,"suffix":""}],"id":"ITEM-1","issued":{"date-parts":[["2003"]]},"publisher":"Corte Constitucional","publisher-place":"Bogotá","title":"Sentencia T-361 de 2003: acción de tutela instaurada por Elkis Patricia Jiménez Castro contra la Universidad Cooperativa de Colombia – Seccional Santa Marta. M.P. Manuel José Cepeda Espinosa","type":"book"}}],"schema":"https://github.com/citation-style-language/schema/raw/master/csl-citation.json"}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{"citationID":"8obRyW0k","properties":{"formattedCitation":"(Colombia. Corte Constitucional, 2006)","plainCitation":"(Colombia. Corte Constitucional, 2006)","noteIndex":0},"citationItems":[{"id":"njUyAAid/E76u5Dln","uris":["http://www.mendeley.com/documents/?uuid=05c296ad-c11d-492a-b1de-75eeb2dd26ff"],"uri":["http://www.mendeley.com/documents/?uuid=05c296ad-c11d-492a-b1de-75eeb2dd26ff"],"itemData":{"author":[{"dropping-particle":"","family":"Colombia. Corte Constitucional","given":"","non-dropping-particle":"","parse-names":false,"suffix":""}],"id":"ITEM-1","issued":{"date-parts":[["2006"]]},"publisher":"Corte Constitucional","publisher-place":"Bogotá","title":"Sentencia T-264 de 2006: acción de tutela instaurada por Fanny Stella Lesmes Galarza, en representación de su menor hijo Paul Andrés Rodríguez Lesmes contra la Universidad de los Andes. M.P. Jaime Araújo Rentería","type":"book"}}],"schema":"https://github.com/citation-style-language/schema/raw/master/csl-citation.json"}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{"citationID":"CHECFL12","properties":{"formattedCitation":"(Colombia. Ministerio de Salud y Protecci\\uc0\\u243{}n Social, 2012)","plainCitation":"(Colombia. Ministerio de Salud y Protección Social, 2012)","noteIndex":0},"citationItems":[{"id":"njUyAAid/InelWFrN","uris":["http://www.mendeley.com/documents/?uuid=bdcf9002-24fe-4a8b-86de-b0fbc26bff55"],"uri":["http://www.mendeley.com/documents/?uuid=bdcf9002-24fe-4a8b-86de-b0fbc26bff55"],"itemData":{"author":[{"dropping-particle":"","family":"Colombia. Ministerio de Salud y Protección Social","given":"","non-dropping-particle":"","parse-names":false,"suffix":""}],"id":"ITEM-1","issued":{"date-parts":[["2012"]]},"publisher":"Diario Oficial","publisher-place":"Bogotá","title":"Resolución 4331 de 2012 (diciembre 19): por medio de la cual se adiciona y modifica parcialmente la Resolución 3047 de 2008 modificada por la resolución 416 de 2009","type":"book"}}],"schema":"https://github.com/citation-style-language/schema/raw/master/csl-citation.json"}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{"citationID":"wPhZ25L2","properties":{"formattedCitation":"(Colombia. Ministerio de Hacienda y Cr\\uc0\\u233{}dito P\\uc0\\u250{}blico. Superintendencia Financiera, 2006)","plainCitation":"(Colombia. Ministerio de Hacienda y Crédito Público. Superintendencia Financiera, 2006)","noteIndex":0},"citationItems":[{"id":"njUyAAid/2mJnuvcq","uris":["http://www.mendeley.com/documents/?uuid=2ed8228f-3088-451a-b639-968c80ff3523"],"uri":["http://www.mendeley.com/documents/?uuid=2ed8228f-3088-451a-b639-968c80ff3523"],"itemData":{"author":[{"dropping-particle":"","family":"Colombia. Ministerio de Hacienda y Crédito Público. Superintendencia Financiera","given":"","non-dropping-particle":"","parse-names":false,"suffix":""}],"id":"ITEM-1","issued":{"date-parts":[["2006"]]},"publisher":"Superfinanciera","publisher-place":"Bogotá","title":"Circular Externa 048 de 2006 (diciembre 22)","type":"article"}}],"schema":"https://github.com/citation-style-language/schema/raw/master/csl-citation.json"}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{"citationID":"54aBA7uS","properties":{"formattedCitation":"(Colombia. Ministerio de Minas y Energ\\uc0\\u237{}a, 2010)","plainCitation":"(Colombia. Ministerio de Minas y Energía, 2010)","noteIndex":0},"citationItems":[{"id":"njUyAAid/aS9GIylR","uris":["http://www.mendeley.com/documents/?uuid=562da189-f966-47d3-8d86-76113522200e"],"uri":["http://www.mendeley.com/documents/?uuid=562da189-f966-47d3-8d86-76113522200e"],"itemData":{"author":[{"dropping-particle":"","family":"Colombia. Ministerio de Minas y Energía","given":"","non-dropping-particle":"","parse-names":false,"suffix":""}],"id":"ITEM-1","issued":{"date-parts":[["2010"]]},"publisher":"Ministerio de Minas y Energìa","publisher-place":"Bogotá","title":"Reglamento técnico de iluminación y alumbrado público","type":"book"}}],"schema":"https://github.com/citation-style-language/schema/raw/master/csl-citation.json"}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{"citationID":"4YQ2enCJ","properties":{"formattedCitation":"(Espa\\uc0\\u241{}a. Ministerio de Trabajo y Asuntos Sociales. Instituto Nacional de Seguridad e Higiene en el Trabajo, 1996)","plainCitation":"(España. Ministerio de Trabajo y Asuntos Sociales. Instituto Nacional de Seguridad e Higiene en el Trabajo, 1996)","noteIndex":0},"citationItems":[{"id":"njUyAAid/SnsczK26","uris":["http://www.mendeley.com/documents/?uuid=afef2af1-6a5c-4584-8ec9-23ba0432e04e"],"uri":["http://www.mendeley.com/documents/?uuid=afef2af1-6a5c-4584-8ec9-23ba0432e04e"],"itemData":{"author":[{"dropping-particle":"","family":"España. Ministerio de Trabajo y Asuntos Sociales. Instituto Nacional de Seguridad e Higiene en el Trabajo","given":"","non-dropping-particle":"","parse-names":false,"suffix":""}],"id":"ITEM-1","issued":{"date-parts":[["1996"]]},"publisher":"INSHT","publisher-place":"Madrid","title":"Evaluación de riesgos laborales","type":"book"}}],"schema":"https://github.com/citation-style-language/schema/raw/master/csl-citation.json"}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{"citationID":"rRS6xirW","properties":{"formattedCitation":"(Colombia. Ministerio de Ambiente Vivienda y Desarrollo Territorial, 2007)","plainCitation":"(Colombia. Ministerio de Ambiente Vivienda y Desarrollo Territorial, 2007)","noteIndex":0},"citationItems":[{"id":"njUyAAid/z1fHKoQS","uris":["http://www.mendeley.com/documents/?uuid=a877f8e6-ddce-4f38-af7e-0bf30c4b6c32"],"uri":["http://www.mendeley.com/documents/?uuid=a877f8e6-ddce-4f38-af7e-0bf30c4b6c32"],"itemData":{"author":[{"dropping-particle":"","family":"Colombia. Ministerio de Ambiente Vivienda y Desarrollo Territorial","given":"","non-dropping-particle":"","parse-names":false,"suffix":""}],"id":"ITEM-1","issued":{"date-parts":[["2007"]]},"publisher":"Diario Oficial","publisher-place":"Bogotá","title":"Decreto 3600 de 2007: por el cual se Reglamentan las Disposiciones de las Leyes 99 de 1993 y 388 de 1997 Relativas a las Determinantes de Ordenamiento del Suelo Rural y al Desarrollo de Actuaciones Urbanísticas de Parcelación y Edificación...","type":"book"}}],"schema":"https://github.com/citation-style-language/schema/raw/master/csl-citation.json"}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 xml:space="preserve">(Colombia. </w:t>
      </w:r>
      <w:r w:rsidR="00097EF6">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{"citationID":"WyCF9p89","properties":{"formattedCitation":"(Colombia. Ministerio de Comunicaciones, 2001)","plainCitation":"(Colombia. Ministerio de Comunicaciones, 2001)","noteIndex":0},"citationItems":[{"id":"njUyAAid/YyGI7M7b","uris":["http://www.mendeley.com/documents/?uuid=085b2126-5c00-464c-8ccd-5cd2b33ecf7c"],"uri":["http://www.mendeley.com/documents/?uuid=085b2126-5c00-464c-8ccd-5cd2b33ecf7c"],"itemData":{"author":[{"dropping-particle":"","family":"Colombia. Ministerio de Comunicaciones","given":"","non-dropping-particle":"","parse-names":false,"suffix":""}],"id":"ITEM-1","issued":{"date-parts":[["2001"]]},"publisher":"Diario Oficial","publisher-place":"Bogotá","title":"Resolución 000797 DE 2001 (junio 8): por la cual se atribuyen unas bandas de frecuencias radioeléctricas para su libre utilización dentro del territorio nacional","type":"book"}}],"schema":"https://github.com/citation-style-language/schema/raw/master/csl-citation.json"}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{"citationID":"8cOwYMJB","properties":{"formattedCitation":"(Colombia. Ministerio de Educaci\\uc0\\u243{}n Nacional, 2006)","plainCitation":"(Colombia. Ministerio de Educación Nacional, 2006)","noteIndex":0},"citationItems":[{"id":"njUyAAid/iFUgfLfz","uris":["http://www.mendeley.com/documents/?uuid=dccfd826-314f-475b-b6e4-e9a442dcc399"],"uri":["http://www.mendeley.com/documents/?uuid=dccfd826-314f-475b-b6e4-e9a442dcc399"],"itemData":{"author":[{"dropping-particle":"","family":"Colombia. Ministerio de Educación Nacional","given":"","non-dropping-particle":"","parse-names":false,"suffix":""}],"id":"ITEM-1","issued":{"date-parts":[["2006"]]},"publisher":"Ministerio de Educación Nacional","publisher-place":"Bogotá","title":"Plan Decenal de Educación 2006-2016: Pacto Social por la Educación","type":"book"}}],"schema":"https://github.com/citation-style-language/schema/raw/master/csl-citation.json"}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{"citationID":"yf6s5LQj","properties":{"formattedCitation":"(Colombia. Corte Constitucional, 2003a)","plainCitation":"(Colombia. Corte Constitucional, 2003a)","noteIndex":0},"citationItems":[{"id":"njUyAAid/aWBzB5Ki","uris":["http://www.mendeley.com/documents/?uuid=06c52074-5279-4694-a4c2-eb709874676f"],"uri":["http://www.mendeley.com/documents/?uuid=06c52074-5279-4694-a4c2-eb709874676f"],"itemData":{"author":[{"dropping-particle":"","family":"Colombia. Corte Constitucional","given":"","non-dropping-particle":"","parse-names":false,"suffix":""}],"id":"ITEM-1","issued":{"date-parts":[["2003"]]},"publisher":"Corte Constitucional","publisher-place":"Bogotá","title":"Sentencia SU.805 de 2003: vía de hecho en proceso de lanzamiento por ocupacion de hecho / debido proceso de querellados - vulneración por actuaciones arbitrarias. M. P. Jaime Córdoba Triviño","type":"book"}}],"schema":"https://github.com/citation-style-language/schema/raw/master/csl-citation.json"} </w:instrText>
      </w:r>
      <w:r w:rsidRPr="007F0415">
        <w:rPr>
          <w:rFonts w:cs="Times New Roman"/>
          <w:color w:val="0070C0"/>
          <w:szCs w:val="24"/>
        </w:rPr>
        <w:fldChar w:fldCharType="separate"/>
      </w:r>
      <w:r w:rsidR="00097EF6">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{"citationID":"aOcg96b3","properties":{"formattedCitation":"(Colombia. Congreso de la Rep\\uc0\\u250{}blica, 2010)","plainCitation":"(Colombia. Congreso de la República, 2010)","noteIndex":0},"citationItems":[{"id":"njUyAAid/mjCSgQPa","uris":["http://www.mendeley.com/documents/?uuid=6c15dd40-8a7e-463c-9a4d-443dec223a1a"],"uri":["http://www.mendeley.com/documents/?uuid=6c15dd40-8a7e-463c-9a4d-443dec223a1a"],"itemData":{"author":[{"dropping-particle":"","family":"Colombia. Congreso de la República","given":"","non-dropping-particle":"","parse-names":false,"suffix":""}],"id":"ITEM-1","issued":{"date-parts":[["2010"]]},"publisher":"Leyer","publisher-place":"Bogotá","title":"Código penal y de procedimiento penal anotado","type":"book"}}],"schema":"https://github.com/citation-style-language/schema/raw/master/csl-citation.json"}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{"citationID":"9rrbHZLw","properties":{"formattedCitation":"(Colombia. Congreso de la Rep\\uc0\\u250{}blica, 2006)","plainCitation":"(Colombia. Congreso de la República, 2006)","noteIndex":0},"citationItems":[{"id":"njUyAAid/dsfVUXqj","uris":["http://www.mendeley.com/documents/?uuid=e7e9b525-0b61-4baa-b722-7e5ebb0288b7"],"uri":["http://www.mendeley.com/documents/?uuid=e7e9b525-0b61-4baa-b722-7e5ebb0288b7"],"itemData":{"author":[{"dropping-particle":"","family":"Colombia. Congreso de la República","given":"","non-dropping-particle":"","parse-names":false,"suffix":""}],"id":"ITEM-1","issued":{"date-parts":[["2006"]]},"publisher":"Diario Oficial","publisher-place":"Bogotá","title":"Ley 1098 de 2006 (noviembre 8): por la cual se expide el Código de la Infancia y la Adolescencia en Colombia","type":"book"}}],"schema":"https://github.com/citation-style-language/schema/raw/master/csl-citation.json"}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{"citationID":"TLzWCqA5","properties":{"formattedCitation":"(Colombia. Contralor\\uc0\\u237{}a General de la Naci\\uc0\\u243{}n, 2003)","plainCitation":"(Colombia. Contraloría General de la Nación, 2003)","noteIndex":0},"citationItems":[{"id":"njUyAAid/5gK2kIe8","uris":["http://www.mendeley.com/documents/?uuid=59b1f59b-5696-4f08-946c-4dffe920eb19"],"uri":["http://www.mendeley.com/documents/?uuid=59b1f59b-5696-4f08-946c-4dffe920eb19"],"itemData":{"author":[{"dropping-particle":"","family":"Colombia. Contraloría General de la Nación","given":"","non-dropping-particle":"","parse-names":false,"suffix":""}],"id":"ITEM-1","issued":{"date-parts":[["2003"]]},"publisher":"Contraloría","publisher-place":"Bogotá","title":"La deserción escolar en la educación básica media","type":"book"}}],"schema":"https://github.com/citation-style-language/schema/raw/master/csl-citation.json"}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{"citationID":"VachM7XT","properties":{"formattedCitation":"(Colombia. Unidad Nacional para la Gesti\\uc0\\u243{}n del Riesgo de Desastres, 2012)","plainCitation":"(Colombia. Unidad Nacional para la Gestión del Riesgo de Desastres, 2012)","noteIndex":0},"citationItems":[{"id":"njUyAAid/YRC8p6Ii","uris":["http://www.mendeley.com/documents/?uuid=834b613d-14e9-4084-8123-3e9b4dc2b962"],"uri":["http://www.mendeley.com/documents/?uuid=834b613d-14e9-4084-8123-3e9b4dc2b962"],"itemData":{"author":[{"dropping-particle":"","family":"Colombia. Unidad Nacional para la Gestión del Riesgo de Desastres","given":"","non-dropping-particle":"","parse-names":false,"suffix":""}],"id":"ITEM-1","issued":{"date-parts":[["2012"]]},"publisher":"Sistema Nacional de Gestión del Riesgo de Desastres","publisher-place":"Bogotá","title":"Guía para la formulación del Plan Municipal de Gestión del Riesgo de Desastres","type":"book"}}],"schema":"https://github.com/citation-style-language/schema/raw/master/csl-citation.json"}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{"citationID":"Teen1NZg","properties":{"formattedCitation":"(Colombia. Departamento Administrativo Nacional de Estad\\uc0\\u237{}stica -DANE-, 2011)","plainCitation":"(Colombia. Departamento Administrativo Nacional de Estadística -DANE-, 2011)","noteIndex":0},"citationItems":[{"id":"njUyAAid/jgiIZEEi","uris":["http://www.mendeley.com/documents/?uuid=5217f7d3-bd13-4e4f-b52a-af4628fb755f"],"uri":["http://www.mendeley.com/documents/?uuid=5217f7d3-bd13-4e4f-b52a-af4628fb755f"],"itemData":{"author":[{"dropping-particle":"","family":"Colombia. Departamento Administrativo Nacional de Estadística -DANE-","given":"","non-dropping-particle":"","parse-names":false,"suffix":""}],"id":"ITEM-1","issued":{"date-parts":[["2011"]]},"publisher":"DANE","publisher-place":"Bogotá","title":"Encuesta de convivencia escolar y circunstancias que la afectan - ECECA, para estudiantes de 5º a 11º de Bogotá","type":"book"}}],"schema":"https://github.com/citation-style-language/schema/raw/master/csl-citation.json"}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{"citationID":"5OiiJqfo","properties":{"formattedCitation":"(Colombia. Departamento Administrativo de Ciencia Tecnolog\\uc0\\u237{}a e Innovaci\\uc0\\u243{}n -Colciencias-, 2015)","plainCitation":"(Colombia. Departamento Administrativo de Ciencia Tecnología e Innovación -Colciencias-, 2015)","noteIndex":0},"citationItems":[{"id":"njUyAAid/HY68FEQZ","uris":["http://www.mendeley.com/documents/?uuid=d17ce864-82ff-4f20-8cdc-790a002fa3b5"],"uri":["http://www.mendeley.com/documents/?uuid=d17ce864-82ff-4f20-8cdc-790a002fa3b5"],"itemData":{"author":[{"dropping-particle":"","family":"Colombia. Departamento Administrativo de Ciencia Tecnología e Innovación -Colciencias-","given":"","non-dropping-particle":"","parse-names":false,"suffix":""}],"id":"ITEM-1","issued":{"date-parts":[["2015"]]},"publisher":"Colciencias","publisher-place":"Bogotá","title":"Resultados finales de la Convocatoria Nacional para el Reconocimiento y Medición de Grupos de Investigación, Desarrollo Tecnológico o de Innovación y para el Reconocimiento de Investigadores del SNCTeI","type":"book"}}],"schema":"https://github.com/citation-style-language/schema/raw/master/csl-citation.json"}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00097EF6">
        <w:rPr>
          <w:rFonts w:cs="Times New Roman"/>
          <w:color w:val="0070C0"/>
          <w:szCs w:val="24"/>
        </w:rPr>
        <w:instrText xml:space="preserve"> ADDIN ZOTERO_ITEM CSL_CITATION {"citationID":"aiH7CPWL","properties":{"formattedCitation":"(Colombia. Procuradur\\uc0\\u237{}a General de la Naci\\uc0\\u243{}n, 2012)","plainCitation":"(Colombia. Procuraduría General de la Nación, 2012)","noteIndex":0},"citationItems":[{"id":"njUyAAid/RTNgNIOF","uris":["http://www.mendeley.com/documents/?uuid=879352ab-83d4-42f6-91b5-1741423a4851"],"uri":["http://www.mendeley.com/documents/?uuid=879352ab-83d4-42f6-91b5-1741423a4851"],"itemData":{"author":[{"dropping-particle":"","family":"Colombia. Procuraduría General de la Nación","given":"","non-dropping-particle":"","parse-names":false,"suffix":""}],"id":"ITEM-1","issued":{"date-parts":[["2012"]]},"publisher":"Procuraduría General de la Nación","publisher-place":"Bogotá","title":"Financiamiento del Sistema General de Seguridad Social en Salud: seguimiento y control preventivo a las políticas públicas","type":"book"}}],"schema":"https://github.com/citation-style-language/schema/raw/master/csl-citation.json"} </w:instrText>
      </w:r>
      <w:r w:rsidRPr="007F0415">
        <w:rPr>
          <w:rFonts w:cs="Times New Roman"/>
          <w:color w:val="0070C0"/>
          <w:szCs w:val="24"/>
        </w:rPr>
        <w:fldChar w:fldCharType="separate"/>
      </w:r>
      <w:r w:rsidR="00097EF6" w:rsidRPr="00097EF6">
        <w:rPr>
          <w:rFonts w:cs="Times New Roman"/>
          <w:color w:val="008080"/>
          <w:lang w:val="es-ES_tradnl"/>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12BD42EC" w14:textId="77777777" w:rsidR="002F7714" w:rsidRPr="002F7714" w:rsidRDefault="00572C56" w:rsidP="002F7714">
      <w:pPr>
        <w:pStyle w:val="Bibliography"/>
        <w:rPr>
          <w:color w:val="008080"/>
          <w:lang w:val="es-ES_tradnl"/>
        </w:rPr>
      </w:pPr>
      <w:r w:rsidRPr="00F30107">
        <w:fldChar w:fldCharType="begin" w:fldLock="1"/>
      </w:r>
      <w:r w:rsidR="002F7714">
        <w:instrText xml:space="preserve"> ADDIN ZOTERO_BIBL {"uncited":[],"omitted":[],"custom":[]} CSL_BIBLIOGRAPHY </w:instrText>
      </w:r>
      <w:r w:rsidRPr="00F30107">
        <w:fldChar w:fldCharType="separate"/>
      </w:r>
      <w:r w:rsidR="002F7714" w:rsidRPr="002F7714">
        <w:rPr>
          <w:color w:val="008080"/>
          <w:lang w:val="es-ES_tradnl"/>
        </w:rPr>
        <w:t>Colombia. Congreso de la República. (1994). Ley 133 de 1994 (mayo 23): Por la cual se desarrolla el Decreto de Libertad Religiosa y de Cultos, reconocido en el artículo 19 de la Constitución Política. Diario Oficial.</w:t>
      </w:r>
    </w:p>
    <w:p w14:paraId="01BD1EFF" w14:textId="77777777" w:rsidR="002F7714" w:rsidRPr="002F7714" w:rsidRDefault="002F7714" w:rsidP="002F7714">
      <w:pPr>
        <w:pStyle w:val="Bibliography"/>
        <w:rPr>
          <w:color w:val="008080"/>
          <w:lang w:val="es-ES_tradnl"/>
        </w:rPr>
      </w:pPr>
      <w:r w:rsidRPr="002F7714">
        <w:rPr>
          <w:color w:val="008080"/>
          <w:lang w:val="es-ES_tradnl"/>
        </w:rPr>
        <w:t>Colombia. Congreso de la República. (2006). Ley 1098 de 2006 (noviembre 8): Por la cual se expide el Código de la Infancia y la Adolescencia en Colombia. Diario Oficial.</w:t>
      </w:r>
    </w:p>
    <w:p w14:paraId="4F5AC625" w14:textId="77777777" w:rsidR="002F7714" w:rsidRPr="002F7714" w:rsidRDefault="002F7714" w:rsidP="002F7714">
      <w:pPr>
        <w:pStyle w:val="Bibliography"/>
        <w:rPr>
          <w:color w:val="008080"/>
          <w:lang w:val="es-ES_tradnl"/>
        </w:rPr>
      </w:pPr>
      <w:r w:rsidRPr="002F7714">
        <w:rPr>
          <w:color w:val="008080"/>
          <w:lang w:val="es-ES_tradnl"/>
        </w:rPr>
        <w:t xml:space="preserve">Colombia. Congreso de la República. (2010). Código penal y de procedimiento penal anotado. </w:t>
      </w:r>
      <w:proofErr w:type="spellStart"/>
      <w:r w:rsidRPr="002F7714">
        <w:rPr>
          <w:color w:val="008080"/>
          <w:lang w:val="es-ES_tradnl"/>
        </w:rPr>
        <w:t>Leyer</w:t>
      </w:r>
      <w:proofErr w:type="spellEnd"/>
      <w:r w:rsidRPr="002F7714">
        <w:rPr>
          <w:color w:val="008080"/>
          <w:lang w:val="es-ES_tradnl"/>
        </w:rPr>
        <w:t>.</w:t>
      </w:r>
    </w:p>
    <w:p w14:paraId="68706B68" w14:textId="77777777" w:rsidR="002F7714" w:rsidRPr="002F7714" w:rsidRDefault="002F7714" w:rsidP="002F7714">
      <w:pPr>
        <w:pStyle w:val="Bibliography"/>
        <w:rPr>
          <w:color w:val="008080"/>
          <w:lang w:val="es-ES_tradnl"/>
        </w:rPr>
      </w:pPr>
      <w:r w:rsidRPr="002F7714">
        <w:rPr>
          <w:color w:val="008080"/>
          <w:lang w:val="es-ES_tradnl"/>
        </w:rPr>
        <w:t xml:space="preserve">Colombia. Congreso de la República. (2014). Ley 1733 de 2014: Ley Consuelo </w:t>
      </w:r>
      <w:proofErr w:type="spellStart"/>
      <w:r w:rsidRPr="002F7714">
        <w:rPr>
          <w:color w:val="008080"/>
          <w:lang w:val="es-ES_tradnl"/>
        </w:rPr>
        <w:t>Devis</w:t>
      </w:r>
      <w:proofErr w:type="spellEnd"/>
      <w:r w:rsidRPr="002F7714">
        <w:rPr>
          <w:color w:val="008080"/>
          <w:lang w:val="es-ES_tradnl"/>
        </w:rPr>
        <w:t xml:space="preserve"> Saavedra, mediante la cual se regulan los servicios de cuidados paliativos para el manejo integral de pacientes con enfermedades terminales, crónicas, degenerativas e irreversibles en cualquier fase de la enfermedad de. Diario Oficial.</w:t>
      </w:r>
    </w:p>
    <w:p w14:paraId="3BD57030" w14:textId="77777777" w:rsidR="002F7714" w:rsidRPr="002F7714" w:rsidRDefault="002F7714" w:rsidP="002F7714">
      <w:pPr>
        <w:pStyle w:val="Bibliography"/>
        <w:rPr>
          <w:color w:val="008080"/>
          <w:lang w:val="es-ES_tradnl"/>
        </w:rPr>
      </w:pPr>
      <w:r w:rsidRPr="002F7714">
        <w:rPr>
          <w:color w:val="008080"/>
          <w:lang w:val="es-ES_tradnl"/>
        </w:rPr>
        <w:t>Colombia. Contraloría General de la Nación. (2003). La deserción escolar en la educación básica media. Contraloría.</w:t>
      </w:r>
    </w:p>
    <w:p w14:paraId="063DC180" w14:textId="77777777" w:rsidR="002F7714" w:rsidRPr="002F7714" w:rsidRDefault="002F7714" w:rsidP="002F7714">
      <w:pPr>
        <w:pStyle w:val="Bibliography"/>
        <w:rPr>
          <w:color w:val="008080"/>
          <w:lang w:val="es-ES_tradnl"/>
        </w:rPr>
      </w:pPr>
      <w:r w:rsidRPr="002F7714">
        <w:rPr>
          <w:color w:val="008080"/>
          <w:lang w:val="es-ES_tradnl"/>
        </w:rPr>
        <w:lastRenderedPageBreak/>
        <w:t xml:space="preserve">Colombia. Corte Constitucional. (2003a). Sentencia SU.805 de 2003: Vía de hecho en proceso de lanzamiento por </w:t>
      </w:r>
      <w:proofErr w:type="spellStart"/>
      <w:r w:rsidRPr="002F7714">
        <w:rPr>
          <w:color w:val="008080"/>
          <w:lang w:val="es-ES_tradnl"/>
        </w:rPr>
        <w:t>ocupacion</w:t>
      </w:r>
      <w:proofErr w:type="spellEnd"/>
      <w:r w:rsidRPr="002F7714">
        <w:rPr>
          <w:color w:val="008080"/>
          <w:lang w:val="es-ES_tradnl"/>
        </w:rPr>
        <w:t xml:space="preserve"> de hecho / debido proceso de querellados—Vulneración por actuaciones arbitrarias. M. P. Jaime Córdoba Triviño. Corte Constitucional.</w:t>
      </w:r>
    </w:p>
    <w:p w14:paraId="0A34F9BC" w14:textId="77777777" w:rsidR="002F7714" w:rsidRPr="002F7714" w:rsidRDefault="002F7714" w:rsidP="002F7714">
      <w:pPr>
        <w:pStyle w:val="Bibliography"/>
        <w:rPr>
          <w:color w:val="008080"/>
          <w:lang w:val="es-ES_tradnl"/>
        </w:rPr>
      </w:pPr>
      <w:r w:rsidRPr="002F7714">
        <w:rPr>
          <w:color w:val="008080"/>
          <w:lang w:val="es-ES_tradnl"/>
        </w:rPr>
        <w:t xml:space="preserve">Colombia. Corte Constitucional. (2003b). Sentencia T-361 de 2003: Acción de tutela instaurada por </w:t>
      </w:r>
      <w:proofErr w:type="spellStart"/>
      <w:r w:rsidRPr="002F7714">
        <w:rPr>
          <w:color w:val="008080"/>
          <w:lang w:val="es-ES_tradnl"/>
        </w:rPr>
        <w:t>Elkis</w:t>
      </w:r>
      <w:proofErr w:type="spellEnd"/>
      <w:r w:rsidRPr="002F7714">
        <w:rPr>
          <w:color w:val="008080"/>
          <w:lang w:val="es-ES_tradnl"/>
        </w:rPr>
        <w:t xml:space="preserve"> Patricia Jiménez Castro contra la Universidad Cooperativa de Colombia – Seccional Santa Marta. M.P. Manuel José Cepeda Espinosa. Corte Constitucional.</w:t>
      </w:r>
    </w:p>
    <w:p w14:paraId="2D5D578C" w14:textId="77777777" w:rsidR="002F7714" w:rsidRPr="002F7714" w:rsidRDefault="002F7714" w:rsidP="002F7714">
      <w:pPr>
        <w:pStyle w:val="Bibliography"/>
        <w:rPr>
          <w:color w:val="008080"/>
          <w:lang w:val="es-ES_tradnl"/>
        </w:rPr>
      </w:pPr>
      <w:r w:rsidRPr="002F7714">
        <w:rPr>
          <w:color w:val="008080"/>
          <w:lang w:val="es-ES_tradnl"/>
        </w:rPr>
        <w:t xml:space="preserve">Colombia. Corte Constitucional. (2006). Sentencia T-264 de 2006: Acción de tutela instaurada por Fanny Stella </w:t>
      </w:r>
      <w:proofErr w:type="spellStart"/>
      <w:r w:rsidRPr="002F7714">
        <w:rPr>
          <w:color w:val="008080"/>
          <w:lang w:val="es-ES_tradnl"/>
        </w:rPr>
        <w:t>Lesmes</w:t>
      </w:r>
      <w:proofErr w:type="spellEnd"/>
      <w:r w:rsidRPr="002F7714">
        <w:rPr>
          <w:color w:val="008080"/>
          <w:lang w:val="es-ES_tradnl"/>
        </w:rPr>
        <w:t xml:space="preserve"> Galarza, en representación de su menor hijo Paul Andrés Rodríguez </w:t>
      </w:r>
      <w:proofErr w:type="spellStart"/>
      <w:r w:rsidRPr="002F7714">
        <w:rPr>
          <w:color w:val="008080"/>
          <w:lang w:val="es-ES_tradnl"/>
        </w:rPr>
        <w:t>Lesmes</w:t>
      </w:r>
      <w:proofErr w:type="spellEnd"/>
      <w:r w:rsidRPr="002F7714">
        <w:rPr>
          <w:color w:val="008080"/>
          <w:lang w:val="es-ES_tradnl"/>
        </w:rPr>
        <w:t xml:space="preserve"> contra la Universidad de los Andes. M.P. Jaime </w:t>
      </w:r>
      <w:proofErr w:type="spellStart"/>
      <w:r w:rsidRPr="002F7714">
        <w:rPr>
          <w:color w:val="008080"/>
          <w:lang w:val="es-ES_tradnl"/>
        </w:rPr>
        <w:t>Araújo</w:t>
      </w:r>
      <w:proofErr w:type="spellEnd"/>
      <w:r w:rsidRPr="002F7714">
        <w:rPr>
          <w:color w:val="008080"/>
          <w:lang w:val="es-ES_tradnl"/>
        </w:rPr>
        <w:t xml:space="preserve"> Rentería. Corte Constitucional.</w:t>
      </w:r>
    </w:p>
    <w:p w14:paraId="70F45CD0" w14:textId="77777777" w:rsidR="002F7714" w:rsidRPr="002F7714" w:rsidRDefault="002F7714" w:rsidP="002F7714">
      <w:pPr>
        <w:pStyle w:val="Bibliography"/>
        <w:rPr>
          <w:color w:val="008080"/>
          <w:lang w:val="es-ES_tradnl"/>
        </w:rPr>
      </w:pPr>
      <w:r w:rsidRPr="002F7714">
        <w:rPr>
          <w:color w:val="008080"/>
          <w:lang w:val="es-ES_tradnl"/>
        </w:rPr>
        <w:t xml:space="preserve">Colombia. Departamento Administrativo de Ciencia Tecnología e Innovación -Colciencias-. (2015). Resultados finales de la Convocatoria Nacional para el Reconocimiento y Medición de Grupos de Investigación, Desarrollo Tecnológico o de Innovación y para el Reconocimiento de Investigadores del </w:t>
      </w:r>
      <w:proofErr w:type="spellStart"/>
      <w:r w:rsidRPr="002F7714">
        <w:rPr>
          <w:color w:val="008080"/>
          <w:lang w:val="es-ES_tradnl"/>
        </w:rPr>
        <w:t>SNCTeI</w:t>
      </w:r>
      <w:proofErr w:type="spellEnd"/>
      <w:r w:rsidRPr="002F7714">
        <w:rPr>
          <w:color w:val="008080"/>
          <w:lang w:val="es-ES_tradnl"/>
        </w:rPr>
        <w:t>. Colciencias.</w:t>
      </w:r>
    </w:p>
    <w:p w14:paraId="69999849" w14:textId="77777777" w:rsidR="002F7714" w:rsidRPr="002F7714" w:rsidRDefault="002F7714" w:rsidP="002F7714">
      <w:pPr>
        <w:pStyle w:val="Bibliography"/>
        <w:rPr>
          <w:color w:val="008080"/>
          <w:lang w:val="es-ES_tradnl"/>
        </w:rPr>
      </w:pPr>
      <w:r w:rsidRPr="002F7714">
        <w:rPr>
          <w:color w:val="008080"/>
          <w:lang w:val="es-ES_tradnl"/>
        </w:rPr>
        <w:t>Colombia. Departamento Administrativo Nacional de Estadística -DANE-. (2011). Encuesta de convivencia escolar y circunstancias que la afectan—ECECA, para estudiantes de 5</w:t>
      </w:r>
      <w:r w:rsidRPr="002F7714">
        <w:rPr>
          <w:color w:val="008080"/>
          <w:vertAlign w:val="superscript"/>
          <w:lang w:val="es-ES_tradnl"/>
        </w:rPr>
        <w:t>o</w:t>
      </w:r>
      <w:r w:rsidRPr="002F7714">
        <w:rPr>
          <w:color w:val="008080"/>
          <w:lang w:val="es-ES_tradnl"/>
        </w:rPr>
        <w:t xml:space="preserve"> a 11</w:t>
      </w:r>
      <w:r w:rsidRPr="002F7714">
        <w:rPr>
          <w:color w:val="008080"/>
          <w:vertAlign w:val="superscript"/>
          <w:lang w:val="es-ES_tradnl"/>
        </w:rPr>
        <w:t>o</w:t>
      </w:r>
      <w:r w:rsidRPr="002F7714">
        <w:rPr>
          <w:color w:val="008080"/>
          <w:lang w:val="es-ES_tradnl"/>
        </w:rPr>
        <w:t xml:space="preserve"> de Bogotá. DANE.</w:t>
      </w:r>
    </w:p>
    <w:p w14:paraId="44742B1F" w14:textId="77777777" w:rsidR="002F7714" w:rsidRPr="002F7714" w:rsidRDefault="002F7714" w:rsidP="002F7714">
      <w:pPr>
        <w:pStyle w:val="Bibliography"/>
        <w:rPr>
          <w:color w:val="008080"/>
          <w:lang w:val="es-ES_tradnl"/>
        </w:rPr>
      </w:pPr>
      <w:r w:rsidRPr="002F7714">
        <w:rPr>
          <w:color w:val="008080"/>
          <w:lang w:val="es-ES_tradnl"/>
        </w:rPr>
        <w:t>Colombia. Ministerio de Ambiente Vivienda y Desarrollo Territorial. (2007). Decreto 3600 de 2007: Por el cual se Reglamentan las Disposiciones de las Leyes 99 de 1993 y 388 de 1997 Relativas a las Determinantes de Ordenamiento del Suelo Rural y al Desarrollo de Actuaciones Urbanísticas de Parcelación y Edificación... Diario Oficial.</w:t>
      </w:r>
    </w:p>
    <w:p w14:paraId="37A70EBE" w14:textId="77777777" w:rsidR="002F7714" w:rsidRPr="002F7714" w:rsidRDefault="002F7714" w:rsidP="002F7714">
      <w:pPr>
        <w:pStyle w:val="Bibliography"/>
        <w:rPr>
          <w:color w:val="008080"/>
          <w:lang w:val="es-ES_tradnl"/>
        </w:rPr>
      </w:pPr>
      <w:r w:rsidRPr="002F7714">
        <w:rPr>
          <w:color w:val="008080"/>
          <w:lang w:val="es-ES_tradnl"/>
        </w:rPr>
        <w:lastRenderedPageBreak/>
        <w:t>Colombia. Ministerio de Comunicaciones. (2001). Resolución 000797 DE 2001 (junio 8): Por la cual se atribuyen unas bandas de frecuencias radioeléctricas para su libre utilización dentro del territorio nacional. Diario Oficial.</w:t>
      </w:r>
    </w:p>
    <w:p w14:paraId="1EED57A2" w14:textId="77777777" w:rsidR="002F7714" w:rsidRPr="002F7714" w:rsidRDefault="002F7714" w:rsidP="002F7714">
      <w:pPr>
        <w:pStyle w:val="Bibliography"/>
        <w:rPr>
          <w:color w:val="008080"/>
          <w:lang w:val="es-ES_tradnl"/>
        </w:rPr>
      </w:pPr>
      <w:r w:rsidRPr="002F7714">
        <w:rPr>
          <w:color w:val="008080"/>
          <w:lang w:val="es-ES_tradnl"/>
        </w:rPr>
        <w:t>Colombia. Ministerio de Educación Nacional. (2006). Plan Decenal de Educación 2006-2016: Pacto Social por la Educación. Ministerio de Educación Nacional.</w:t>
      </w:r>
    </w:p>
    <w:p w14:paraId="124795B4" w14:textId="77777777" w:rsidR="002F7714" w:rsidRPr="002F7714" w:rsidRDefault="002F7714" w:rsidP="002F7714">
      <w:pPr>
        <w:pStyle w:val="Bibliography"/>
        <w:rPr>
          <w:color w:val="008080"/>
          <w:lang w:val="es-ES_tradnl"/>
        </w:rPr>
      </w:pPr>
      <w:r w:rsidRPr="002F7714">
        <w:rPr>
          <w:color w:val="008080"/>
          <w:lang w:val="es-ES_tradnl"/>
        </w:rPr>
        <w:t xml:space="preserve">Colombia. Ministerio de Hacienda y Crédito Público. Superintendencia Financiera. (2006). Circular Externa 048 de 2006 (diciembre 22). </w:t>
      </w:r>
      <w:proofErr w:type="spellStart"/>
      <w:r w:rsidRPr="002F7714">
        <w:rPr>
          <w:color w:val="008080"/>
          <w:lang w:val="es-ES_tradnl"/>
        </w:rPr>
        <w:t>Superfinanciera</w:t>
      </w:r>
      <w:proofErr w:type="spellEnd"/>
      <w:r w:rsidRPr="002F7714">
        <w:rPr>
          <w:color w:val="008080"/>
          <w:lang w:val="es-ES_tradnl"/>
        </w:rPr>
        <w:t>.</w:t>
      </w:r>
    </w:p>
    <w:p w14:paraId="5F46E88A" w14:textId="77777777" w:rsidR="002F7714" w:rsidRPr="002F7714" w:rsidRDefault="002F7714" w:rsidP="002F7714">
      <w:pPr>
        <w:pStyle w:val="Bibliography"/>
        <w:rPr>
          <w:color w:val="008080"/>
          <w:lang w:val="es-ES_tradnl"/>
        </w:rPr>
      </w:pPr>
      <w:r w:rsidRPr="002F7714">
        <w:rPr>
          <w:color w:val="008080"/>
          <w:lang w:val="es-ES_tradnl"/>
        </w:rPr>
        <w:t xml:space="preserve">Colombia. Ministerio de Minas y Energía. (2010). Reglamento técnico de iluminación y alumbrado público. Ministerio de Minas y </w:t>
      </w:r>
      <w:proofErr w:type="spellStart"/>
      <w:r w:rsidRPr="002F7714">
        <w:rPr>
          <w:color w:val="008080"/>
          <w:lang w:val="es-ES_tradnl"/>
        </w:rPr>
        <w:t>Energìa</w:t>
      </w:r>
      <w:proofErr w:type="spellEnd"/>
      <w:r w:rsidRPr="002F7714">
        <w:rPr>
          <w:color w:val="008080"/>
          <w:lang w:val="es-ES_tradnl"/>
        </w:rPr>
        <w:t>.</w:t>
      </w:r>
    </w:p>
    <w:p w14:paraId="3E53E148" w14:textId="77777777" w:rsidR="002F7714" w:rsidRPr="002F7714" w:rsidRDefault="002F7714" w:rsidP="002F7714">
      <w:pPr>
        <w:pStyle w:val="Bibliography"/>
        <w:rPr>
          <w:color w:val="008080"/>
          <w:lang w:val="es-ES_tradnl"/>
        </w:rPr>
      </w:pPr>
      <w:r w:rsidRPr="002F7714">
        <w:rPr>
          <w:color w:val="008080"/>
          <w:lang w:val="es-ES_tradnl"/>
        </w:rPr>
        <w:t>Colombia. Ministerio de Salud y Protección Social. (2012). Resolución 4331 de 2012 (diciembre 19): Por medio de la cual se adiciona y modifica parcialmente la Resolución 3047 de 2008 modificada por la resolución 416 de 2009. Diario Oficial.</w:t>
      </w:r>
    </w:p>
    <w:p w14:paraId="32F65741" w14:textId="77777777" w:rsidR="002F7714" w:rsidRPr="002F7714" w:rsidRDefault="002F7714" w:rsidP="002F7714">
      <w:pPr>
        <w:pStyle w:val="Bibliography"/>
        <w:rPr>
          <w:color w:val="008080"/>
          <w:lang w:val="es-ES_tradnl"/>
        </w:rPr>
      </w:pPr>
      <w:r w:rsidRPr="002F7714">
        <w:rPr>
          <w:color w:val="008080"/>
          <w:lang w:val="es-ES_tradnl"/>
        </w:rPr>
        <w:t>Colombia. Presidencia de la República. (1991). Constitución Política de Colombia. Presidencia de la República.</w:t>
      </w:r>
    </w:p>
    <w:p w14:paraId="2F7E391F" w14:textId="77777777" w:rsidR="002F7714" w:rsidRPr="002F7714" w:rsidRDefault="002F7714" w:rsidP="002F7714">
      <w:pPr>
        <w:pStyle w:val="Bibliography"/>
        <w:rPr>
          <w:color w:val="008080"/>
          <w:lang w:val="es-ES_tradnl"/>
        </w:rPr>
      </w:pPr>
      <w:r w:rsidRPr="002F7714">
        <w:rPr>
          <w:color w:val="008080"/>
          <w:lang w:val="es-ES_tradnl"/>
        </w:rPr>
        <w:t>Colombia. Presidencia de la República. (1998). Decreto 1504 de 1998: Por el cual se Reglamenta el Manejo del Espacio Público en los Planes de Ordenamiento Territorial. Diario Oficial.</w:t>
      </w:r>
    </w:p>
    <w:p w14:paraId="1862324E" w14:textId="77777777" w:rsidR="002F7714" w:rsidRPr="002F7714" w:rsidRDefault="002F7714" w:rsidP="002F7714">
      <w:pPr>
        <w:pStyle w:val="Bibliography"/>
        <w:rPr>
          <w:color w:val="008080"/>
          <w:lang w:val="es-ES_tradnl"/>
        </w:rPr>
      </w:pPr>
      <w:r w:rsidRPr="002F7714">
        <w:rPr>
          <w:color w:val="008080"/>
          <w:lang w:val="es-ES_tradnl"/>
        </w:rPr>
        <w:t>Colombia. Procuraduría General de la Nación. (2012). Financiamiento del Sistema General de Seguridad Social en Salud: Seguimiento y control preventivo a las políticas públicas. Procuraduría General de la Nación.</w:t>
      </w:r>
    </w:p>
    <w:p w14:paraId="0A309E39" w14:textId="77777777" w:rsidR="002F7714" w:rsidRPr="002F7714" w:rsidRDefault="002F7714" w:rsidP="002F7714">
      <w:pPr>
        <w:pStyle w:val="Bibliography"/>
        <w:rPr>
          <w:color w:val="008080"/>
          <w:lang w:val="es-ES_tradnl"/>
        </w:rPr>
      </w:pPr>
      <w:r w:rsidRPr="002F7714">
        <w:rPr>
          <w:color w:val="008080"/>
          <w:lang w:val="es-ES_tradnl"/>
        </w:rPr>
        <w:t>Colombia. Unidad Nacional para la Gestión del Riesgo de Desastres. (2012). Guía para la formulación del Plan Municipal de Gestión del Riesgo de Desastres. Sistema Nacional de Gestión del Riesgo de Desastres.</w:t>
      </w:r>
    </w:p>
    <w:p w14:paraId="0632B9EA" w14:textId="77777777" w:rsidR="002F7714" w:rsidRPr="002F7714" w:rsidRDefault="002F7714" w:rsidP="002F7714">
      <w:pPr>
        <w:pStyle w:val="Bibliography"/>
        <w:rPr>
          <w:color w:val="008080"/>
          <w:lang w:val="es-ES_tradnl"/>
        </w:rPr>
      </w:pPr>
      <w:r w:rsidRPr="002F7714">
        <w:rPr>
          <w:color w:val="008080"/>
          <w:lang w:val="es-ES_tradnl"/>
        </w:rPr>
        <w:lastRenderedPageBreak/>
        <w:t xml:space="preserve">¿En qué consiste Sistema Gestión Seguridad Salud </w:t>
      </w:r>
      <w:proofErr w:type="gramStart"/>
      <w:r w:rsidRPr="002F7714">
        <w:rPr>
          <w:color w:val="008080"/>
          <w:lang w:val="es-ES_tradnl"/>
        </w:rPr>
        <w:t>Trabajo(</w:t>
      </w:r>
      <w:proofErr w:type="gramEnd"/>
      <w:r w:rsidRPr="002F7714">
        <w:rPr>
          <w:color w:val="008080"/>
          <w:lang w:val="es-ES_tradnl"/>
        </w:rPr>
        <w:t>SG-SST)? (s. f.). Recuperado 15 de abril de 2020, de https://www.isotools.org/2016/09/06/consiste-sistema-gestion-la-seguridad-salud-trabajo-sg-sst/</w:t>
      </w:r>
    </w:p>
    <w:p w14:paraId="63130B3D" w14:textId="77777777" w:rsidR="002F7714" w:rsidRPr="002F7714" w:rsidRDefault="002F7714" w:rsidP="002F7714">
      <w:pPr>
        <w:pStyle w:val="Bibliography"/>
        <w:rPr>
          <w:color w:val="008080"/>
          <w:lang w:val="es-ES_tradnl"/>
        </w:rPr>
      </w:pPr>
      <w:r w:rsidRPr="002F7714">
        <w:rPr>
          <w:color w:val="008080"/>
          <w:lang w:val="es-ES_tradnl"/>
        </w:rPr>
        <w:t>España. Ministerio de Trabajo y Asuntos Sociales. Instituto Nacional de Seguridad e Higiene en el Trabajo. (1996). Evaluación de riesgos laborales. INSHT.</w:t>
      </w:r>
    </w:p>
    <w:p w14:paraId="6CA31D11" w14:textId="77777777" w:rsidR="002F7714" w:rsidRPr="002F7714" w:rsidRDefault="002F7714" w:rsidP="002F7714">
      <w:pPr>
        <w:pStyle w:val="Bibliography"/>
        <w:rPr>
          <w:color w:val="008080"/>
          <w:lang w:val="es-ES_tradnl"/>
        </w:rPr>
      </w:pPr>
      <w:r w:rsidRPr="002F7714">
        <w:rPr>
          <w:color w:val="008080"/>
          <w:lang w:val="es-ES_tradnl"/>
        </w:rPr>
        <w:t>Sistema de Gestión de Seguridad y Salud en el Trabajo—Ministerio del trabajo. (s. f.). Recuperado 15 de abril de 2020, de https://www.mintrabajo.gov.co/relaciones-laborales/riesgos-laborales/sistema-de-gestion-de-seguridad-y-salud-en-el-trabajo</w:t>
      </w:r>
    </w:p>
    <w:p w14:paraId="4AFC86AB" w14:textId="7A40AE17"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F92C50" w:rsidRDefault="00F92C50"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F92C50" w:rsidRDefault="00F92C50"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F92C50" w:rsidRDefault="00F92C50" w:rsidP="00DA4501">
      <w:pPr>
        <w:pStyle w:val="Textocomentario"/>
      </w:pPr>
      <w:r>
        <w:rPr>
          <w:rStyle w:val="Refdecomentario"/>
        </w:rPr>
        <w:annotationRef/>
      </w:r>
    </w:p>
    <w:p w14:paraId="41D162C2" w14:textId="77777777" w:rsidR="00F92C50" w:rsidRDefault="00F92C50" w:rsidP="00DA4501">
      <w:pPr>
        <w:pStyle w:val="Textocomentario"/>
      </w:pPr>
    </w:p>
    <w:p w14:paraId="13DF1A4E" w14:textId="19D174AE" w:rsidR="00F92C50" w:rsidRDefault="00F92C50" w:rsidP="00DA4501">
      <w:pPr>
        <w:pStyle w:val="Textocomentario"/>
      </w:pPr>
      <w:r>
        <w:t>ESCRIBA NOMBRES Y APELLIDOS DEL JURADO 1</w:t>
      </w:r>
    </w:p>
  </w:comment>
  <w:comment w:id="3" w:author="Autor" w:initials="A">
    <w:p w14:paraId="7100F009" w14:textId="77777777" w:rsidR="00F92C50" w:rsidRDefault="00F92C50" w:rsidP="00DA4501">
      <w:pPr>
        <w:pStyle w:val="Textocomentario"/>
      </w:pPr>
      <w:r>
        <w:rPr>
          <w:rStyle w:val="Refdecomentario"/>
        </w:rPr>
        <w:annotationRef/>
      </w:r>
    </w:p>
    <w:p w14:paraId="4C0570F8" w14:textId="77777777" w:rsidR="00F92C50" w:rsidRDefault="00F92C50" w:rsidP="00DA4501">
      <w:pPr>
        <w:pStyle w:val="Textocomentario"/>
      </w:pPr>
    </w:p>
    <w:p w14:paraId="07CBC2EC" w14:textId="77777777" w:rsidR="00F92C50" w:rsidRDefault="00F92C50" w:rsidP="00DA4501">
      <w:pPr>
        <w:pStyle w:val="Textocomentario"/>
      </w:pPr>
      <w:r>
        <w:t>ESCRIBA NOMBRES Y APELLIDOS DEL JURADO 2</w:t>
      </w:r>
    </w:p>
  </w:comment>
  <w:comment w:id="4" w:author="Autor" w:initials="A">
    <w:p w14:paraId="2F018FA2" w14:textId="77777777" w:rsidR="00F92C50" w:rsidRDefault="00F92C50" w:rsidP="00DA4501">
      <w:pPr>
        <w:pStyle w:val="Textocomentario"/>
      </w:pPr>
      <w:r>
        <w:rPr>
          <w:rStyle w:val="Refdecomentario"/>
        </w:rPr>
        <w:annotationRef/>
      </w:r>
    </w:p>
    <w:p w14:paraId="69F000A8" w14:textId="77777777" w:rsidR="00F92C50" w:rsidRDefault="00F92C50" w:rsidP="00DA4501">
      <w:pPr>
        <w:pStyle w:val="Textocomentario"/>
      </w:pPr>
    </w:p>
    <w:p w14:paraId="37561FD2" w14:textId="77777777" w:rsidR="00F92C50" w:rsidRDefault="00F92C50" w:rsidP="00DA4501">
      <w:pPr>
        <w:pStyle w:val="Textocomentario"/>
      </w:pPr>
      <w:r>
        <w:t>DÍA, MES Y AÑO DE LA SUSTENTACIÓN</w:t>
      </w:r>
    </w:p>
  </w:comment>
  <w:comment w:id="5" w:author="Autor" w:initials="A">
    <w:p w14:paraId="58C4D32E" w14:textId="77777777" w:rsidR="00F92C50" w:rsidRDefault="00F92C50">
      <w:pPr>
        <w:pStyle w:val="Textocomentario"/>
      </w:pPr>
      <w:r>
        <w:rPr>
          <w:rStyle w:val="Refdecomentario"/>
        </w:rPr>
        <w:annotationRef/>
      </w:r>
      <w:r>
        <w:t xml:space="preserve">Opcional. </w:t>
      </w:r>
    </w:p>
    <w:p w14:paraId="70ED8418" w14:textId="77777777" w:rsidR="00F92C50" w:rsidRDefault="00F92C50">
      <w:pPr>
        <w:pStyle w:val="Textocomentario"/>
      </w:pPr>
    </w:p>
    <w:p w14:paraId="0D632611" w14:textId="027A3560" w:rsidR="00F92C50" w:rsidRDefault="00F92C50">
      <w:pPr>
        <w:pStyle w:val="Textocomentario"/>
      </w:pPr>
      <w:r>
        <w:t>Procura que texto de dedicatoria y agradecimientos no exceda una página. Puedes reducir a tamaño 10 puntos el tamaño de letra.</w:t>
      </w:r>
    </w:p>
  </w:comment>
  <w:comment w:id="6" w:author="Autor" w:initials="A">
    <w:p w14:paraId="2A5938CE" w14:textId="59FA99D8" w:rsidR="00F92C50" w:rsidRDefault="00F92C50">
      <w:pPr>
        <w:pStyle w:val="Textocomentario"/>
      </w:pPr>
      <w:r>
        <w:rPr>
          <w:rStyle w:val="Refdecomentario"/>
        </w:rPr>
        <w:annotationRef/>
      </w:r>
      <w:r>
        <w:t>Opcional</w:t>
      </w:r>
    </w:p>
  </w:comment>
  <w:comment w:id="7" w:author="Autor" w:initials="A">
    <w:p w14:paraId="52304D5A" w14:textId="77777777" w:rsidR="00F92C50" w:rsidRDefault="00F92C50">
      <w:pPr>
        <w:pStyle w:val="Textocomentario"/>
      </w:pPr>
    </w:p>
    <w:p w14:paraId="1A49BD68" w14:textId="30D5BB2C" w:rsidR="00F92C50" w:rsidRDefault="00F92C50">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F92C50" w:rsidRDefault="00F92C50">
      <w:pPr>
        <w:pStyle w:val="Textocomentario"/>
      </w:pPr>
    </w:p>
    <w:p w14:paraId="254FC7BE" w14:textId="4A7C1822" w:rsidR="00F92C50" w:rsidRDefault="00F92C50">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F92C50" w:rsidRDefault="00F92C50">
      <w:pPr>
        <w:pStyle w:val="Textocomentario"/>
      </w:pPr>
    </w:p>
    <w:p w14:paraId="16070014" w14:textId="5649E86E" w:rsidR="00F92C50" w:rsidRDefault="00F92C50">
      <w:pPr>
        <w:pStyle w:val="Textocomentario"/>
      </w:pPr>
      <w:r>
        <w:t xml:space="preserve">Si tienes dudas, solicita asesoría en Biblioteca. </w:t>
      </w:r>
    </w:p>
    <w:p w14:paraId="67A89F29" w14:textId="6AE95FA4" w:rsidR="00F92C50" w:rsidRDefault="00F92C50">
      <w:pPr>
        <w:pStyle w:val="Textocomentario"/>
      </w:pPr>
      <w:r>
        <w:t xml:space="preserve"> </w:t>
      </w:r>
    </w:p>
    <w:p w14:paraId="1048F215" w14:textId="03D152D7" w:rsidR="00F92C50" w:rsidRDefault="00F92C50">
      <w:pPr>
        <w:pStyle w:val="Textocomentario"/>
      </w:pPr>
      <w:r>
        <w:t xml:space="preserve">Elimina la imagen como ejemplo y reemplázala con tu tabla de contenido. </w:t>
      </w:r>
    </w:p>
  </w:comment>
  <w:comment w:id="8" w:author="Autor" w:initials="A">
    <w:p w14:paraId="669404C7" w14:textId="161072C8" w:rsidR="00F92C50" w:rsidRDefault="00F92C50">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F92C50" w:rsidRDefault="00F92C50">
      <w:pPr>
        <w:pStyle w:val="Textocomentario"/>
      </w:pPr>
    </w:p>
    <w:p w14:paraId="0974877E" w14:textId="0A583C73" w:rsidR="00F92C50" w:rsidRDefault="00F92C50">
      <w:pPr>
        <w:pStyle w:val="Textocomentario"/>
      </w:pPr>
      <w:r>
        <w:t>El título “Lista de tablas” no se incluye en la tabla de contenido.</w:t>
      </w:r>
    </w:p>
    <w:p w14:paraId="40A27890" w14:textId="77777777" w:rsidR="00F92C50" w:rsidRDefault="00F92C50">
      <w:pPr>
        <w:pStyle w:val="Textocomentario"/>
      </w:pPr>
    </w:p>
    <w:p w14:paraId="1C903FC3" w14:textId="43AF8C34" w:rsidR="00F92C50" w:rsidRDefault="00F92C50">
      <w:pPr>
        <w:pStyle w:val="Textocomentario"/>
      </w:pPr>
      <w:r>
        <w:t>Si tienes dudas, solicita asesoría en Biblioteca.</w:t>
      </w:r>
    </w:p>
  </w:comment>
  <w:comment w:id="9" w:author="Autor" w:initials="A">
    <w:p w14:paraId="3FA76181" w14:textId="3FA7A03A" w:rsidR="00F92C50" w:rsidRDefault="00F92C50"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F92C50" w:rsidRDefault="00F92C50"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F92C50" w:rsidRDefault="00F92C50" w:rsidP="00671FB5">
      <w:pPr>
        <w:pStyle w:val="Textocomentario"/>
      </w:pPr>
    </w:p>
    <w:p w14:paraId="76361466" w14:textId="3EDE2AB1" w:rsidR="00F92C50" w:rsidRDefault="00F92C50" w:rsidP="00671FB5">
      <w:pPr>
        <w:pStyle w:val="Textocomentario"/>
      </w:pPr>
      <w:r>
        <w:t>El título “Lista de figuras” no se incluye en la tabla de contenido.</w:t>
      </w:r>
    </w:p>
    <w:p w14:paraId="6C189E9E" w14:textId="77777777" w:rsidR="00F92C50" w:rsidRDefault="00F92C50" w:rsidP="00671FB5">
      <w:pPr>
        <w:pStyle w:val="Textocomentario"/>
      </w:pPr>
    </w:p>
    <w:p w14:paraId="25A23FB3" w14:textId="139655AB" w:rsidR="00F92C50" w:rsidRDefault="00F92C50">
      <w:pPr>
        <w:pStyle w:val="Textocomentario"/>
      </w:pPr>
      <w:r>
        <w:t>Si tienes dudas, solicita asesoría en Biblioteca.</w:t>
      </w:r>
    </w:p>
  </w:comment>
  <w:comment w:id="11" w:author="Autor" w:initials="A">
    <w:p w14:paraId="7EFD68A1" w14:textId="5CF1059E" w:rsidR="00F92C50" w:rsidRDefault="00F92C50">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F92C50" w:rsidRDefault="00F92C50"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F92C50" w:rsidRDefault="00F92C50">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F92C50" w:rsidRDefault="00F92C50">
      <w:pPr>
        <w:pStyle w:val="Textocomentario"/>
      </w:pPr>
    </w:p>
    <w:p w14:paraId="4F5F4CE8" w14:textId="0C4C4A39" w:rsidR="00F92C50" w:rsidRDefault="00F92C50">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F92C50" w:rsidRDefault="00F92C50">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F92C50" w:rsidRPr="00E02F9F" w:rsidRDefault="00F92C50"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F92C50" w:rsidRDefault="00F92C50"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F92C50" w:rsidRDefault="00F92C50"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F92C50" w:rsidRDefault="00F92C50" w:rsidP="008741B0">
      <w:pPr>
        <w:pStyle w:val="Textocomentario"/>
      </w:pPr>
    </w:p>
    <w:p w14:paraId="7E6B1428" w14:textId="44FC8AC9" w:rsidR="00F92C50" w:rsidRDefault="00F92C50" w:rsidP="008741B0">
      <w:pPr>
        <w:pStyle w:val="Textocomentario"/>
      </w:pPr>
      <w:r>
        <w:t>El título “Abstract” no se incluye en la tabla de contenido.</w:t>
      </w:r>
    </w:p>
  </w:comment>
  <w:comment w:id="18" w:author="Autor" w:initials="A">
    <w:p w14:paraId="78BD42ED" w14:textId="218D3BE3" w:rsidR="00F92C50" w:rsidRDefault="00F92C50"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F92C50" w:rsidRDefault="00F92C50"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F92C50" w:rsidRDefault="00F92C50" w:rsidP="00E02F9F">
      <w:pPr>
        <w:pStyle w:val="Textocomentario"/>
      </w:pPr>
    </w:p>
    <w:p w14:paraId="5FC2F72E" w14:textId="790FF50B" w:rsidR="00F92C50" w:rsidRDefault="00F92C50" w:rsidP="00E02F9F">
      <w:pPr>
        <w:pStyle w:val="Textocomentario"/>
      </w:pPr>
      <w:r>
        <w:t>Si tienes dudas, solicita asesoría en Biblioteca.</w:t>
      </w:r>
    </w:p>
  </w:comment>
  <w:comment w:id="23" w:author="Autor" w:initials="A">
    <w:p w14:paraId="330F865A" w14:textId="49B6DB7C" w:rsidR="00F92C50" w:rsidRDefault="00F92C50"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F92C50" w:rsidRDefault="00F92C50" w:rsidP="00670427">
      <w:pPr>
        <w:pStyle w:val="Textocomentario"/>
      </w:pPr>
      <w:r>
        <w:rPr>
          <w:rStyle w:val="Refdecomentario"/>
        </w:rPr>
        <w:annotationRef/>
      </w:r>
      <w:r>
        <w:t>Utiliza 1 espacio sencillo entre:</w:t>
      </w:r>
    </w:p>
    <w:p w14:paraId="22717309" w14:textId="2A1A9166" w:rsidR="00F92C50" w:rsidRDefault="00F92C50" w:rsidP="00670427">
      <w:pPr>
        <w:pStyle w:val="Textocomentario"/>
      </w:pPr>
      <w:r>
        <w:t>-Párrafo y párrafo.</w:t>
      </w:r>
    </w:p>
    <w:p w14:paraId="5848BB4A" w14:textId="7824E50D" w:rsidR="00F92C50" w:rsidRDefault="00F92C50" w:rsidP="00670427">
      <w:pPr>
        <w:pStyle w:val="Textocomentario"/>
      </w:pPr>
      <w:r>
        <w:t>-Viñeta y viñeta</w:t>
      </w:r>
    </w:p>
    <w:p w14:paraId="7556E7FA" w14:textId="77777777" w:rsidR="00F92C50" w:rsidRDefault="00F92C50" w:rsidP="00670427">
      <w:pPr>
        <w:pStyle w:val="Textocomentario"/>
      </w:pPr>
    </w:p>
    <w:p w14:paraId="220E4C25" w14:textId="77777777" w:rsidR="00F92C50" w:rsidRDefault="00F92C50" w:rsidP="00670427">
      <w:pPr>
        <w:pStyle w:val="Textocomentario"/>
      </w:pPr>
      <w:r>
        <w:t>Utiliza 2 espacios sencillos entre:</w:t>
      </w:r>
    </w:p>
    <w:p w14:paraId="198BF7B1" w14:textId="77777777" w:rsidR="00F92C50" w:rsidRDefault="00F92C50" w:rsidP="00670427">
      <w:pPr>
        <w:pStyle w:val="Textocomentario"/>
      </w:pPr>
      <w:r>
        <w:t>-Título y párrafo.</w:t>
      </w:r>
    </w:p>
    <w:p w14:paraId="29AA0962" w14:textId="77777777" w:rsidR="00F92C50" w:rsidRDefault="00F92C50" w:rsidP="00670427">
      <w:pPr>
        <w:pStyle w:val="Textocomentario"/>
      </w:pPr>
      <w:r>
        <w:t>-Párrafo e imagen.</w:t>
      </w:r>
    </w:p>
    <w:p w14:paraId="7B36C466" w14:textId="77777777" w:rsidR="00F92C50" w:rsidRDefault="00F92C50" w:rsidP="00670427">
      <w:pPr>
        <w:pStyle w:val="Textocomentario"/>
      </w:pPr>
      <w:r>
        <w:t>-Imagen y párrafo.</w:t>
      </w:r>
    </w:p>
    <w:p w14:paraId="7F19680C" w14:textId="77777777" w:rsidR="00F92C50" w:rsidRDefault="00F92C50" w:rsidP="00670427">
      <w:pPr>
        <w:pStyle w:val="Textocomentario"/>
      </w:pPr>
      <w:r>
        <w:t>-Párrafo y subtítulo.</w:t>
      </w:r>
    </w:p>
    <w:p w14:paraId="0CB9A340" w14:textId="77777777" w:rsidR="00F92C50" w:rsidRDefault="00F92C50" w:rsidP="00670427">
      <w:pPr>
        <w:pStyle w:val="Textocomentario"/>
      </w:pPr>
      <w:r>
        <w:t>-Tabla y párrafo.</w:t>
      </w:r>
    </w:p>
    <w:p w14:paraId="5EC20E1E" w14:textId="48B890B6" w:rsidR="00F92C50" w:rsidRDefault="00F92C50" w:rsidP="00670427">
      <w:pPr>
        <w:pStyle w:val="Textocomentario"/>
      </w:pPr>
      <w:r>
        <w:t>Etc.</w:t>
      </w:r>
    </w:p>
  </w:comment>
  <w:comment w:id="25" w:author="Autor" w:initials="A">
    <w:p w14:paraId="1E68F7AE" w14:textId="77777777" w:rsidR="00F92C50" w:rsidRDefault="00F92C50"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F92C50" w:rsidRDefault="00F92C50" w:rsidP="003D1806">
      <w:pPr>
        <w:pStyle w:val="Textocomentario"/>
      </w:pPr>
    </w:p>
    <w:p w14:paraId="5A191319" w14:textId="6653F5D5" w:rsidR="00F92C50" w:rsidRDefault="00F92C50" w:rsidP="003D1806">
      <w:pPr>
        <w:pStyle w:val="Textocomentario"/>
      </w:pPr>
      <w:r>
        <w:t>Referencias &gt; Insertar nota al pie (Word lleva la numeración automática)</w:t>
      </w:r>
    </w:p>
  </w:comment>
  <w:comment w:id="27" w:author="Autor" w:initials="A">
    <w:p w14:paraId="48E0FA57" w14:textId="3DC0F946" w:rsidR="00F92C50" w:rsidRDefault="00F92C50"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F92C50" w:rsidRDefault="00F92C50">
      <w:pPr>
        <w:pStyle w:val="Textocomentario"/>
      </w:pPr>
      <w:r>
        <w:rPr>
          <w:rStyle w:val="Refdecomentario"/>
        </w:rPr>
        <w:annotationRef/>
      </w:r>
      <w:r>
        <w:t>Entre párrafo y párrafo utiliza 1 espacio sencillo.</w:t>
      </w:r>
    </w:p>
  </w:comment>
  <w:comment w:id="31" w:author="Autor" w:initials="A">
    <w:p w14:paraId="1538A0FD" w14:textId="503ED7CE" w:rsidR="00F92C50" w:rsidRDefault="00F92C50"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F92C50" w:rsidRDefault="00F92C50">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F92C50" w:rsidRDefault="00F92C50">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F92C50" w:rsidRDefault="00F92C50">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F92C50" w:rsidRDefault="00F92C50">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F92C50" w:rsidRDefault="00F92C50">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F92C50" w:rsidRDefault="00F92C50">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5" w:author="Autor" w:initials="A">
    <w:p w14:paraId="4BDB6B67" w14:textId="49132684" w:rsidR="00F92C50" w:rsidRDefault="00F92C50">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6" w:author="Autor" w:initials="A">
    <w:p w14:paraId="6DB60576" w14:textId="488F98BE" w:rsidR="00F92C50" w:rsidRDefault="00F92C50">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F92C50" w:rsidRDefault="00F92C50">
      <w:pPr>
        <w:pStyle w:val="Textocomentario"/>
        <w:rPr>
          <w:rFonts w:cs="Times New Roman"/>
        </w:rPr>
      </w:pPr>
    </w:p>
    <w:p w14:paraId="3F8DE1B0" w14:textId="11EF4C55" w:rsidR="00F92C50" w:rsidRDefault="00F92C50">
      <w:pPr>
        <w:pStyle w:val="Textocomentario"/>
      </w:pPr>
      <w:r>
        <w:rPr>
          <w:rFonts w:cs="Times New Roman"/>
        </w:rPr>
        <w:t xml:space="preserve">Es mala idea elaborar citas y referencias “manualmente”, son altas las posibilidades de errores. </w:t>
      </w:r>
    </w:p>
  </w:comment>
  <w:comment w:id="47" w:author="Autor" w:initials="A">
    <w:p w14:paraId="5F1EDCEE" w14:textId="77777777" w:rsidR="00F92C50" w:rsidRPr="00411DFC" w:rsidRDefault="00F92C50"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8" w:author="Autor" w:initials="A">
    <w:p w14:paraId="3E0E76E5" w14:textId="77777777" w:rsidR="00F92C50" w:rsidRPr="00411DFC" w:rsidRDefault="00F92C50"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49" w:author="Autor" w:initials="A">
    <w:p w14:paraId="4BF40043" w14:textId="77777777" w:rsidR="00F92C50" w:rsidRPr="00411DFC" w:rsidRDefault="00F92C50"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0" w:author="Autor" w:initials="A">
    <w:p w14:paraId="2FAF780F" w14:textId="1E3DDF9A" w:rsidR="00F92C50" w:rsidRPr="00411DFC" w:rsidRDefault="00F92C50"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Ejemplo cita textual o directa con más de 40 palabras (se omiten las comillas), bloque aparte, sangría 2.5 cms. Procure no incurrir en la citación excesiva.</w:t>
      </w:r>
    </w:p>
  </w:comment>
  <w:comment w:id="51" w:author="Autor" w:initials="A">
    <w:p w14:paraId="05802A94" w14:textId="282963F0" w:rsidR="00F92C50" w:rsidRDefault="00F92C50">
      <w:pPr>
        <w:pStyle w:val="Textocomentario"/>
      </w:pPr>
      <w:r>
        <w:rPr>
          <w:rStyle w:val="Refdecomentario"/>
        </w:rPr>
        <w:annotationRef/>
      </w:r>
      <w:r>
        <w:t>Uno de los errores más comunes al citar es ubicar el punto final entre la frase y la cita:</w:t>
      </w:r>
    </w:p>
    <w:p w14:paraId="7A80C327" w14:textId="2EB0D24F" w:rsidR="00F92C50" w:rsidRDefault="00F92C50">
      <w:pPr>
        <w:pStyle w:val="Textocomentario"/>
      </w:pPr>
    </w:p>
    <w:p w14:paraId="5080DF7D" w14:textId="271AB428" w:rsidR="00F92C50" w:rsidRDefault="00F92C50">
      <w:pPr>
        <w:pStyle w:val="Textocomentario"/>
      </w:pPr>
      <w:r>
        <w:rPr>
          <w:color w:val="FF0000"/>
        </w:rPr>
        <w:t>a</w:t>
      </w:r>
      <w:r w:rsidRPr="00C22420">
        <w:rPr>
          <w:color w:val="FF0000"/>
        </w:rPr>
        <w:t>specto discursivo. (Ruiz, 2014, p. 107)</w:t>
      </w:r>
    </w:p>
    <w:p w14:paraId="59A53744" w14:textId="35F1258E" w:rsidR="00F92C50" w:rsidRDefault="00F92C50">
      <w:pPr>
        <w:pStyle w:val="Textocomentario"/>
      </w:pPr>
    </w:p>
    <w:p w14:paraId="7F3A817D" w14:textId="44345689" w:rsidR="00F92C50" w:rsidRDefault="00F92C50">
      <w:pPr>
        <w:pStyle w:val="Textocomentario"/>
      </w:pPr>
      <w:r>
        <w:t>Lo correcto es ubicar el punto final después de la cita:</w:t>
      </w:r>
    </w:p>
    <w:p w14:paraId="6570CF0A" w14:textId="3B119AAA" w:rsidR="00F92C50" w:rsidRDefault="00F92C50">
      <w:pPr>
        <w:pStyle w:val="Textocomentario"/>
      </w:pPr>
    </w:p>
    <w:p w14:paraId="2D674C31" w14:textId="159E506C" w:rsidR="00F92C50" w:rsidRDefault="00F92C50">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F92C50" w:rsidRDefault="00F92C50">
      <w:pPr>
        <w:pStyle w:val="Textocomentario"/>
        <w:rPr>
          <w:color w:val="70AD47" w:themeColor="accent6"/>
        </w:rPr>
      </w:pPr>
    </w:p>
    <w:p w14:paraId="27046008" w14:textId="5EDA76A9" w:rsidR="00F92C50" w:rsidRPr="00C22420" w:rsidRDefault="00F92C50">
      <w:pPr>
        <w:pStyle w:val="Textocomentario"/>
      </w:pPr>
      <w:r w:rsidRPr="00C22420">
        <w:t>O si incluye comillas de cita textual:</w:t>
      </w:r>
    </w:p>
    <w:p w14:paraId="74237904" w14:textId="77777777" w:rsidR="00F92C50" w:rsidRDefault="00F92C50">
      <w:pPr>
        <w:pStyle w:val="Textocomentario"/>
        <w:rPr>
          <w:color w:val="70AD47" w:themeColor="accent6"/>
        </w:rPr>
      </w:pPr>
    </w:p>
    <w:p w14:paraId="50C1B96E" w14:textId="62574924" w:rsidR="00F92C50" w:rsidRDefault="00F92C50">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4" w:author="Autor" w:initials="A">
    <w:p w14:paraId="75F414B1" w14:textId="77777777" w:rsidR="00F92C50" w:rsidRDefault="00F92C50" w:rsidP="007B5E42">
      <w:pPr>
        <w:pStyle w:val="Textocomentario"/>
      </w:pPr>
      <w:r>
        <w:rPr>
          <w:rStyle w:val="Refdecomentario"/>
        </w:rPr>
        <w:annotationRef/>
      </w:r>
      <w:r>
        <w:t xml:space="preserve">Imagen centrada, tamaño moderado y legible </w:t>
      </w:r>
    </w:p>
    <w:p w14:paraId="2FCACD34" w14:textId="77777777" w:rsidR="00F92C50" w:rsidRDefault="00F92C50" w:rsidP="007B5E42">
      <w:pPr>
        <w:pStyle w:val="Textocomentario"/>
      </w:pPr>
    </w:p>
    <w:p w14:paraId="122F03F5" w14:textId="77777777" w:rsidR="00F92C50" w:rsidRDefault="00F92C50" w:rsidP="007B5E42">
      <w:pPr>
        <w:pStyle w:val="Textocomentario"/>
      </w:pPr>
      <w:r>
        <w:t>Para insertar imágenes usa un recuadro con bordes externos, donde existen dos alternativas:</w:t>
      </w:r>
    </w:p>
    <w:p w14:paraId="30B78D18" w14:textId="77777777" w:rsidR="00F92C50" w:rsidRDefault="00F92C50" w:rsidP="007B5E42">
      <w:pPr>
        <w:pStyle w:val="Textocomentario"/>
      </w:pPr>
    </w:p>
    <w:p w14:paraId="0CACA950" w14:textId="77777777" w:rsidR="00F92C50" w:rsidRDefault="00F92C50" w:rsidP="007B5E42">
      <w:pPr>
        <w:pStyle w:val="Textocomentario"/>
      </w:pPr>
      <w:r w:rsidRPr="00A40199">
        <w:rPr>
          <w:b/>
        </w:rPr>
        <w:t>1. Cuadro de texto</w:t>
      </w:r>
      <w:r>
        <w:t>: Insertar &gt; Cuadro de texto (borde exterior). Línea(s) para título, línea para imagen, línea(s) para leyenda.</w:t>
      </w:r>
    </w:p>
    <w:p w14:paraId="56E82280" w14:textId="77777777" w:rsidR="00F92C50" w:rsidRDefault="00F92C50" w:rsidP="007B5E42">
      <w:pPr>
        <w:pStyle w:val="Textocomentario"/>
      </w:pPr>
    </w:p>
    <w:p w14:paraId="22806A6F" w14:textId="77777777" w:rsidR="00F92C50" w:rsidRDefault="00F92C50" w:rsidP="007B5E42">
      <w:pPr>
        <w:pStyle w:val="Textocomentario"/>
      </w:pPr>
      <w:r w:rsidRPr="00A40199">
        <w:rPr>
          <w:b/>
        </w:rPr>
        <w:t>2. Tabla</w:t>
      </w:r>
      <w:r>
        <w:t>: Insertar &gt; Tabla &gt; 1 columna, 3 filas (eliminar bordes internos, dejar solo bordes externos).</w:t>
      </w:r>
    </w:p>
    <w:p w14:paraId="337FE750" w14:textId="77777777" w:rsidR="00F92C50" w:rsidRDefault="00F92C50" w:rsidP="007B5E42">
      <w:pPr>
        <w:pStyle w:val="Textocomentario"/>
      </w:pPr>
      <w:r>
        <w:t>Línea 1 para título, línea 2 para imagen, línea 3 para leyenda.</w:t>
      </w:r>
    </w:p>
    <w:p w14:paraId="4CD9AA60" w14:textId="77777777" w:rsidR="00F92C50" w:rsidRDefault="00F92C50" w:rsidP="007B5E42">
      <w:pPr>
        <w:pStyle w:val="Textocomentario"/>
      </w:pPr>
    </w:p>
    <w:p w14:paraId="5569F532" w14:textId="77777777" w:rsidR="00F92C50" w:rsidRDefault="00F92C50" w:rsidP="007B5E42">
      <w:pPr>
        <w:pStyle w:val="Textocomentario"/>
      </w:pPr>
      <w:r>
        <w:t>Ejemplo figura 1 hecho con cuadro de texto, figura 2 con tabla.</w:t>
      </w:r>
    </w:p>
    <w:p w14:paraId="5CF07493" w14:textId="77777777" w:rsidR="00F92C50" w:rsidRDefault="00F92C50" w:rsidP="007B5E42">
      <w:pPr>
        <w:pStyle w:val="Textocomentario"/>
      </w:pPr>
    </w:p>
    <w:p w14:paraId="6C33B947" w14:textId="0355BB46" w:rsidR="00F92C50" w:rsidRDefault="00F92C50" w:rsidP="007B5E42">
      <w:pPr>
        <w:pStyle w:val="Textocomentario"/>
      </w:pPr>
      <w:r>
        <w:t xml:space="preserve">Si la figura es de tu completa autoría, </w:t>
      </w:r>
      <w:r w:rsidRPr="008756D6">
        <w:rPr>
          <w:b/>
        </w:rPr>
        <w:t>NO</w:t>
      </w:r>
      <w:r>
        <w:t xml:space="preserve"> es necesario colocar la leyenda “Elaboración propia”.</w:t>
      </w:r>
    </w:p>
  </w:comment>
  <w:comment w:id="55" w:author="Autor" w:initials="A">
    <w:p w14:paraId="46CFD098" w14:textId="77777777" w:rsidR="00F92C50" w:rsidRDefault="00F92C50" w:rsidP="00A71B2F">
      <w:pPr>
        <w:pStyle w:val="Textocomentario"/>
      </w:pPr>
    </w:p>
    <w:p w14:paraId="5A929F1A" w14:textId="3F85C9A1" w:rsidR="00F92C50" w:rsidRDefault="00F92C50"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F92C50" w:rsidRDefault="00F92C50" w:rsidP="00A71B2F">
      <w:pPr>
        <w:pStyle w:val="Textocomentario"/>
      </w:pPr>
    </w:p>
    <w:p w14:paraId="6DEE8651" w14:textId="3451455B" w:rsidR="00F92C50" w:rsidRDefault="00F92C50" w:rsidP="00A71B2F">
      <w:pPr>
        <w:pStyle w:val="Textocomentario"/>
      </w:pPr>
      <w:r>
        <w:t>Los números consecutivos de cada figura se asignan automáticamente.</w:t>
      </w:r>
    </w:p>
    <w:p w14:paraId="72A3BD8B" w14:textId="77777777" w:rsidR="00F92C50" w:rsidRDefault="00F92C50" w:rsidP="00A71B2F">
      <w:pPr>
        <w:pStyle w:val="Textocomentario"/>
      </w:pPr>
    </w:p>
    <w:p w14:paraId="5FBB96B9" w14:textId="0EAB81E6" w:rsidR="00F92C50" w:rsidRDefault="00F92C50" w:rsidP="00A71B2F">
      <w:pPr>
        <w:pStyle w:val="Textocomentario"/>
      </w:pPr>
      <w:r>
        <w:t>Si tienes dudas, solicita asesoría en Biblioteca.</w:t>
      </w:r>
    </w:p>
  </w:comment>
  <w:comment w:id="57" w:author="Autor" w:initials="A">
    <w:p w14:paraId="5059F301" w14:textId="152DED38" w:rsidR="00F92C50" w:rsidRDefault="00F92C50"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F92C50" w:rsidRDefault="00F92C50" w:rsidP="000F68C2">
      <w:pPr>
        <w:pStyle w:val="Textocomentario"/>
      </w:pPr>
    </w:p>
    <w:p w14:paraId="44BA6EBA" w14:textId="251267BA" w:rsidR="00F92C50" w:rsidRDefault="00F92C50" w:rsidP="000F68C2">
      <w:pPr>
        <w:pStyle w:val="Textocomentario"/>
      </w:pPr>
      <w:r>
        <w:t>Los números consecutivos de cada tabla se asignan automáticamente.</w:t>
      </w:r>
    </w:p>
    <w:p w14:paraId="25CC4927" w14:textId="77777777" w:rsidR="00F92C50" w:rsidRDefault="00F92C50" w:rsidP="000F68C2">
      <w:pPr>
        <w:pStyle w:val="Textocomentario"/>
      </w:pPr>
    </w:p>
    <w:p w14:paraId="291F2434" w14:textId="5070E68F" w:rsidR="00F92C50" w:rsidRDefault="00F92C50" w:rsidP="000F68C2">
      <w:pPr>
        <w:pStyle w:val="Textocomentario"/>
      </w:pPr>
      <w:r>
        <w:t>Si tienes dudas, solicita asesoría en Biblioteca.</w:t>
      </w:r>
    </w:p>
    <w:p w14:paraId="2F408B20" w14:textId="5A260C43" w:rsidR="00F92C50" w:rsidRDefault="00F92C50">
      <w:pPr>
        <w:pStyle w:val="Textocomentario"/>
      </w:pPr>
    </w:p>
  </w:comment>
  <w:comment w:id="58" w:author="Autor" w:initials="A">
    <w:p w14:paraId="7E115CA0" w14:textId="2E3F2759" w:rsidR="00F92C50" w:rsidRDefault="00F92C50">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59" w:author="Autor" w:initials="A">
    <w:p w14:paraId="07054698" w14:textId="12674B10" w:rsidR="00F92C50" w:rsidRDefault="00F92C50">
      <w:pPr>
        <w:pStyle w:val="Textocomentario"/>
      </w:pPr>
      <w:r>
        <w:rPr>
          <w:rStyle w:val="Refdecomentario"/>
        </w:rPr>
        <w:annotationRef/>
      </w:r>
      <w:r>
        <w:t>Palabra Tabla, número consecutivo y título de la tabla en cursiva, ambos en tamaño 12 puntos.</w:t>
      </w:r>
    </w:p>
    <w:p w14:paraId="28E81BF4" w14:textId="6191879B" w:rsidR="00F92C50" w:rsidRDefault="00F92C50">
      <w:pPr>
        <w:pStyle w:val="Textocomentario"/>
      </w:pPr>
    </w:p>
    <w:p w14:paraId="270C2CF0" w14:textId="77777777" w:rsidR="00F92C50" w:rsidRDefault="00F92C50">
      <w:pPr>
        <w:pStyle w:val="Textocomentario"/>
      </w:pPr>
    </w:p>
    <w:p w14:paraId="36E316F1" w14:textId="32DA39DB" w:rsidR="00F92C50" w:rsidRDefault="00F92C50">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F92C50" w:rsidRDefault="00F92C50">
      <w:pPr>
        <w:pStyle w:val="Textocomentario"/>
      </w:pPr>
    </w:p>
    <w:p w14:paraId="4C1D0C1D" w14:textId="3A7A6E82" w:rsidR="00F92C50" w:rsidRDefault="00F92C50">
      <w:pPr>
        <w:pStyle w:val="Textocomentario"/>
      </w:pPr>
      <w:r>
        <w:t>Tabla 2</w:t>
      </w:r>
      <w:r>
        <w:br/>
      </w:r>
      <w:r w:rsidRPr="001A731E">
        <w:rPr>
          <w:rFonts w:cs="Times New Roman"/>
          <w:i/>
          <w:szCs w:val="24"/>
        </w:rPr>
        <w:t>Cita paráfrasis o no textual, dentro de paréntesis</w:t>
      </w:r>
    </w:p>
  </w:comment>
  <w:comment w:id="60" w:author="Autor" w:initials="A">
    <w:p w14:paraId="5995B0C5" w14:textId="77777777" w:rsidR="00F92C50" w:rsidRDefault="00F92C50"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F92C50" w:rsidRDefault="00F92C50" w:rsidP="00234912">
      <w:pPr>
        <w:pStyle w:val="Textocomentario"/>
      </w:pPr>
    </w:p>
    <w:p w14:paraId="5C589537" w14:textId="4F04E9B9" w:rsidR="00F92C50" w:rsidRDefault="00F92C50" w:rsidP="00234912">
      <w:pPr>
        <w:pStyle w:val="Textocomentario"/>
      </w:pPr>
      <w:r>
        <w:t>Puedes utilizar el interlineado simple (1.0), intermedio (1.5) o doble (2.0)</w:t>
      </w:r>
    </w:p>
  </w:comment>
  <w:comment w:id="61" w:author="Autor" w:initials="A">
    <w:p w14:paraId="3CD5CA9C" w14:textId="3063DFB9" w:rsidR="00F92C50" w:rsidRDefault="00F92C50">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5" w:author="Autor" w:initials="A">
    <w:p w14:paraId="2168511F" w14:textId="53DB752F" w:rsidR="00F92C50" w:rsidRDefault="00F92C50"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F92C50" w:rsidRPr="00411DFC" w:rsidRDefault="00F92C50" w:rsidP="0065676B">
      <w:pPr>
        <w:pStyle w:val="Textocomentario"/>
      </w:pPr>
    </w:p>
  </w:comment>
  <w:comment w:id="67" w:author="Autor" w:initials="A">
    <w:p w14:paraId="41A1811D" w14:textId="77777777" w:rsidR="00F92C50" w:rsidRDefault="00F92C50">
      <w:pPr>
        <w:pStyle w:val="Textocomentario"/>
      </w:pPr>
      <w:r>
        <w:rPr>
          <w:rStyle w:val="Refdecomentario"/>
        </w:rPr>
        <w:annotationRef/>
      </w:r>
      <w:r>
        <w:t>Incluye en la tabla de contenido solo el título Anexos, no incluyas Anexo 1, Anexo 2, Anexo 3, etc.</w:t>
      </w:r>
    </w:p>
    <w:p w14:paraId="2DF56C29" w14:textId="77777777" w:rsidR="00F92C50" w:rsidRDefault="00F92C50" w:rsidP="00782E25">
      <w:pPr>
        <w:pStyle w:val="Textocomentario"/>
        <w:rPr>
          <w:b/>
          <w:color w:val="FF0000"/>
        </w:rPr>
      </w:pPr>
    </w:p>
    <w:p w14:paraId="49A0206B" w14:textId="30F479E7" w:rsidR="00F92C50" w:rsidRDefault="00F92C50"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F92C50" w:rsidRDefault="00F92C50" w:rsidP="00782E25">
      <w:pPr>
        <w:pStyle w:val="Textocomentario"/>
      </w:pPr>
    </w:p>
    <w:p w14:paraId="453BE36E" w14:textId="1CABE968" w:rsidR="00F92C50" w:rsidRDefault="00F92C50"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CFC42" w14:textId="77777777" w:rsidR="009512BA" w:rsidRDefault="009512BA" w:rsidP="006B13CA">
      <w:pPr>
        <w:spacing w:line="240" w:lineRule="auto"/>
      </w:pPr>
      <w:r>
        <w:separator/>
      </w:r>
    </w:p>
  </w:endnote>
  <w:endnote w:type="continuationSeparator" w:id="0">
    <w:p w14:paraId="2756A476" w14:textId="77777777" w:rsidR="009512BA" w:rsidRDefault="009512BA"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Content>
      <w:p w14:paraId="7E0F9F9D" w14:textId="77777777" w:rsidR="00F92C50" w:rsidRDefault="00F92C50">
        <w:pPr>
          <w:pStyle w:val="Piedepgina"/>
          <w:jc w:val="center"/>
        </w:pPr>
        <w:r>
          <w:fldChar w:fldCharType="begin"/>
        </w:r>
        <w:r w:rsidRPr="00FF0E9C">
          <w:instrText>PAGE   \* MERGEFORMAT</w:instrText>
        </w:r>
        <w:r>
          <w:fldChar w:fldCharType="separate"/>
        </w:r>
        <w:r w:rsidRPr="00984C4D">
          <w:rPr>
            <w:noProof/>
            <w:lang w:val="es-ES"/>
          </w:rPr>
          <w:t>29</w:t>
        </w:r>
        <w:r>
          <w:fldChar w:fldCharType="end"/>
        </w:r>
      </w:p>
    </w:sdtContent>
  </w:sdt>
  <w:p w14:paraId="386B528E" w14:textId="77777777" w:rsidR="00F92C50" w:rsidRDefault="00F92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5F49" w14:textId="77777777" w:rsidR="009512BA" w:rsidRDefault="009512BA" w:rsidP="006B13CA">
      <w:pPr>
        <w:spacing w:line="240" w:lineRule="auto"/>
      </w:pPr>
      <w:r>
        <w:separator/>
      </w:r>
    </w:p>
  </w:footnote>
  <w:footnote w:type="continuationSeparator" w:id="0">
    <w:p w14:paraId="464752B0" w14:textId="77777777" w:rsidR="009512BA" w:rsidRDefault="009512BA" w:rsidP="006B13CA">
      <w:pPr>
        <w:spacing w:line="240" w:lineRule="auto"/>
      </w:pPr>
      <w:r>
        <w:continuationSeparator/>
      </w:r>
    </w:p>
  </w:footnote>
  <w:footnote w:id="1">
    <w:p w14:paraId="132D75B2" w14:textId="7948B0D1" w:rsidR="00F92C50" w:rsidRDefault="00F92C50"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F92C50" w:rsidRDefault="00F92C50"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984C4D">
          <w:rPr>
            <w:noProof/>
            <w:sz w:val="20"/>
            <w:szCs w:val="20"/>
            <w:lang w:val="es-ES"/>
          </w:rPr>
          <w:t>29</w:t>
        </w:r>
        <w:r w:rsidRPr="0008236F">
          <w:rPr>
            <w:sz w:val="20"/>
            <w:szCs w:val="20"/>
          </w:rPr>
          <w:fldChar w:fldCharType="end"/>
        </w:r>
      </w:sdtContent>
    </w:sdt>
  </w:p>
  <w:p w14:paraId="529A43D8" w14:textId="77777777" w:rsidR="00F92C50" w:rsidRPr="002421AA" w:rsidRDefault="00F92C50" w:rsidP="002421AA">
    <w:pPr>
      <w:pStyle w:val="Encabezado"/>
    </w:pPr>
  </w:p>
  <w:p w14:paraId="21A3D53C" w14:textId="77777777" w:rsidR="00F92C50" w:rsidRDefault="00F92C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F20B2"/>
    <w:rsid w:val="008F2529"/>
    <w:rsid w:val="00910469"/>
    <w:rsid w:val="00922FB3"/>
    <w:rsid w:val="00923F8D"/>
    <w:rsid w:val="0092417F"/>
    <w:rsid w:val="009274F3"/>
    <w:rsid w:val="00930D47"/>
    <w:rsid w:val="00931931"/>
    <w:rsid w:val="00932C75"/>
    <w:rsid w:val="00950C28"/>
    <w:rsid w:val="009512BA"/>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2C50"/>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phy">
    <w:name w:val="Bibliography"/>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phy"/>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uniajc.edu.co/" TargetMode="Externa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2CE8D99-94E3-491D-A3A2-70B23B8C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8248</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id="njUyAAid"/&gt;&lt;style id="http://www.zotero.org/styles/apa" locale="es-ES" hasBibliography="1" bibliographyStyleHasBeenSet="1"/&gt;&lt;prefs&gt;&lt;pref name="fieldType" value="Field"/&gt;&lt;/prefs&gt;&lt;/data&gt;</vt:lpwstr>
  </property>
</Properties>
</file>