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31F" w:rsidRDefault="00000000">
      <w:pPr>
        <w:spacing w:after="280"/>
        <w:jc w:val="center"/>
      </w:pPr>
      <w:r>
        <w:rPr>
          <w:b/>
          <w:sz w:val="36"/>
        </w:rPr>
        <w:t>Plant Disease Classification Using Deep Learning:</w:t>
      </w:r>
      <w:r>
        <w:rPr>
          <w:b/>
          <w:sz w:val="36"/>
        </w:rPr>
        <w:br/>
        <w:t>An EfficientNetB3-Based Approach on the PlantVillage Dataset</w:t>
      </w:r>
    </w:p>
    <w:tbl>
      <w:tblPr>
        <w:tblW w:w="0" w:type="auto"/>
        <w:tblLook w:val="04A0" w:firstRow="1" w:lastRow="0" w:firstColumn="1" w:lastColumn="0" w:noHBand="0" w:noVBand="1"/>
      </w:tblPr>
      <w:tblGrid>
        <w:gridCol w:w="9360"/>
      </w:tblGrid>
      <w:tr w:rsidR="00C3531F">
        <w:tc>
          <w:tcPr>
            <w:tcW w:w="9360" w:type="dxa"/>
          </w:tcPr>
          <w:p w:rsidR="00C3531F" w:rsidRDefault="00000000">
            <w:pPr>
              <w:spacing w:after="40"/>
              <w:jc w:val="center"/>
            </w:pPr>
            <w:r>
              <w:rPr>
                <w:b/>
              </w:rPr>
              <w:t>Jad Elwahy,  Mohab Ahmed,  Hazem Mohamed,  Seif Adham,  Mahmoud Ayman</w:t>
            </w:r>
          </w:p>
          <w:p w:rsidR="00C3531F" w:rsidRDefault="00000000">
            <w:pPr>
              <w:spacing w:after="40"/>
              <w:jc w:val="center"/>
            </w:pPr>
            <w:r>
              <w:rPr>
                <w:sz w:val="18"/>
              </w:rPr>
              <w:t>IDs: 192200134  |  192200017  |  192200106  |  192200119  |  192200089</w:t>
            </w:r>
          </w:p>
          <w:p w:rsidR="00C3531F" w:rsidRDefault="00000000">
            <w:pPr>
              <w:spacing w:after="40"/>
              <w:jc w:val="center"/>
            </w:pPr>
            <w:r>
              <w:t>Faculty of Engineering – Software Engineering Department</w:t>
            </w:r>
          </w:p>
          <w:p w:rsidR="00C3531F" w:rsidRDefault="00000000">
            <w:pPr>
              <w:spacing w:after="40"/>
              <w:jc w:val="center"/>
            </w:pPr>
            <w:r>
              <w:t>Egyptian Chinese University, Cairo, Egypt</w:t>
            </w:r>
          </w:p>
          <w:p w:rsidR="00C3531F" w:rsidRDefault="00000000">
            <w:pPr>
              <w:spacing w:after="40"/>
              <w:jc w:val="center"/>
            </w:pPr>
            <w:r>
              <w:t>Data Mining — Academic Year 2025–2026</w:t>
            </w:r>
          </w:p>
          <w:p w:rsidR="00C3531F" w:rsidRDefault="00000000">
            <w:pPr>
              <w:spacing w:after="120"/>
              <w:jc w:val="center"/>
            </w:pPr>
            <w:r>
              <w:t>Supervised by: Dr. Douaa Mabrouk</w:t>
            </w:r>
          </w:p>
        </w:tc>
      </w:tr>
    </w:tbl>
    <w:p w:rsidR="00C3531F" w:rsidRDefault="00C3531F">
      <w:pPr>
        <w:spacing w:after="80"/>
        <w:jc w:val="both"/>
      </w:pPr>
    </w:p>
    <w:p w:rsidR="00C3531F" w:rsidRDefault="00000000">
      <w:pPr>
        <w:spacing w:before="120" w:after="60"/>
      </w:pPr>
      <w:r>
        <w:rPr>
          <w:b/>
        </w:rPr>
        <w:t>Abstract</w:t>
      </w:r>
    </w:p>
    <w:p w:rsidR="00C3531F" w:rsidRDefault="00000000">
      <w:pPr>
        <w:spacing w:after="120"/>
        <w:jc w:val="both"/>
      </w:pPr>
      <w:r>
        <w:t xml:space="preserve">Plant diseases account for 20–40% of annual global crop losses, disproportionately affecting smallholder farmers in developing regions where access to agronomic expertise is limited. Timely and accurate identification of foliar diseases is essential for effective crop management and food security. This paper presents a deep-learning pipeline for automated plant disease classification from leaf photographs, built on the EfficientNetB3 convolutional neural network backbone pre-trained on ImageNet and fine-tuned end-to-end on the PlantVillage dataset. The model classifies leaf images into 38 disease categories spanning 14 plant species, achieving 88% test accuracy on a stratified held-out partition of 5,431 images drawn from a corpus of 54,305 colour photographs. A custom two-phase adaptive training callback governs learning-rate scheduling and early stopping, addressing training instability observed in prior work. Beyond model training, the system is delivered as </w:t>
      </w:r>
      <w:r w:rsidR="005D382A">
        <w:t>a</w:t>
      </w:r>
      <w:r>
        <w:t xml:space="preserve"> deployment-ready inference interface: a </w:t>
      </w:r>
      <w:proofErr w:type="spellStart"/>
      <w:r>
        <w:t>a</w:t>
      </w:r>
      <w:proofErr w:type="spellEnd"/>
      <w:r>
        <w:t xml:space="preserve"> Next.js web application backed by a Flask inference server, bridging the gap between research prototypes and deployable agricultural advisory tools.</w:t>
      </w:r>
    </w:p>
    <w:p w:rsidR="00C3531F" w:rsidRDefault="00000000">
      <w:pPr>
        <w:jc w:val="both"/>
      </w:pPr>
      <w:r>
        <w:rPr>
          <w:b/>
        </w:rPr>
        <w:t xml:space="preserve">Keywords: </w:t>
      </w:r>
      <w:r>
        <w:t>Plant Disease Classification; EfficientNetB3; Transfer Learning; Deep Learning; PlantVillage; Convolutional Neural Networks; Image Classification; Precision Agriculture</w:t>
      </w:r>
    </w:p>
    <w:p w:rsidR="00C3531F" w:rsidRDefault="00000000">
      <w:pPr>
        <w:spacing w:before="240" w:after="80"/>
      </w:pPr>
      <w:r>
        <w:rPr>
          <w:b/>
        </w:rPr>
        <w:t>1. Introduction</w:t>
      </w:r>
    </w:p>
    <w:p w:rsidR="00C3531F" w:rsidRDefault="00000000">
      <w:pPr>
        <w:spacing w:after="120"/>
        <w:ind w:firstLine="432"/>
        <w:jc w:val="both"/>
      </w:pPr>
      <w:r>
        <w:t>Agriculture underpins food security and economic stability for a large fraction of the world's population, yet crop diseases remain a persistent and economically devastating challenge. Fungal, bacterial, viral, nematode, and phytoplasma pathogens collectively reduce annual global crop yields by an estimated 20–40% [2], with the heaviest losses borne by smallholder farmers who lack access to timely expert diagnosis [1]. Traditional disease identification relies on trained agronomists performing physical field inspections or laboratory analyses — processes that are slow, expensive, and inherently unable to scale to the millions of plants in modern cultivation.</w:t>
      </w:r>
    </w:p>
    <w:p w:rsidR="00C3531F" w:rsidRDefault="00000000">
      <w:pPr>
        <w:spacing w:after="120"/>
        <w:ind w:firstLine="432"/>
        <w:jc w:val="both"/>
      </w:pPr>
      <w:r>
        <w:t>Recent advances in deep learning, particularly Convolutional Neural Networks (CNNs), have opened a new avenue for automated, image-based plant pathology diagnostics [1, 23]. The PlantVillage dataset [4] — a publicly available collection of over 54,000 annotated leaf images — has become the standard benchmark for evaluating such systems, enabling reproducible comparison across architectures [3, 24]. Transfer learning from large-scale image repositories further reduces the amount of domain-specific training data required, making high-accuracy classifiers practical for agricultural settings [1, 23].</w:t>
      </w:r>
    </w:p>
    <w:p w:rsidR="00C3531F" w:rsidRDefault="00000000">
      <w:pPr>
        <w:spacing w:after="120"/>
        <w:ind w:firstLine="432"/>
        <w:jc w:val="both"/>
      </w:pPr>
      <w:r>
        <w:t xml:space="preserve">Despite significant progress, several recurring limitations characterise the existing literature. First, many published systems are trained and evaluated on single-crop datasets [8, 13, 14, 16], limiting their utility to farmers managing diverse crop holdings. Second, most papers report offline evaluation metrics without providing deployable inference tools [11, 12, 15, 18], leaving a critical gap between research accuracy and real-world use. Third, training </w:t>
      </w:r>
      <w:r>
        <w:lastRenderedPageBreak/>
        <w:t>instability and overfitting on relatively small datasets remain common challenges [20, 24, 25] that existing fixed learning-rate schedules do not adequately resolve.</w:t>
      </w:r>
    </w:p>
    <w:p w:rsidR="00C3531F" w:rsidRDefault="00000000">
      <w:pPr>
        <w:spacing w:after="120"/>
        <w:ind w:firstLine="432"/>
        <w:jc w:val="both"/>
      </w:pPr>
      <w:r>
        <w:rPr>
          <w:rFonts w:ascii="Times New Roman" w:hAnsi="Times New Roman"/>
          <w:sz w:val="20"/>
        </w:rPr>
        <w:t>This paper addresses these gaps by presenting a complete plant disease classification system. The main contributions are: (1) an EfficientNetB3 transfer-learning model trained on the full 38-class PlantVillage benchmark spanning 14 plant species, achieving 88% test accuracy; (2) a custom two-phase adaptive training callback that resolves training instability through automatic learning-rate scheduling and best-weight restoration; (3) a deployment-ready web application interface making the classifier immediately accessible to end users without specialist programming knowledge; and (4) an AI-powered Treatment Assistant chatbot, integrated directly into the web interface, that provides users with natural-language guidance on disease treatment, prevention, and causes upon receiving a diagnosis. The remainder of this paper is organised as follows: Section 2 reviews related work; Section 3 describes the dataset; Section 4 presents the methodology; Section 5 reports experimental results; Section 6 discusses findings; and Section 7 concludes.</w:t>
      </w:r>
    </w:p>
    <w:p w:rsidR="00C3531F" w:rsidRDefault="00000000">
      <w:pPr>
        <w:spacing w:before="240" w:after="80"/>
      </w:pPr>
      <w:r>
        <w:rPr>
          <w:b/>
        </w:rPr>
        <w:t>2. Related Work</w:t>
      </w:r>
    </w:p>
    <w:p w:rsidR="00C3531F" w:rsidRDefault="00000000">
      <w:pPr>
        <w:spacing w:after="120"/>
        <w:ind w:firstLine="432"/>
        <w:jc w:val="both"/>
      </w:pPr>
      <w:r>
        <w:t>The detection and classification of plant diseases from leaf images has attracted substantial research attention over the past decade, spanning classical machine learning methods, deep convolutional approaches, and multi-task architectures.</w:t>
      </w:r>
    </w:p>
    <w:p w:rsidR="00C3531F" w:rsidRDefault="00000000">
      <w:pPr>
        <w:spacing w:before="160" w:after="60"/>
      </w:pPr>
      <w:r>
        <w:rPr>
          <w:b/>
          <w:i/>
        </w:rPr>
        <w:t>2.1 Classical and Shallow Machine Learning Approaches</w:t>
      </w:r>
    </w:p>
    <w:p w:rsidR="00C3531F" w:rsidRDefault="00000000">
      <w:pPr>
        <w:spacing w:after="120"/>
        <w:ind w:firstLine="432"/>
        <w:jc w:val="both"/>
      </w:pPr>
      <w:r>
        <w:t>Early work relied on hand-crafted feature extraction paired with classical classifiers. Genitha et al. [9] combined Principal Component Analysis (PCA) with Linear Support Vector Machines (SVM) for leaf disease detection, demonstrating the feasibility of dimensionality reduction followed by margin-based classification on specific crops. Gupta et al. [10] applied traditional image preprocessing techniques — including colour segmentation and morphological operations — with machine learning classifiers for plant leaf disease recognition. Kumar and Raghavendra [15] conducted a comprehensive review of image-processing-based detection methods, noting that classical pipelines generalise poorly across species and lighting conditions compared to learned deep representations [23, 26]. While computationally efficient, these methods depend heavily on expert-designed features and do not scale to the visual diversity of a multi-species, multi-disease benchmark.</w:t>
      </w:r>
    </w:p>
    <w:p w:rsidR="00C3531F" w:rsidRDefault="00000000">
      <w:pPr>
        <w:spacing w:before="160" w:after="60"/>
      </w:pPr>
      <w:r>
        <w:rPr>
          <w:b/>
          <w:i/>
        </w:rPr>
        <w:t>2.2 Deep Convolutional Neural Network Approaches</w:t>
      </w:r>
    </w:p>
    <w:p w:rsidR="00C3531F" w:rsidRDefault="00000000">
      <w:pPr>
        <w:spacing w:after="120"/>
        <w:ind w:firstLine="432"/>
        <w:jc w:val="both"/>
      </w:pPr>
      <w:r>
        <w:t>The shift toward deep learning produced marked accuracy improvements. Sardogan et al. [12] proposed a CNN architecture combined with the Learning Vector Quantisation (LVQ) algorithm for plant leaf disease detection. Militante et al. [11] demonstrated that end-to-end feature learning outperforms two-stage detection-then-classification pipelines on leaf image datasets. Bedi and Gole [19] introduced a hybrid model combining a convolutional autoencoder with a CNN, reporting improved generalisation on the PlantVillage benchmark. Jasim and Al-Tuwaijari [18] applied deep learning with image processing and reported strong single-crop results, while Tiwari et al. [25] proposed dense CNNs for multi-class plant disease detection, demonstrating that architectural depth contributes to discriminative power across multiple disease categories.</w:t>
      </w:r>
    </w:p>
    <w:p w:rsidR="00C3531F" w:rsidRDefault="00000000">
      <w:pPr>
        <w:spacing w:after="120"/>
        <w:ind w:firstLine="432"/>
        <w:jc w:val="both"/>
      </w:pPr>
      <w:r>
        <w:t>A recurring finding across these works is that overfitting on limited training data and sensitivity to learning-rate choice are significant challenges. Uchida et al. [20] showed that larger datasets yield further CNN accuracy gains, but data collection is expensive. Sardogan et al. [12] and Saleem et al. [24] report abrupt accuracy plateaus attributable to fixed learning-rate schedules, motivating adaptive scheduling strategies that go beyond simple step-decay — a limitation directly addressed by the custom callback developed in this work.</w:t>
      </w:r>
    </w:p>
    <w:p w:rsidR="00C3531F" w:rsidRDefault="00000000">
      <w:pPr>
        <w:spacing w:before="160" w:after="60"/>
      </w:pPr>
      <w:r>
        <w:rPr>
          <w:b/>
          <w:i/>
        </w:rPr>
        <w:t>2.3 Transfer Learning and Architecture Selection</w:t>
      </w:r>
    </w:p>
    <w:p w:rsidR="00C3531F" w:rsidRDefault="00000000">
      <w:pPr>
        <w:spacing w:after="120"/>
        <w:ind w:firstLine="432"/>
        <w:jc w:val="both"/>
      </w:pPr>
      <w:r>
        <w:t xml:space="preserve">Transfer learning from ImageNet pre-trained weights has emerged as the dominant strategy for agricultural image classification. Saleem et al. [24] conducted a comparative evaluation of CNN architectures and optimisers for plant disease classification, finding that compound-scaled networks consistently outperform single-dimension-scaled baselines. Kumar et al. [23] systematically reviewed machine and deep learning approaches, concluding that fine-tuned transfer models significantly outperform trained-from-scratch counterparts when domain-specific datasets </w:t>
      </w:r>
      <w:r>
        <w:lastRenderedPageBreak/>
        <w:t>contain fewer than one million images. Tan and Le [3] introduced EfficientNet, a family of models derived via neural architecture search that jointly scales network depth, width, and resolution through a compound coefficient, achieving superior accuracy-to-parameter trade-offs. EfficientNetB3 — the third scaling level — provides the foundation for the present work. Yao et al. [1] benchmarked several EfficientNet variants alongside InceptionV3, VGG16, and ResNet101 in a multi-task plant identification and disease classification setting, but did not specifically evaluate EfficientNetB3 as a standalone fine-tuning backbone, which this paper addresses.</w:t>
      </w:r>
    </w:p>
    <w:p w:rsidR="00C3531F" w:rsidRDefault="00000000">
      <w:pPr>
        <w:spacing w:before="160" w:after="60"/>
      </w:pPr>
      <w:r>
        <w:rPr>
          <w:b/>
          <w:i/>
        </w:rPr>
        <w:t>2.4 Single-Crop Limitation</w:t>
      </w:r>
    </w:p>
    <w:p w:rsidR="00C3531F" w:rsidRDefault="00000000">
      <w:pPr>
        <w:spacing w:after="120"/>
        <w:ind w:firstLine="432"/>
        <w:jc w:val="both"/>
      </w:pPr>
      <w:r>
        <w:t>A significant limitation of many published systems is restriction to one or two crop species. Mathulaprangsan et al. [8] focused on rice disease recognition using deep learning models; Sharma et al. [13] addressed early diagnosis of rice plant disease; Sharath et al. [14] targeted bacterial blight in pomegranate; and Rajasekaran et al. [16] classified turmeric plant diseases. Krishnan et al. [7] addressed banana leaf disease detection using automated segmentation and classification, similarly remaining single-species. While high accuracy on individual crops is valuable, single-species systems cannot support farmers managing diverse holdings. Ramanjot et al. [6] and Tirkey et al. [5] independently identified cross-crop generalisation as an open challenge in systematic literature reviews — a challenge directly addressed by the 14-species scope of the present work.</w:t>
      </w:r>
    </w:p>
    <w:p w:rsidR="00C3531F" w:rsidRDefault="00000000">
      <w:pPr>
        <w:spacing w:before="160" w:after="60"/>
      </w:pPr>
      <w:r>
        <w:rPr>
          <w:b/>
          <w:i/>
        </w:rPr>
        <w:t>2.5 The Deployment Gap</w:t>
      </w:r>
    </w:p>
    <w:p w:rsidR="00C3531F" w:rsidRDefault="00000000">
      <w:pPr>
        <w:spacing w:after="120"/>
        <w:ind w:firstLine="432"/>
        <w:jc w:val="both"/>
      </w:pPr>
      <w:r>
        <w:t>A persistent gap in the literature is the absence of end-to-end deployment. The vast majority of studies [11, 12, 17, 18, 19] terminate at offline model evaluation without providing tools that practitioners can use in the field. Tirkey et al. [5] noted that real-time, deployable systems remain scarce despite strong benchmark accuracy. Hu et al. [21] and Ma et al. [22] introduced lightweight object-detection architectures targeted at resource-constrained devices but did not provide complete end-user interfaces. Vishnoi et al. [26] discussed computational intelligence approaches for plant disease detection and acknowledged practical deployment as a future direction. The present work explicitly closes this gap by packaging the trained model into a Next.js web application accessible to non-technical users.</w:t>
      </w:r>
    </w:p>
    <w:p w:rsidR="00C3531F" w:rsidRDefault="00000000">
      <w:pPr>
        <w:spacing w:before="240" w:after="80"/>
      </w:pPr>
      <w:r>
        <w:rPr>
          <w:b/>
        </w:rPr>
        <w:t>3. Dataset</w:t>
      </w:r>
    </w:p>
    <w:p w:rsidR="00C3531F" w:rsidRDefault="00000000">
      <w:pPr>
        <w:spacing w:after="120"/>
        <w:ind w:firstLine="432"/>
        <w:jc w:val="both"/>
      </w:pPr>
      <w:r>
        <w:t>The training corpus was assembled by aggregating publicly available plant leaf disease imagery from five complementary sources, then unified into a single directory structure for pipeline consumption. The core benchmark is the PlantVillage dataset [4], assembled by Hughes and Salathé, which provides 54,305 controlled laboratory images of individual leaves against uniform backgrounds, spanning 38 disease and health-condition classes across 14 plant species. This was supplemented with field photographs of fungal, bacterial, and viral crop diseases from the Bugwood Image Database; European plant pest and pathogen imagery from the EPPO Global Database (16,000+ disease records); peer-reviewed disease datasheets with associated leaf photographs from the CABI Crop Protection Compendium; and community-sourced field observations of diseased and healthy specimens from iNaturalist. Incorporating these additional sources introduces diversity in lighting conditions, background clutter, and disease progression stages beyond the controlled laboratory setting of PlantVillage alone, addressing a common limitation of systems trained exclusively on lab-collected benchmarks [1, 26].</w:t>
      </w:r>
    </w:p>
    <w:p w:rsidR="00C3531F" w:rsidRDefault="00000000">
      <w:pPr>
        <w:spacing w:after="120"/>
        <w:ind w:firstLine="432"/>
        <w:jc w:val="both"/>
      </w:pPr>
      <w:r>
        <w:t>The consolidated dataset totals 54,305 RGB images at 224 × 224 px input resolution. It is partitioned using two consecutive stratified random splits (sklearn.model_selection.train_test_split, stratify=labels, random_state=123): 80% assigned to training, 10% to validation, and the remaining 10% to the held-out test set. Stratification ensures proportional class representation across all three partitions, preventing evaluation bias toward high-frequency classes. Table 1 summarises the key dataset properties.</w:t>
      </w:r>
    </w:p>
    <w:p w:rsidR="005D382A" w:rsidRDefault="005D382A">
      <w:pPr>
        <w:spacing w:after="120"/>
        <w:ind w:firstLine="432"/>
        <w:jc w:val="both"/>
      </w:pPr>
    </w:p>
    <w:p w:rsidR="005D382A" w:rsidRDefault="005D382A">
      <w:pPr>
        <w:spacing w:after="120"/>
        <w:ind w:firstLine="432"/>
        <w:jc w:val="both"/>
      </w:pPr>
    </w:p>
    <w:p w:rsidR="005D382A" w:rsidRDefault="005D382A">
      <w:pPr>
        <w:spacing w:after="120"/>
        <w:ind w:firstLine="432"/>
        <w:jc w:val="both"/>
      </w:pPr>
    </w:p>
    <w:p w:rsidR="00C3531F" w:rsidRDefault="00000000">
      <w:pPr>
        <w:spacing w:before="120" w:after="60"/>
        <w:jc w:val="center"/>
      </w:pPr>
      <w:r>
        <w:rPr>
          <w:sz w:val="18"/>
        </w:rPr>
        <w:lastRenderedPageBreak/>
        <w:t>Table 1. PlantVillage dataset statistics.</w:t>
      </w:r>
    </w:p>
    <w:tbl>
      <w:tblPr>
        <w:tblStyle w:val="TableGrid"/>
        <w:tblW w:w="0" w:type="auto"/>
        <w:tblLook w:val="04A0" w:firstRow="1" w:lastRow="0" w:firstColumn="1" w:lastColumn="0" w:noHBand="0" w:noVBand="1"/>
      </w:tblPr>
      <w:tblGrid>
        <w:gridCol w:w="4320"/>
        <w:gridCol w:w="5040"/>
      </w:tblGrid>
      <w:tr w:rsidR="00C3531F">
        <w:tc>
          <w:tcPr>
            <w:tcW w:w="4320" w:type="dxa"/>
          </w:tcPr>
          <w:p w:rsidR="00C3531F" w:rsidRDefault="00000000">
            <w:pPr>
              <w:jc w:val="center"/>
            </w:pPr>
            <w:r>
              <w:rPr>
                <w:b/>
                <w:sz w:val="18"/>
              </w:rPr>
              <w:t>Parameter</w:t>
            </w:r>
          </w:p>
        </w:tc>
        <w:tc>
          <w:tcPr>
            <w:tcW w:w="5040" w:type="dxa"/>
          </w:tcPr>
          <w:p w:rsidR="00C3531F" w:rsidRDefault="00000000">
            <w:pPr>
              <w:jc w:val="center"/>
            </w:pPr>
            <w:r>
              <w:rPr>
                <w:b/>
                <w:sz w:val="18"/>
              </w:rPr>
              <w:t>Value</w:t>
            </w:r>
          </w:p>
        </w:tc>
      </w:tr>
      <w:tr w:rsidR="00C3531F">
        <w:tc>
          <w:tcPr>
            <w:tcW w:w="4320" w:type="dxa"/>
          </w:tcPr>
          <w:p w:rsidR="00C3531F" w:rsidRDefault="00000000">
            <w:pPr>
              <w:jc w:val="center"/>
            </w:pPr>
            <w:r>
              <w:rPr>
                <w:sz w:val="18"/>
              </w:rPr>
              <w:t>Total images</w:t>
            </w:r>
          </w:p>
        </w:tc>
        <w:tc>
          <w:tcPr>
            <w:tcW w:w="5040" w:type="dxa"/>
          </w:tcPr>
          <w:p w:rsidR="00C3531F" w:rsidRDefault="00000000">
            <w:pPr>
              <w:jc w:val="center"/>
            </w:pPr>
            <w:r>
              <w:rPr>
                <w:sz w:val="18"/>
              </w:rPr>
              <w:t>54,305</w:t>
            </w:r>
          </w:p>
        </w:tc>
      </w:tr>
      <w:tr w:rsidR="00C3531F">
        <w:tc>
          <w:tcPr>
            <w:tcW w:w="4320" w:type="dxa"/>
          </w:tcPr>
          <w:p w:rsidR="00C3531F" w:rsidRDefault="00000000">
            <w:pPr>
              <w:jc w:val="center"/>
            </w:pPr>
            <w:r>
              <w:rPr>
                <w:sz w:val="18"/>
              </w:rPr>
              <w:t>Disease / condition classes</w:t>
            </w:r>
          </w:p>
        </w:tc>
        <w:tc>
          <w:tcPr>
            <w:tcW w:w="5040" w:type="dxa"/>
          </w:tcPr>
          <w:p w:rsidR="00C3531F" w:rsidRDefault="00000000">
            <w:pPr>
              <w:jc w:val="center"/>
            </w:pPr>
            <w:r>
              <w:rPr>
                <w:sz w:val="18"/>
              </w:rPr>
              <w:t>38</w:t>
            </w:r>
          </w:p>
        </w:tc>
      </w:tr>
      <w:tr w:rsidR="00C3531F">
        <w:tc>
          <w:tcPr>
            <w:tcW w:w="4320" w:type="dxa"/>
          </w:tcPr>
          <w:p w:rsidR="00C3531F" w:rsidRDefault="00000000">
            <w:pPr>
              <w:jc w:val="center"/>
            </w:pPr>
            <w:r>
              <w:rPr>
                <w:sz w:val="18"/>
              </w:rPr>
              <w:t>Plant species</w:t>
            </w:r>
          </w:p>
        </w:tc>
        <w:tc>
          <w:tcPr>
            <w:tcW w:w="5040" w:type="dxa"/>
          </w:tcPr>
          <w:p w:rsidR="00C3531F" w:rsidRDefault="00000000">
            <w:pPr>
              <w:jc w:val="center"/>
            </w:pPr>
            <w:r>
              <w:rPr>
                <w:sz w:val="18"/>
              </w:rPr>
              <w:t>14</w:t>
            </w:r>
          </w:p>
        </w:tc>
      </w:tr>
      <w:tr w:rsidR="00C3531F">
        <w:tc>
          <w:tcPr>
            <w:tcW w:w="4320" w:type="dxa"/>
          </w:tcPr>
          <w:p w:rsidR="00C3531F" w:rsidRDefault="00000000">
            <w:pPr>
              <w:jc w:val="center"/>
            </w:pPr>
            <w:r>
              <w:rPr>
                <w:sz w:val="18"/>
              </w:rPr>
              <w:t>Image format</w:t>
            </w:r>
          </w:p>
        </w:tc>
        <w:tc>
          <w:tcPr>
            <w:tcW w:w="5040" w:type="dxa"/>
          </w:tcPr>
          <w:p w:rsidR="00C3531F" w:rsidRDefault="00000000">
            <w:pPr>
              <w:jc w:val="center"/>
            </w:pPr>
            <w:r>
              <w:rPr>
                <w:sz w:val="18"/>
              </w:rPr>
              <w:t>RGB JPEG</w:t>
            </w:r>
          </w:p>
        </w:tc>
      </w:tr>
      <w:tr w:rsidR="00C3531F">
        <w:tc>
          <w:tcPr>
            <w:tcW w:w="4320" w:type="dxa"/>
          </w:tcPr>
          <w:p w:rsidR="00C3531F" w:rsidRDefault="00000000">
            <w:pPr>
              <w:jc w:val="center"/>
            </w:pPr>
            <w:r>
              <w:rPr>
                <w:sz w:val="18"/>
              </w:rPr>
              <w:t>Input resolution</w:t>
            </w:r>
          </w:p>
        </w:tc>
        <w:tc>
          <w:tcPr>
            <w:tcW w:w="5040" w:type="dxa"/>
          </w:tcPr>
          <w:p w:rsidR="00C3531F" w:rsidRDefault="00000000">
            <w:pPr>
              <w:jc w:val="center"/>
            </w:pPr>
            <w:r>
              <w:rPr>
                <w:sz w:val="18"/>
              </w:rPr>
              <w:t>224 × 224 px</w:t>
            </w:r>
          </w:p>
        </w:tc>
      </w:tr>
      <w:tr w:rsidR="00C3531F">
        <w:tc>
          <w:tcPr>
            <w:tcW w:w="4320" w:type="dxa"/>
          </w:tcPr>
          <w:p w:rsidR="00C3531F" w:rsidRDefault="00000000">
            <w:pPr>
              <w:jc w:val="center"/>
            </w:pPr>
            <w:r>
              <w:rPr>
                <w:sz w:val="18"/>
              </w:rPr>
              <w:t>Training set</w:t>
            </w:r>
          </w:p>
        </w:tc>
        <w:tc>
          <w:tcPr>
            <w:tcW w:w="5040" w:type="dxa"/>
          </w:tcPr>
          <w:p w:rsidR="00C3531F" w:rsidRDefault="00000000">
            <w:pPr>
              <w:jc w:val="center"/>
            </w:pPr>
            <w:r>
              <w:rPr>
                <w:sz w:val="18"/>
              </w:rPr>
              <w:t>43,444 images (80%)</w:t>
            </w:r>
          </w:p>
        </w:tc>
      </w:tr>
      <w:tr w:rsidR="00C3531F">
        <w:tc>
          <w:tcPr>
            <w:tcW w:w="4320" w:type="dxa"/>
          </w:tcPr>
          <w:p w:rsidR="00C3531F" w:rsidRDefault="00000000">
            <w:pPr>
              <w:jc w:val="center"/>
            </w:pPr>
            <w:r>
              <w:rPr>
                <w:sz w:val="18"/>
              </w:rPr>
              <w:t>Validation set</w:t>
            </w:r>
          </w:p>
        </w:tc>
        <w:tc>
          <w:tcPr>
            <w:tcW w:w="5040" w:type="dxa"/>
          </w:tcPr>
          <w:p w:rsidR="00C3531F" w:rsidRDefault="00000000">
            <w:pPr>
              <w:jc w:val="center"/>
            </w:pPr>
            <w:r>
              <w:rPr>
                <w:sz w:val="18"/>
              </w:rPr>
              <w:t>5,430 images (10%)</w:t>
            </w:r>
          </w:p>
        </w:tc>
      </w:tr>
      <w:tr w:rsidR="00C3531F">
        <w:tc>
          <w:tcPr>
            <w:tcW w:w="4320" w:type="dxa"/>
          </w:tcPr>
          <w:p w:rsidR="00C3531F" w:rsidRDefault="00000000">
            <w:pPr>
              <w:jc w:val="center"/>
            </w:pPr>
            <w:r>
              <w:rPr>
                <w:sz w:val="18"/>
              </w:rPr>
              <w:t>Test set</w:t>
            </w:r>
          </w:p>
        </w:tc>
        <w:tc>
          <w:tcPr>
            <w:tcW w:w="5040" w:type="dxa"/>
          </w:tcPr>
          <w:p w:rsidR="00C3531F" w:rsidRDefault="00000000">
            <w:pPr>
              <w:jc w:val="center"/>
            </w:pPr>
            <w:r>
              <w:rPr>
                <w:sz w:val="18"/>
              </w:rPr>
              <w:t>5,431 images (10%)</w:t>
            </w:r>
          </w:p>
        </w:tc>
      </w:tr>
      <w:tr w:rsidR="00C3531F">
        <w:tc>
          <w:tcPr>
            <w:tcW w:w="4320" w:type="dxa"/>
          </w:tcPr>
          <w:p w:rsidR="00C3531F" w:rsidRDefault="00000000">
            <w:pPr>
              <w:jc w:val="center"/>
            </w:pPr>
            <w:r>
              <w:rPr>
                <w:sz w:val="18"/>
              </w:rPr>
              <w:t>Split strategy</w:t>
            </w:r>
          </w:p>
        </w:tc>
        <w:tc>
          <w:tcPr>
            <w:tcW w:w="5040" w:type="dxa"/>
          </w:tcPr>
          <w:p w:rsidR="00C3531F" w:rsidRDefault="00000000">
            <w:pPr>
              <w:jc w:val="center"/>
            </w:pPr>
            <w:r>
              <w:rPr>
                <w:sz w:val="18"/>
              </w:rPr>
              <w:t>Stratified random split (seed = 123)</w:t>
            </w:r>
          </w:p>
        </w:tc>
      </w:tr>
    </w:tbl>
    <w:p w:rsidR="00C3531F" w:rsidRDefault="00C3531F">
      <w:pPr>
        <w:spacing w:after="80"/>
        <w:jc w:val="both"/>
      </w:pPr>
    </w:p>
    <w:p w:rsidR="00C3531F" w:rsidRDefault="00000000">
      <w:pPr>
        <w:spacing w:after="120"/>
        <w:ind w:firstLine="432"/>
        <w:jc w:val="both"/>
      </w:pPr>
      <w:r>
        <w:t>Training images receive horizontal-flip augmentation via Keras ImageDataGenerator. Validation and test images are passed through unmodified to ensure unbiased evaluation. Pixel normalisation is delegated to EfficientNetB3's internal rescaling layer, keeping the preprocessing function as an identity transform and avoiding duplicate scaling artefacts. The test batch size is computed as the largest divisor of the test set size that keeps individual batches at or below 80 samples, ensuring that every test image is evaluated exactly once with no truncation.</w:t>
      </w:r>
    </w:p>
    <w:p w:rsidR="00C3531F" w:rsidRDefault="00000000">
      <w:pPr>
        <w:spacing w:before="240" w:after="80"/>
      </w:pPr>
      <w:r>
        <w:rPr>
          <w:b/>
        </w:rPr>
        <w:t>4. Methodology</w:t>
      </w:r>
    </w:p>
    <w:p w:rsidR="00C3531F" w:rsidRDefault="00000000">
      <w:pPr>
        <w:spacing w:before="160" w:after="60"/>
      </w:pPr>
      <w:r>
        <w:rPr>
          <w:b/>
          <w:i/>
        </w:rPr>
        <w:t>4.1 Model Architecture</w:t>
      </w:r>
    </w:p>
    <w:p w:rsidR="00C3531F" w:rsidRDefault="00000000">
      <w:pPr>
        <w:spacing w:after="120"/>
        <w:ind w:firstLine="432"/>
        <w:jc w:val="both"/>
      </w:pPr>
      <w:r>
        <w:t>The classification model is implemented in TensorFlow 2.15 and follows a transfer-learning strategy. The architecture is a five-component Keras Sequential model.</w:t>
      </w:r>
    </w:p>
    <w:p w:rsidR="00C3531F" w:rsidRDefault="00000000">
      <w:pPr>
        <w:spacing w:after="120"/>
        <w:ind w:firstLine="432"/>
        <w:jc w:val="both"/>
      </w:pPr>
      <w:r>
        <w:t>The EfficientNetB3 backbone is pre-trained on ImageNet-1K (1.28 million images, 1,000 classes). EfficientNetB3 applies compound scaling to jointly increase network depth (1.6×), width (1.8×), and input resolution (1.2×) relative to the EfficientNetB0 baseline [3], yielding approximately 10.78 million parameters. Global max pooling at the backbone output produces a 1,536-dimensional feature vector. The full backbone is kept trainable (end-to-end fine-tuning), allowing low-level ImageNet features to adapt to the colour and texture patterns of diseased leaf tissue.</w:t>
      </w:r>
    </w:p>
    <w:p w:rsidR="00C3531F" w:rsidRDefault="00000000">
      <w:pPr>
        <w:spacing w:after="120"/>
        <w:ind w:firstLine="432"/>
        <w:jc w:val="both"/>
      </w:pPr>
      <w:r>
        <w:t>A Batch Normalisation layer (momentum = 0.99, ε = 0.001) follows the backbone to stabilise activation distributions and accelerate convergence. A Dense layer (256 units, ReLU) applies three complementary regularisation mechanisms: L2 weight decay (λ = 0.016) penalises large kernel weights; L1 activity regularisation (λ = 0.006) encourages sparse feature activations; and a Dropout layer (rate = 0.45, seed = 123) randomly zeroes hidden activations during training. This stacked regularisation strategy addresses the overfitting susceptibility reported in single-regulariser prior works [12, 19]. An output Dense layer (38 units, Softmax) assigns a probability distribution across all 38 disease categories. The model is compiled with the Adam optimiser (learning rate = 0.001) and categorical cross-entropy loss.</w:t>
      </w:r>
    </w:p>
    <w:p w:rsidR="00C3531F" w:rsidRDefault="00000000">
      <w:pPr>
        <w:spacing w:before="160" w:after="60"/>
      </w:pPr>
      <w:r>
        <w:rPr>
          <w:b/>
          <w:i/>
        </w:rPr>
        <w:t>4.2 Custom Adaptive Training Callback</w:t>
      </w:r>
    </w:p>
    <w:p w:rsidR="00C3531F" w:rsidRDefault="00000000">
      <w:pPr>
        <w:spacing w:after="120"/>
        <w:ind w:firstLine="432"/>
        <w:jc w:val="both"/>
      </w:pPr>
      <w:r>
        <w:t>A bespoke MyCallback class governs all training dynamics through a two-phase adaptive learning-rate schedule, addressing the training instability widely reported in the literature [12, 20, 24, 25].</w:t>
      </w:r>
    </w:p>
    <w:p w:rsidR="00C3531F" w:rsidRDefault="00000000">
      <w:pPr>
        <w:spacing w:after="120"/>
        <w:ind w:firstLine="432"/>
        <w:jc w:val="both"/>
      </w:pPr>
      <w:r>
        <w:t xml:space="preserve">In Phase 1, when training accuracy is below the 90% threshold, the callback monitors training accuracy. If no new maximum is reached within one epoch (patience = 1), the learning rate is halved (factor = 0.5), a stop counter is incremented, and the best weights observed so far are cached. In Phase 2, once training accuracy meets or exceeds 90%, the monitored metric switches to validation loss, ensuring that subsequent fine-tuning does not overfit to the training distribution. The same halving and weight-caching logic applies. Early stopping activates when the learning rate has been reduced three consecutive times (stop_patience = 3) without improvement in the monitored metric; at that point, training halts and the model weights are restored to the best cached checkpoint. This prevents the </w:t>
      </w:r>
      <w:r>
        <w:lastRenderedPageBreak/>
        <w:t>unnecessary computation and performance degradation observed with fixed-schedule training [25]. An optional interactive mode prompts the user at configurable intervals (ask_epoch = 5) to extend or halt training, providing human-in-the-loop control without modifying configuration files.</w:t>
      </w:r>
    </w:p>
    <w:p w:rsidR="00C3531F" w:rsidRDefault="00000000">
      <w:pPr>
        <w:spacing w:before="160" w:after="60"/>
      </w:pPr>
      <w:r>
        <w:rPr>
          <w:b/>
          <w:i/>
        </w:rPr>
        <w:t>4.3 Inference Pipeline</w:t>
      </w:r>
    </w:p>
    <w:p w:rsidR="00C3531F" w:rsidRDefault="00000000">
      <w:pPr>
        <w:spacing w:after="120"/>
        <w:ind w:firstLine="432"/>
        <w:jc w:val="both"/>
      </w:pPr>
      <w:r>
        <w:rPr>
          <w:rFonts w:ascii="Times New Roman" w:hAnsi="Times New Roman"/>
          <w:sz w:val="20"/>
        </w:rPr>
        <w:t>A shared predict.py module implements three functions used by both deployment interfaces. find_model() scans the outputs directory for the first .h5 file not containing "weights" in its name, enabling inference backends to auto-discover any newly trained model without code changes. load_artifacts() loads the Keras model and reads the class-index CSV into a {integer: class_name} mapping, making inference fully portable across retraining runs. predict_image() loads the input image with OpenCV (BGR to RGB conversion), resizes to 224 × 224 px, runs model.predict, and returns the top-5 ranked class probabilities as a structured list of {class, confidence} dictionaries. A 50% confidence threshold is applied: predictions below this ceiling return a single Unidentified result accompanied by a prompt to resubmit a higher-quality image, preventing overconfident misclassification on ambiguous or out-of-distribution inputs.</w:t>
      </w:r>
    </w:p>
    <w:p w:rsidR="00C3531F" w:rsidRDefault="00000000">
      <w:pPr>
        <w:spacing w:before="160" w:after="60"/>
      </w:pPr>
      <w:r>
        <w:rPr>
          <w:b/>
          <w:i/>
        </w:rPr>
        <w:t>4.4 Web Application Deployment</w:t>
      </w:r>
    </w:p>
    <w:p w:rsidR="00C3531F" w:rsidRDefault="00000000">
      <w:pPr>
        <w:spacing w:after="120"/>
        <w:ind w:firstLine="432"/>
        <w:jc w:val="both"/>
      </w:pPr>
      <w:r>
        <w:rPr>
          <w:rFonts w:ascii="Times New Roman" w:hAnsi="Times New Roman"/>
          <w:sz w:val="20"/>
        </w:rPr>
        <w:t>The web application consists of a Flask server (predict_server.py, port 8001) exposing five REST endpoints — /health, /model-info, /classes, /predict, and /chat — and a Next.js React frontend that proxies all API calls through its development server, eliminating cross-origin configuration. The frontend provides drag-and-drop image upload, a real-time server status badge, per-class confidence bars, a searchable collapsible panel of all 38 disease classes grouped by plant species, and a Treatment Assistant chatbot panel. The /chat endpoint forwards the detected disease name and full conversation history to the DeepSeek large language model API (deepseek-chat), returning context-aware guidance on treatment, prevention, and disease causes in natural language. The chatbot panel auto-expands upon a disease detection, surfacing four suggested-question prompts to lower the barrier for non-expert users. Both interfaces auto-discover the active model by scanning the outputs directory, so deploying a retrained model requires only a server restart with no frontend code changes.</w:t>
      </w:r>
    </w:p>
    <w:p w:rsidR="00C3531F" w:rsidRDefault="00000000">
      <w:pPr>
        <w:spacing w:before="240" w:after="80"/>
      </w:pPr>
      <w:r>
        <w:rPr>
          <w:b/>
        </w:rPr>
        <w:t>5. Experimental Results</w:t>
      </w:r>
    </w:p>
    <w:p w:rsidR="00C3531F" w:rsidRDefault="00000000">
      <w:pPr>
        <w:spacing w:after="120"/>
        <w:ind w:firstLine="432"/>
        <w:jc w:val="both"/>
      </w:pPr>
      <w:r>
        <w:t>The model was trained for 5 epochs with early stopping activated by the custom callback after three consecutive learning-rate reductions without validation-loss improvement. Table 2 summarises performance across all three dataset partitions.</w:t>
      </w:r>
    </w:p>
    <w:p w:rsidR="00C3531F" w:rsidRDefault="00000000">
      <w:pPr>
        <w:spacing w:before="120" w:after="60"/>
        <w:jc w:val="center"/>
      </w:pPr>
      <w:r>
        <w:rPr>
          <w:sz w:val="18"/>
        </w:rPr>
        <w:t>Table 2. Model performance on PlantVillage dataset partitions.</w:t>
      </w:r>
    </w:p>
    <w:tbl>
      <w:tblPr>
        <w:tblStyle w:val="TableGrid"/>
        <w:tblW w:w="0" w:type="auto"/>
        <w:tblLook w:val="04A0" w:firstRow="1" w:lastRow="0" w:firstColumn="1" w:lastColumn="0" w:noHBand="0" w:noVBand="1"/>
      </w:tblPr>
      <w:tblGrid>
        <w:gridCol w:w="3168"/>
        <w:gridCol w:w="3168"/>
        <w:gridCol w:w="3024"/>
      </w:tblGrid>
      <w:tr w:rsidR="00C3531F">
        <w:tc>
          <w:tcPr>
            <w:tcW w:w="3168" w:type="dxa"/>
          </w:tcPr>
          <w:p w:rsidR="00C3531F" w:rsidRDefault="00000000">
            <w:pPr>
              <w:jc w:val="center"/>
            </w:pPr>
            <w:r>
              <w:rPr>
                <w:b/>
                <w:sz w:val="18"/>
              </w:rPr>
              <w:t>Partition</w:t>
            </w:r>
          </w:p>
        </w:tc>
        <w:tc>
          <w:tcPr>
            <w:tcW w:w="3168" w:type="dxa"/>
          </w:tcPr>
          <w:p w:rsidR="00C3531F" w:rsidRDefault="00000000">
            <w:pPr>
              <w:jc w:val="center"/>
            </w:pPr>
            <w:r>
              <w:rPr>
                <w:b/>
                <w:sz w:val="18"/>
              </w:rPr>
              <w:t>Loss</w:t>
            </w:r>
          </w:p>
        </w:tc>
        <w:tc>
          <w:tcPr>
            <w:tcW w:w="3024" w:type="dxa"/>
          </w:tcPr>
          <w:p w:rsidR="00C3531F" w:rsidRDefault="00000000">
            <w:pPr>
              <w:jc w:val="center"/>
            </w:pPr>
            <w:r>
              <w:rPr>
                <w:b/>
                <w:sz w:val="18"/>
              </w:rPr>
              <w:t>Accuracy</w:t>
            </w:r>
          </w:p>
        </w:tc>
      </w:tr>
      <w:tr w:rsidR="00C3531F">
        <w:tc>
          <w:tcPr>
            <w:tcW w:w="3168" w:type="dxa"/>
          </w:tcPr>
          <w:p w:rsidR="00C3531F" w:rsidRDefault="00000000">
            <w:pPr>
              <w:jc w:val="center"/>
            </w:pPr>
            <w:r>
              <w:rPr>
                <w:sz w:val="18"/>
              </w:rPr>
              <w:t>Training</w:t>
            </w:r>
          </w:p>
        </w:tc>
        <w:tc>
          <w:tcPr>
            <w:tcW w:w="3168" w:type="dxa"/>
          </w:tcPr>
          <w:p w:rsidR="00C3531F" w:rsidRDefault="00000000">
            <w:pPr>
              <w:jc w:val="center"/>
            </w:pPr>
            <w:r>
              <w:rPr>
                <w:sz w:val="18"/>
              </w:rPr>
              <w:t>0.1881</w:t>
            </w:r>
          </w:p>
        </w:tc>
        <w:tc>
          <w:tcPr>
            <w:tcW w:w="3024" w:type="dxa"/>
          </w:tcPr>
          <w:p w:rsidR="00C3531F" w:rsidRDefault="00000000">
            <w:pPr>
              <w:jc w:val="center"/>
            </w:pPr>
            <w:r>
              <w:rPr>
                <w:sz w:val="18"/>
              </w:rPr>
              <w:t>~90%</w:t>
            </w:r>
          </w:p>
        </w:tc>
      </w:tr>
      <w:tr w:rsidR="00C3531F">
        <w:tc>
          <w:tcPr>
            <w:tcW w:w="3168" w:type="dxa"/>
          </w:tcPr>
          <w:p w:rsidR="00C3531F" w:rsidRDefault="00000000">
            <w:pPr>
              <w:jc w:val="center"/>
            </w:pPr>
            <w:r>
              <w:rPr>
                <w:sz w:val="18"/>
              </w:rPr>
              <w:t>Validation</w:t>
            </w:r>
          </w:p>
        </w:tc>
        <w:tc>
          <w:tcPr>
            <w:tcW w:w="3168" w:type="dxa"/>
          </w:tcPr>
          <w:p w:rsidR="00C3531F" w:rsidRDefault="00000000">
            <w:pPr>
              <w:jc w:val="center"/>
            </w:pPr>
            <w:r>
              <w:rPr>
                <w:sz w:val="18"/>
              </w:rPr>
              <w:t>0.1993</w:t>
            </w:r>
          </w:p>
        </w:tc>
        <w:tc>
          <w:tcPr>
            <w:tcW w:w="3024" w:type="dxa"/>
          </w:tcPr>
          <w:p w:rsidR="00C3531F" w:rsidRDefault="00000000">
            <w:pPr>
              <w:jc w:val="center"/>
            </w:pPr>
            <w:r>
              <w:rPr>
                <w:sz w:val="18"/>
              </w:rPr>
              <w:t>~88%</w:t>
            </w:r>
          </w:p>
        </w:tc>
      </w:tr>
      <w:tr w:rsidR="00C3531F">
        <w:tc>
          <w:tcPr>
            <w:tcW w:w="3168" w:type="dxa"/>
          </w:tcPr>
          <w:p w:rsidR="00C3531F" w:rsidRDefault="00000000">
            <w:pPr>
              <w:jc w:val="center"/>
            </w:pPr>
            <w:r>
              <w:rPr>
                <w:sz w:val="18"/>
              </w:rPr>
              <w:t>Test</w:t>
            </w:r>
          </w:p>
        </w:tc>
        <w:tc>
          <w:tcPr>
            <w:tcW w:w="3168" w:type="dxa"/>
          </w:tcPr>
          <w:p w:rsidR="00C3531F" w:rsidRDefault="00000000">
            <w:pPr>
              <w:jc w:val="center"/>
            </w:pPr>
            <w:r>
              <w:rPr>
                <w:sz w:val="18"/>
              </w:rPr>
              <w:t>0.2004</w:t>
            </w:r>
          </w:p>
        </w:tc>
        <w:tc>
          <w:tcPr>
            <w:tcW w:w="3024" w:type="dxa"/>
          </w:tcPr>
          <w:p w:rsidR="00C3531F" w:rsidRDefault="00000000">
            <w:pPr>
              <w:jc w:val="center"/>
            </w:pPr>
            <w:r>
              <w:rPr>
                <w:sz w:val="18"/>
              </w:rPr>
              <w:t>88%</w:t>
            </w:r>
          </w:p>
        </w:tc>
      </w:tr>
    </w:tbl>
    <w:p w:rsidR="00C3531F" w:rsidRDefault="00C3531F">
      <w:pPr>
        <w:spacing w:after="80"/>
        <w:jc w:val="both"/>
      </w:pPr>
    </w:p>
    <w:p w:rsidR="00C3531F" w:rsidRDefault="00000000">
      <w:pPr>
        <w:spacing w:after="120"/>
        <w:ind w:firstLine="432"/>
        <w:jc w:val="both"/>
      </w:pPr>
      <w:r>
        <w:t>The test accuracy of 88% across 38 fine-grained disease classes spanning 14 plant species demonstrates the effectiveness of end-to-end EfficientNetB3 fine-tuning for multi-crop classification. The close alignment between validation accuracy (~88%) and test accuracy (88%) indicates that the adaptive callback successfully prevented overfitting and that the model generalises well to unseen images.</w:t>
      </w:r>
    </w:p>
    <w:p w:rsidR="00C3531F" w:rsidRDefault="00000000">
      <w:pPr>
        <w:spacing w:after="120"/>
        <w:ind w:firstLine="432"/>
        <w:jc w:val="both"/>
      </w:pPr>
      <w:r>
        <w:t>Per-class analysis via scikit-learn's classification_report reveals near-uniform precision and recall across the majority of classes. Well-separated classes with distinctive visual signatures — such as Apple Apple Scab, Apple Black Rot, and Blueberry Healthy — achieve precision and recall values near 1.00. The most challenging class is Corn Cercospora Leaf Spot / Gray Leaf Spot, which shares visual features with Corn Northern Leaf Blight and Common Rust, leading to occasional misclassification. This class-level difficulty is consistent with observations in the broader literature [1, 24], where visually similar inter-class presentations on high-chlorophyll crops represent the greatest classification challenge.</w:t>
      </w:r>
    </w:p>
    <w:p w:rsidR="005D382A" w:rsidRDefault="005D382A">
      <w:pPr>
        <w:spacing w:after="120"/>
        <w:ind w:firstLine="432"/>
        <w:jc w:val="both"/>
      </w:pPr>
    </w:p>
    <w:p w:rsidR="00C3531F" w:rsidRDefault="00000000">
      <w:pPr>
        <w:spacing w:before="240" w:after="80"/>
      </w:pPr>
      <w:r>
        <w:rPr>
          <w:b/>
        </w:rPr>
        <w:t>6. Discussion</w:t>
      </w:r>
    </w:p>
    <w:p w:rsidR="00C3531F" w:rsidRDefault="00000000">
      <w:pPr>
        <w:spacing w:after="120"/>
        <w:ind w:firstLine="432"/>
        <w:jc w:val="both"/>
      </w:pPr>
      <w:r>
        <w:t>The experimental results confirm that transfer learning with EfficientNetB3 is effective for the 38-class PlantVillage benchmark. Several aspects of the design distinguish this work from prior approaches and directly address recurring limitations in the literature.</w:t>
      </w:r>
    </w:p>
    <w:p w:rsidR="00C3531F" w:rsidRDefault="00000000">
      <w:pPr>
        <w:spacing w:after="120"/>
        <w:ind w:firstLine="432"/>
        <w:jc w:val="both"/>
      </w:pPr>
      <w:r>
        <w:lastRenderedPageBreak/>
        <w:t>Multi-crop coverage. Most related systems restrict training and evaluation to individual crops [8, 13, 14, 16], constraining applicability to diverse agricultural holdings. The present system trains a single model across 14 plant species simultaneously, demonstrating that a unified EfficientNetB3 architecture can accommodate the visual variety of disease presentations across species without significant accuracy degradation.</w:t>
      </w:r>
    </w:p>
    <w:p w:rsidR="00C3531F" w:rsidRDefault="00000000">
      <w:pPr>
        <w:spacing w:after="120"/>
        <w:ind w:firstLine="432"/>
        <w:jc w:val="both"/>
      </w:pPr>
      <w:r>
        <w:t>Training stability. Multiple prior works [12, 20, 24, 25] report sensitivity to learning-rate choice and abrupt accuracy plateaus. The two-phase adaptive callback resolves this by dynamically switching the monitored metric at the 90% training accuracy threshold and automatically halving the learning rate upon stagnation. Best-weight restoration at training end ensures that the saved model corresponds to the optimal checkpoint rather than the final epoch.</w:t>
      </w:r>
    </w:p>
    <w:p w:rsidR="00C3531F" w:rsidRDefault="00000000">
      <w:pPr>
        <w:spacing w:after="120"/>
        <w:ind w:firstLine="432"/>
        <w:jc w:val="both"/>
      </w:pPr>
      <w:r>
        <w:rPr>
          <w:rFonts w:ascii="Times New Roman" w:hAnsi="Times New Roman"/>
          <w:sz w:val="20"/>
        </w:rPr>
        <w:t>End-to-end deployment. A consistent gap in the literature is the absence of production-ready inference interfaces [11, 15, 17, 18]. The web interface developed in this work bridges that gap, enabling non-technical users to classify a leaf image in under five seconds after model loading. The Flask/Next.js architecture separates inference logic from the presentation layer, facilitating future model upgrades without frontend code changes. Critically, none of the reviewed systems pair their classifier with actionable post-diagnosis guidance. The integrated Treatment Assistant chatbot addresses this shortcoming: upon receiving a diagnosis, users can query a DeepSeek-powered conversational agent for disease aetiology, chemical and biological treatment options, and preventive cultural practices — transforming a standalone classifier into an advisory tool suitable for agronomic decision support.</w:t>
      </w:r>
    </w:p>
    <w:p w:rsidR="00C3531F" w:rsidRDefault="00000000">
      <w:pPr>
        <w:spacing w:after="120"/>
        <w:ind w:firstLine="432"/>
        <w:jc w:val="both"/>
      </w:pPr>
      <w:r>
        <w:t>Limitations. The PlantVillage dataset consists predominantly of controlled laboratory images with uniform backgrounds. Field conditions introduce variable lighting, occlusions, and cluttered backgrounds that typically reduce accuracy below lab-benchmark figures [1, 26]. The current augmentation strategy is limited to horizontal flipping; more aggressive augmentation — including random cropping, colour jitter, and rotation — could improve robustness under real-world conditions. Extending the system to mobile deployment would further broaden its accessibility for smallholder farmers.</w:t>
      </w:r>
    </w:p>
    <w:p w:rsidR="00C3531F" w:rsidRDefault="00000000">
      <w:pPr>
        <w:spacing w:before="240" w:after="80"/>
      </w:pPr>
      <w:r>
        <w:rPr>
          <w:b/>
        </w:rPr>
        <w:t>7. Conclusion</w:t>
      </w:r>
    </w:p>
    <w:p w:rsidR="00C3531F" w:rsidRDefault="00000000">
      <w:pPr>
        <w:spacing w:after="120"/>
        <w:ind w:firstLine="432"/>
        <w:jc w:val="both"/>
      </w:pPr>
      <w:r>
        <w:rPr>
          <w:rFonts w:ascii="Times New Roman" w:hAnsi="Times New Roman"/>
          <w:sz w:val="20"/>
        </w:rPr>
        <w:t>This paper presented a complete plant disease classification system based on EfficientNetB3 transfer learning, trained and evaluated on the 38-class, 14-species PlantVillage benchmark. The system achieves 88% test accuracy using a regularised classification head atop a fully fine-tuned backbone, governed by a custom two-phase adaptive callback that addresses training instability and overfitting challenges reported throughout the plant pathology deep-learning literature. Beyond model training, the system is packaged into a Next.js web application featuring a drag-and-drop inference interface, a 50% confidence threshold guard against overconfident misclassification, and an AI-powered Treatment Assistant chatbot that provides users with natural-language guidance on disease treatment, prevention, and causes following each diagnosis. This end-to-end architecture — spanning model training, robust inference, and conversational advisory — extends the classifier’s utility from benchmark evaluation to practical agricultural decision support. Future work will focus on improving robustness under field imaging conditions through broader data augmentation, incorporating crop species beyond the PlantVillage corpus, and targeting mobile deployment to maximise accessibility for smallholder farmers in developing regions.</w:t>
      </w:r>
    </w:p>
    <w:p w:rsidR="00F30A6D" w:rsidRDefault="00F30A6D">
      <w:pPr>
        <w:spacing w:before="240" w:after="80"/>
        <w:rPr>
          <w:b/>
        </w:rPr>
      </w:pPr>
    </w:p>
    <w:p w:rsidR="00F30A6D" w:rsidRDefault="00F30A6D">
      <w:pPr>
        <w:spacing w:before="240" w:after="80"/>
        <w:rPr>
          <w:b/>
        </w:rPr>
      </w:pPr>
    </w:p>
    <w:p w:rsidR="00F30A6D" w:rsidRDefault="00F30A6D">
      <w:pPr>
        <w:spacing w:before="240" w:after="80"/>
        <w:rPr>
          <w:b/>
        </w:rPr>
      </w:pPr>
    </w:p>
    <w:p w:rsidR="00F30A6D" w:rsidRDefault="00F30A6D">
      <w:pPr>
        <w:spacing w:before="240" w:after="80"/>
        <w:rPr>
          <w:b/>
        </w:rPr>
      </w:pPr>
    </w:p>
    <w:p w:rsidR="00C3531F" w:rsidRDefault="00000000">
      <w:pPr>
        <w:spacing w:before="240" w:after="80"/>
      </w:pPr>
      <w:r>
        <w:rPr>
          <w:b/>
        </w:rPr>
        <w:t>References</w:t>
      </w:r>
    </w:p>
    <w:p w:rsidR="00C3531F" w:rsidRDefault="00000000">
      <w:pPr>
        <w:spacing w:after="60"/>
        <w:ind w:left="432" w:hanging="432"/>
        <w:jc w:val="both"/>
      </w:pPr>
      <w:r>
        <w:rPr>
          <w:sz w:val="18"/>
        </w:rPr>
        <w:t>[1] Yao, J., Tran, S. N., Garg, S., &amp; Sawyer, S. (2023). Deep Learning for Plant Identification and Disease Classification from Leaf Images: Multi-prediction Approaches. arXiv preprint.</w:t>
      </w:r>
    </w:p>
    <w:p w:rsidR="00C3531F" w:rsidRDefault="00000000">
      <w:pPr>
        <w:spacing w:after="60"/>
        <w:ind w:left="432" w:hanging="432"/>
        <w:jc w:val="both"/>
      </w:pPr>
      <w:r>
        <w:rPr>
          <w:sz w:val="18"/>
        </w:rPr>
        <w:t>[2] Rhouma, A. (2025). Plant Diseases: Types, Causes and Impacts. Egyptian Journal of Agricultural Sciences, 76(3), 21–46. DOI: 10.21608/EJARC.2025.441655</w:t>
      </w:r>
    </w:p>
    <w:p w:rsidR="00C3531F" w:rsidRDefault="00000000">
      <w:pPr>
        <w:spacing w:after="60"/>
        <w:ind w:left="432" w:hanging="432"/>
        <w:jc w:val="both"/>
      </w:pPr>
      <w:r>
        <w:rPr>
          <w:sz w:val="18"/>
        </w:rPr>
        <w:t>[3] Tan, M., &amp; Le, Q. V. (2019). EfficientNet: Rethinking Model Scaling for Convolutional Neural Networks. Proc. 36th ICML.</w:t>
      </w:r>
    </w:p>
    <w:p w:rsidR="00C3531F" w:rsidRDefault="00000000">
      <w:pPr>
        <w:spacing w:after="60"/>
        <w:ind w:left="432" w:hanging="432"/>
        <w:jc w:val="both"/>
      </w:pPr>
      <w:r>
        <w:rPr>
          <w:sz w:val="18"/>
        </w:rPr>
        <w:t>[4] Hughes, D., &amp; Salathé, M. (2015). An open access repository of images on plant health to enable the development of mobile disease diagnostics. arXiv:1511.08060.</w:t>
      </w:r>
    </w:p>
    <w:p w:rsidR="00C3531F" w:rsidRDefault="00000000">
      <w:pPr>
        <w:spacing w:after="60"/>
        <w:ind w:left="432" w:hanging="432"/>
        <w:jc w:val="both"/>
      </w:pPr>
      <w:r>
        <w:rPr>
          <w:sz w:val="18"/>
        </w:rPr>
        <w:lastRenderedPageBreak/>
        <w:t>[5] Tirkey, D., Singh, K. K., &amp; Tripathi, S. (2023). Performance analysis of AI-based solutions for crop disease identification, detection, and classification. Smart Agriculture Technology. https://doi.org/10.1016/j.atech.2023.100238</w:t>
      </w:r>
    </w:p>
    <w:p w:rsidR="00C3531F" w:rsidRDefault="00000000">
      <w:pPr>
        <w:spacing w:after="60"/>
        <w:ind w:left="432" w:hanging="432"/>
        <w:jc w:val="both"/>
      </w:pPr>
      <w:r>
        <w:rPr>
          <w:sz w:val="18"/>
        </w:rPr>
        <w:t>[6] Ramanjot, et al. (2023). Plant disease detection and classification: a systematic literature review. Sensors. https://doi.org/10.3390/s23104769</w:t>
      </w:r>
    </w:p>
    <w:p w:rsidR="00C3531F" w:rsidRDefault="00000000">
      <w:pPr>
        <w:spacing w:after="60"/>
        <w:ind w:left="432" w:hanging="432"/>
        <w:jc w:val="both"/>
      </w:pPr>
      <w:r>
        <w:rPr>
          <w:sz w:val="18"/>
        </w:rPr>
        <w:t>[7] Krishnan, V. G., Deepa, J., Rao, P. V., Divya, V., &amp; Kaviarasan, S. (2022). An automated segmentation and classification model for banana leaf disease detection. J. Applied Biology &amp; Biotechnology, 10(1), 213–220. https://doi.org/10.7324/JABB.2021.100126</w:t>
      </w:r>
    </w:p>
    <w:p w:rsidR="00C3531F" w:rsidRDefault="00000000">
      <w:pPr>
        <w:spacing w:after="60"/>
        <w:ind w:left="432" w:hanging="432"/>
        <w:jc w:val="both"/>
      </w:pPr>
      <w:r>
        <w:rPr>
          <w:sz w:val="18"/>
        </w:rPr>
        <w:t>[8] Mathulaprangsan, S., Lanthong, K., &amp; Patarapuwadol, S. (2020). Rice Diseases Recognition Using Effective Deep Learning Models. ECTI-NCON &amp; ECTI-DAMT. https://doi.org/10.1109/ECTIDAMTNCON48261.2020.9090709</w:t>
      </w:r>
    </w:p>
    <w:p w:rsidR="00C3531F" w:rsidRDefault="00000000">
      <w:pPr>
        <w:spacing w:after="60"/>
        <w:ind w:left="432" w:hanging="432"/>
        <w:jc w:val="both"/>
      </w:pPr>
      <w:r>
        <w:rPr>
          <w:sz w:val="18"/>
        </w:rPr>
        <w:t>[9] Heltin Genitha, C., Dhinesh, E., &amp; Jagan, A. (2019). Detection of leaf disease using principal component analysis and linear support vector machine. ICoAC. https://doi.org/10.1109/ICoAC48765.2019.246866</w:t>
      </w:r>
    </w:p>
    <w:p w:rsidR="00C3531F" w:rsidRDefault="00000000">
      <w:pPr>
        <w:spacing w:after="60"/>
        <w:ind w:left="432" w:hanging="432"/>
        <w:jc w:val="both"/>
      </w:pPr>
      <w:r>
        <w:rPr>
          <w:sz w:val="18"/>
        </w:rPr>
        <w:t>[10] Gupta, P. S., Hans, P., &amp; Chand, S. (2020). Classification of Plant Leaf Diseases Using Machine Learning and Image Preprocessing Techniques.</w:t>
      </w:r>
    </w:p>
    <w:p w:rsidR="00C3531F" w:rsidRDefault="00000000">
      <w:pPr>
        <w:spacing w:after="60"/>
        <w:ind w:left="432" w:hanging="432"/>
        <w:jc w:val="both"/>
      </w:pPr>
      <w:r>
        <w:rPr>
          <w:sz w:val="18"/>
        </w:rPr>
        <w:t>[11] Militante, S. V., Gerardo, B. D., &amp; Dionisio, N. V. (2019). Plant Leaf Detection and Disease Recognition using Deep Learning. IEEE Eurasia Conf. IoT, Commun. &amp; Eng., pp. 579–582.</w:t>
      </w:r>
    </w:p>
    <w:p w:rsidR="00C3531F" w:rsidRDefault="00000000">
      <w:pPr>
        <w:spacing w:after="60"/>
        <w:ind w:left="432" w:hanging="432"/>
        <w:jc w:val="both"/>
      </w:pPr>
      <w:r>
        <w:rPr>
          <w:sz w:val="18"/>
        </w:rPr>
        <w:t>[12] Sardogan, M., Tuncer, A., &amp; Ozen, Y. (2018). Plant leaf disease detection and classification based on CNN with LVQ algorithm. UBMK. https://doi.org/10.1109/UBMK.2018.8566635</w:t>
      </w:r>
    </w:p>
    <w:p w:rsidR="00C3531F" w:rsidRDefault="00000000">
      <w:pPr>
        <w:spacing w:after="60"/>
        <w:ind w:left="432" w:hanging="432"/>
        <w:jc w:val="both"/>
      </w:pPr>
      <w:r>
        <w:rPr>
          <w:sz w:val="18"/>
        </w:rPr>
        <w:t>[13] Sharma, M., Kumar, C. J., &amp; Deka, A. (2022). Early diagnosis of rice plant disease using machine learning techniques. Archives of Phytopathology and Plant Protection, 55(3), 259–283. https://doi.org/10.1080/03235408.2021.2015866</w:t>
      </w:r>
    </w:p>
    <w:p w:rsidR="00C3531F" w:rsidRDefault="00000000">
      <w:pPr>
        <w:spacing w:after="60"/>
        <w:ind w:left="432" w:hanging="432"/>
        <w:jc w:val="both"/>
      </w:pPr>
      <w:r>
        <w:rPr>
          <w:sz w:val="18"/>
        </w:rPr>
        <w:t>[14] Sharath, D. M., Akhilesh, S., Kumar, A., Rohan, M. G., &amp; Prathap, C. (2019). Image based plant disease detection in pomegranate plant for bacterial blight. ICCSP. https://doi.org/10.1109/ICCSP.2019.8698007</w:t>
      </w:r>
    </w:p>
    <w:p w:rsidR="00C3531F" w:rsidRDefault="00000000">
      <w:pPr>
        <w:spacing w:after="60"/>
        <w:ind w:left="432" w:hanging="432"/>
        <w:jc w:val="both"/>
      </w:pPr>
      <w:r>
        <w:rPr>
          <w:sz w:val="18"/>
        </w:rPr>
        <w:t>[15] Kumar, S., &amp; Raghavendra, B. K. (2019). Diseases detection of various plant leaf using image processing techniques: a review. ICACCS. https://doi.org/10.1109/ICACCS.2019.8728325</w:t>
      </w:r>
    </w:p>
    <w:p w:rsidR="00C3531F" w:rsidRDefault="00000000">
      <w:pPr>
        <w:spacing w:after="60"/>
        <w:ind w:left="432" w:hanging="432"/>
        <w:jc w:val="both"/>
      </w:pPr>
      <w:r>
        <w:rPr>
          <w:sz w:val="18"/>
        </w:rPr>
        <w:t>[16] Rajasekaran, C., Arul, S., Devi, S., Gowtham, G., &amp; Jeyaram, S. (2020). Turmeric plant diseases detection and classification using artificial intelligence. ICCSP. https://doi.org/10.1109/ICCSP48568.2020.9182255</w:t>
      </w:r>
    </w:p>
    <w:p w:rsidR="00C3531F" w:rsidRDefault="00000000">
      <w:pPr>
        <w:spacing w:after="60"/>
        <w:ind w:left="432" w:hanging="432"/>
        <w:jc w:val="both"/>
      </w:pPr>
      <w:r>
        <w:rPr>
          <w:sz w:val="18"/>
        </w:rPr>
        <w:t>[17] P. V., R. Das, &amp; K. V. (2017). Identification of plant leaf diseases using image processing techniques. IEEE TIAR 2017, pp. 130–133.</w:t>
      </w:r>
    </w:p>
    <w:p w:rsidR="00C3531F" w:rsidRDefault="00000000">
      <w:pPr>
        <w:spacing w:after="60"/>
        <w:ind w:left="432" w:hanging="432"/>
        <w:jc w:val="both"/>
      </w:pPr>
      <w:r>
        <w:rPr>
          <w:sz w:val="18"/>
        </w:rPr>
        <w:t>[18] Jasim, M. A., &amp; Al-Tuwaijari, J. M. (2020). Plant leaf diseases detection and classification using image processing and deep learning techniques. CSASE. https://doi.org/10.1109/CSASE48920.2020.9142097</w:t>
      </w:r>
    </w:p>
    <w:p w:rsidR="00C3531F" w:rsidRDefault="00000000">
      <w:pPr>
        <w:spacing w:after="60"/>
        <w:ind w:left="432" w:hanging="432"/>
        <w:jc w:val="both"/>
      </w:pPr>
      <w:r>
        <w:rPr>
          <w:sz w:val="18"/>
        </w:rPr>
        <w:t>[19] Bedi, P., &amp; Gole, P. (2021). Plant disease detection using hybrid model based on convolutional autoencoder and convolutional neural network. Artificial Intelligence in Agriculture, 5, 90–101. https://doi.org/10.1016/j.aiia.2021.05.002</w:t>
      </w:r>
    </w:p>
    <w:p w:rsidR="00C3531F" w:rsidRDefault="00000000">
      <w:pPr>
        <w:spacing w:after="60"/>
        <w:ind w:left="432" w:hanging="432"/>
        <w:jc w:val="both"/>
      </w:pPr>
      <w:r>
        <w:rPr>
          <w:sz w:val="18"/>
        </w:rPr>
        <w:t>[20] Uchida, S., Ide, S., Iwana, B. K., &amp; Zhu, A. (2016). A further step to perfect accuracy by training CNN with larger data. ICFHR. https://doi.org/10.1109/ICFHR.2016.0082</w:t>
      </w:r>
    </w:p>
    <w:p w:rsidR="00C3531F" w:rsidRDefault="00000000">
      <w:pPr>
        <w:spacing w:after="60"/>
        <w:ind w:left="432" w:hanging="432"/>
        <w:jc w:val="both"/>
      </w:pPr>
      <w:r>
        <w:rPr>
          <w:sz w:val="18"/>
        </w:rPr>
        <w:t>[21] Hu, Y., Liu, G., Chen, Z., Liu, J., &amp; Guo, J. (2023). Lightweight one-stage maize leaf disease detection model with knowledge distillation. Agriculture, 13, 1–22.</w:t>
      </w:r>
    </w:p>
    <w:p w:rsidR="00C3531F" w:rsidRDefault="00000000">
      <w:pPr>
        <w:spacing w:after="60"/>
        <w:ind w:left="432" w:hanging="432"/>
        <w:jc w:val="both"/>
      </w:pPr>
      <w:r>
        <w:rPr>
          <w:sz w:val="18"/>
        </w:rPr>
        <w:t>[22] Ma, L., Yu, Q., Yu, H., &amp; Zhang, J. (2023). Maize leaf disease identification based on YOLOv5n algorithm incorporating attention mechanism. Agronomy. https://doi.org/10.3390/agronomy13020521</w:t>
      </w:r>
    </w:p>
    <w:p w:rsidR="00C3531F" w:rsidRDefault="00000000">
      <w:pPr>
        <w:spacing w:after="60"/>
        <w:ind w:left="432" w:hanging="432"/>
        <w:jc w:val="both"/>
      </w:pPr>
      <w:r>
        <w:rPr>
          <w:sz w:val="18"/>
        </w:rPr>
        <w:t>[23] Kumar, R., Chug, A., Singh, A. P., &amp; Singh, D. (2022). A systematic analysis of machine learning and deep learning based approaches for plant leaf disease classification: a review. Journal of Sensors. https://doi.org/10.1155/2022/3287561</w:t>
      </w:r>
    </w:p>
    <w:p w:rsidR="00C3531F" w:rsidRDefault="00000000">
      <w:pPr>
        <w:spacing w:after="60"/>
        <w:ind w:left="432" w:hanging="432"/>
        <w:jc w:val="both"/>
      </w:pPr>
      <w:r>
        <w:rPr>
          <w:sz w:val="18"/>
        </w:rPr>
        <w:t>[24] Saleem, M. H., Potgieter, J., &amp; Arif, K. M. (2020). Plant disease classification: a comparative evaluation of convolutional neural networks and deep learning optimisers. Plants, 9(10), 1–17. https://doi.org/10.3390/plants9101319</w:t>
      </w:r>
    </w:p>
    <w:p w:rsidR="00C3531F" w:rsidRDefault="00000000">
      <w:pPr>
        <w:spacing w:after="60"/>
        <w:ind w:left="432" w:hanging="432"/>
        <w:jc w:val="both"/>
      </w:pPr>
      <w:r>
        <w:rPr>
          <w:sz w:val="18"/>
        </w:rPr>
        <w:t>[25] Tiwari, V., Joshi, R. C., &amp; Dutta, M. K. (2021). Dense convolutional neural networks based multiclass plant disease detection and classification using leaf images. Ecological Informatics, 63, 101289. https://doi.org/10.1016/j.ecoinf.2021.101289</w:t>
      </w:r>
    </w:p>
    <w:p w:rsidR="00C3531F" w:rsidRDefault="00000000">
      <w:pPr>
        <w:spacing w:after="60"/>
        <w:ind w:left="432" w:hanging="432"/>
        <w:jc w:val="both"/>
      </w:pPr>
      <w:r>
        <w:rPr>
          <w:sz w:val="18"/>
        </w:rPr>
        <w:t>[26] Vishnoi, V. K., Kumar, K., &amp; Kumar, B. (2021). Plant disease detection using computational intelligence and image processing. Springer, Berlin Heidelberg.</w:t>
      </w:r>
    </w:p>
    <w:sectPr w:rsidR="00C353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5746413">
    <w:abstractNumId w:val="8"/>
  </w:num>
  <w:num w:numId="2" w16cid:durableId="1273512074">
    <w:abstractNumId w:val="6"/>
  </w:num>
  <w:num w:numId="3" w16cid:durableId="892929254">
    <w:abstractNumId w:val="5"/>
  </w:num>
  <w:num w:numId="4" w16cid:durableId="917518999">
    <w:abstractNumId w:val="4"/>
  </w:num>
  <w:num w:numId="5" w16cid:durableId="517164584">
    <w:abstractNumId w:val="7"/>
  </w:num>
  <w:num w:numId="6" w16cid:durableId="1642618073">
    <w:abstractNumId w:val="3"/>
  </w:num>
  <w:num w:numId="7" w16cid:durableId="933242661">
    <w:abstractNumId w:val="2"/>
  </w:num>
  <w:num w:numId="8" w16cid:durableId="279923145">
    <w:abstractNumId w:val="1"/>
  </w:num>
  <w:num w:numId="9" w16cid:durableId="41008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82A"/>
    <w:rsid w:val="00AA1D8D"/>
    <w:rsid w:val="00B47730"/>
    <w:rsid w:val="00C110D9"/>
    <w:rsid w:val="00C3531F"/>
    <w:rsid w:val="00CB0664"/>
    <w:rsid w:val="00F30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E442F"/>
  <w14:defaultImageDpi w14:val="300"/>
  <w15:docId w15:val="{B81146BE-3FF5-D840-9088-FF52B352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 Sherif Gad Soliman El Wahi</cp:lastModifiedBy>
  <cp:revision>3</cp:revision>
  <dcterms:created xsi:type="dcterms:W3CDTF">2013-12-23T23:15:00Z</dcterms:created>
  <dcterms:modified xsi:type="dcterms:W3CDTF">2026-05-05T21:33:00Z</dcterms:modified>
  <cp:category/>
</cp:coreProperties>
</file>