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311FC6"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311FC6"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 xml:space="preserve">[5], </w:t>
      </w:r>
      <w:r w:rsidR="001C1B1A">
        <w:rPr>
          <w:szCs w:val="24"/>
          <w:lang w:val="en-US"/>
        </w:rPr>
        <w:t xml:space="preserve">hashing[6],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6E2484"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w:t>
      </w:r>
      <w:bookmarkStart w:id="0" w:name="_GoBack"/>
      <w:bookmarkEnd w:id="0"/>
      <w:r>
        <w:rPr>
          <w:szCs w:val="24"/>
          <w:lang w:val="en-US"/>
        </w:rPr>
        <w:t>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 of the cities</w:t>
      </w:r>
      <w:r>
        <w:rPr>
          <w:szCs w:val="24"/>
          <w:lang w:val="en-US"/>
        </w:rPr>
        <w:t xml:space="preserve"> viable to use in games.</w:t>
      </w: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3D3D0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3D3D0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3D3D0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3D3D0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3D3D0A"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E86" w:rsidRDefault="00E32E86" w:rsidP="00C7043F">
      <w:pPr>
        <w:spacing w:after="0" w:line="240" w:lineRule="auto"/>
      </w:pPr>
      <w:r>
        <w:separator/>
      </w:r>
    </w:p>
  </w:endnote>
  <w:endnote w:type="continuationSeparator" w:id="0">
    <w:p w:rsidR="00E32E86" w:rsidRDefault="00E32E86"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E86" w:rsidRDefault="00E32E86" w:rsidP="00C7043F">
      <w:pPr>
        <w:spacing w:after="0" w:line="240" w:lineRule="auto"/>
      </w:pPr>
      <w:r>
        <w:separator/>
      </w:r>
    </w:p>
  </w:footnote>
  <w:footnote w:type="continuationSeparator" w:id="0">
    <w:p w:rsidR="00E32E86" w:rsidRDefault="00E32E86"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144D2"/>
    <w:rsid w:val="00232E5A"/>
    <w:rsid w:val="002632B7"/>
    <w:rsid w:val="002C6DCD"/>
    <w:rsid w:val="002D7B19"/>
    <w:rsid w:val="002E774C"/>
    <w:rsid w:val="00311FC6"/>
    <w:rsid w:val="003D3D0A"/>
    <w:rsid w:val="00531065"/>
    <w:rsid w:val="00683B42"/>
    <w:rsid w:val="006E2484"/>
    <w:rsid w:val="006F0E2C"/>
    <w:rsid w:val="006F1F00"/>
    <w:rsid w:val="0088191E"/>
    <w:rsid w:val="008F327A"/>
    <w:rsid w:val="009137C8"/>
    <w:rsid w:val="00935CD9"/>
    <w:rsid w:val="009622D9"/>
    <w:rsid w:val="00987AA4"/>
    <w:rsid w:val="009A2C83"/>
    <w:rsid w:val="00A12544"/>
    <w:rsid w:val="00A3136B"/>
    <w:rsid w:val="00A766AD"/>
    <w:rsid w:val="00B70224"/>
    <w:rsid w:val="00C633DF"/>
    <w:rsid w:val="00C7043F"/>
    <w:rsid w:val="00CB3605"/>
    <w:rsid w:val="00DD38FB"/>
    <w:rsid w:val="00E32E86"/>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0143"/>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22E6FC3D-E492-4B44-9456-FB9913BF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1460</Words>
  <Characters>7744</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22</cp:revision>
  <dcterms:created xsi:type="dcterms:W3CDTF">2017-05-02T17:57:00Z</dcterms:created>
  <dcterms:modified xsi:type="dcterms:W3CDTF">2017-05-03T15:54:00Z</dcterms:modified>
</cp:coreProperties>
</file>