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Malgun Gothic" w:cs="Malgun Gothic" w:eastAsia="Malgun Gothic" w:hAnsi="Malgun Gothic"/>
          <w:b w:val="1"/>
          <w:sz w:val="20"/>
          <w:szCs w:val="20"/>
          <w:rtl w:val="0"/>
        </w:rPr>
        <w:t xml:space="preserve">결론: </w:t>
        <w:br w:type="textWrapping"/>
      </w: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rtl w:val="0"/>
        </w:rPr>
        <w:t xml:space="preserve">“구리는 2000년대 이후부터 경기 선행지표로 기능하는 모습을 일부 보여주었으며, </w:t>
        <w:br w:type="textWrapping"/>
        <w:t xml:space="preserve">호황보다는 특히 불황의 전조로서 더 유의미하게 기능했다”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경기동행지표, 전력인프라 건설 등에 쓰임</w:t>
      </w:r>
    </w:p>
    <w:p w:rsidR="00000000" w:rsidDel="00000000" w:rsidP="00000000" w:rsidRDefault="00000000" w:rsidRPr="00000000" w14:paraId="00000003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b w:val="1"/>
          <w:sz w:val="24"/>
          <w:szCs w:val="24"/>
        </w:rPr>
      </w:pPr>
      <w:bookmarkStart w:colFirst="0" w:colLast="0" w:name="_3icmh73fu5x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0"/>
          <w:szCs w:val="20"/>
          <w:rtl w:val="0"/>
        </w:rPr>
        <w:t xml:space="preserve">경기회복 지표로서의 구리의 역할</w:t>
      </w: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 </w:t>
        <w:br w:type="textWrapping"/>
        <w:t xml:space="preserve">수요, 가격 상승 시: 경기가 곧 좋아질 것이라는 신호 </w:t>
        <w:br w:type="textWrapping"/>
        <w:t xml:space="preserve">수요, 가격 하락 시: 불황을 예상</w:t>
      </w:r>
    </w:p>
    <w:p w:rsidR="00000000" w:rsidDel="00000000" w:rsidP="00000000" w:rsidRDefault="00000000" w:rsidRPr="00000000" w14:paraId="00000006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0"/>
          <w:szCs w:val="20"/>
          <w:rtl w:val="0"/>
        </w:rPr>
        <w:t xml:space="preserve">why?</w:t>
        <w:br w:type="textWrapping"/>
      </w: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1. 원자재: 실물경기에 민감하게 반응하기 때문에 종종 세계경기의 바로미터 역할</w:t>
        <w:br w:type="textWrapping"/>
        <w:t xml:space="preserve">1. 구리: 전기전자, 통신, 자동차, 철도, 선박, 항공, 건축, 기계 등 다양한 용처 </w:t>
        <w:br w:type="textWrapping"/>
        <w:t xml:space="preserve">- 구리 가격 상승은 건설/제조업 등의 투자 증가를 의미</w:t>
        <w:br w:type="textWrapping"/>
        <w:t xml:space="preserve">- 금융시장에서는 구리의 경기 예측력을 높게 평가해 ‘구리 박사(Dr. Copper)’라는 별칭을 붙임</w:t>
        <w:br w:type="textWrapping"/>
        <w:t xml:space="preserve">1. 원유보다 투기 세력의 영향을 덜 받아 비교적 정확한 경기회복지표로 기능</w:t>
        <w:br w:type="textWrapping"/>
        <w:t xml:space="preserve">- 원유보다 지정학·정치 영향을 덜 받는 원자재(원유와 달리 세계 곳곳에서 생산됨)</w:t>
      </w:r>
    </w:p>
    <w:p w:rsidR="00000000" w:rsidDel="00000000" w:rsidP="00000000" w:rsidRDefault="00000000" w:rsidRPr="00000000" w14:paraId="00000008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참고</w:t>
        <w:br w:type="textWrapping"/>
        <w:t xml:space="preserve">1. 생산된 구리의 40-50%는 중국에서 소비됨. 구리 가격의 경기 선행지표로서의 역할은 중국에서 더 크다고 볼 수 있음</w:t>
        <w:br w:type="textWrapping"/>
      </w:r>
      <w:r w:rsidDel="00000000" w:rsidR="00000000" w:rsidRPr="00000000">
        <w:rPr>
          <w:rFonts w:ascii="Malgun Gothic" w:cs="Malgun Gothic" w:eastAsia="Malgun Gothic" w:hAnsi="Malgun Gothic"/>
          <w:sz w:val="20"/>
          <w:szCs w:val="20"/>
        </w:rPr>
        <w:drawing>
          <wp:inline distB="0" distT="0" distL="0" distR="0">
            <wp:extent cx="6142095" cy="428503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2095" cy="428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0"/>
          <w:szCs w:val="20"/>
          <w:rtl w:val="0"/>
        </w:rPr>
        <w:t xml:space="preserve">사례</w:t>
        <w:br w:type="textWrapping"/>
      </w: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2008년 금융위기:</w:t>
        <w:br w:type="textWrapping"/>
        <w:t xml:space="preserve">- 2008년 4월 t당 8700달러까지 오르며 사상 최고치를 기록했던 구리 가격은 이후 폭락세로 돌변하며 그해 연말 3분의 1 토막이 났다. 다가오는 경기침체의 예고편이었다. </w:t>
        <w:br w:type="textWrapping"/>
        <w:t xml:space="preserve">- 그러나 2008년 12월 2800달러를 바닥으로 구리 가격은 반등하기 시작했고 이듬해 연말에는 7000달러를 회복했다. 각국의 강력한 부양책에 힘입어 2009년 하반기부터 회복세를 나타낸 세계경제 흐름을 예견한 셈.</w:t>
      </w:r>
    </w:p>
    <w:p w:rsidR="00000000" w:rsidDel="00000000" w:rsidP="00000000" w:rsidRDefault="00000000" w:rsidRPr="00000000" w14:paraId="0000000B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0"/>
          <w:szCs w:val="20"/>
          <w:rtl w:val="0"/>
        </w:rPr>
        <w:t xml:space="preserve">비판: 경기 예측 능력이 떨어진다</w:t>
        <w:br w:type="textWrapping"/>
      </w: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- 중국 제조업 구매자관리지수(PMI)와 상관관계를 분석 결과, 때때로 경기에 후행함.</w:t>
      </w: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vertAlign w:val="superscript"/>
          <w:rtl w:val="0"/>
        </w:rPr>
        <w:t xml:space="preserve">1)</w:t>
      </w:r>
      <w:r w:rsidDel="00000000" w:rsidR="00000000" w:rsidRPr="00000000">
        <w:rPr>
          <w:rFonts w:ascii="Malgun Gothic" w:cs="Malgun Gothic" w:eastAsia="Malgun Gothic" w:hAnsi="Malgun Gothic"/>
          <w:b w:val="1"/>
          <w:sz w:val="20"/>
          <w:szCs w:val="20"/>
          <w:rtl w:val="0"/>
        </w:rPr>
        <w:br w:type="textWrapping"/>
      </w: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- 구리 수요의 상당 부분이 제조업체가 아닌 투기 목적을 지닌 금융권에서 유입하고 있기 때문에 구리 가격 움직임이 경제의 체력을 정확히 반영하지 못함</w:t>
        <w:br w:type="textWrapping"/>
        <w:t xml:space="preserve">- 국제원유시장이 대규모 투기자본의 유입과 지정학적 리스크 등으로 펀더멘털 과 무관한 요인에 휘둘리면서 유가의 경기예측능력이 과거에 비해 떨어진 전철을 밟고 있다는 평가도 있음</w:t>
        <w:br w:type="textWrapping"/>
        <w:t xml:space="preserve">- 개발도상국의 소비가 증가하며 구리가격이 오르기 시작한 2000년대 이전에는 세계 GDP와 구리 가격 변화율에 큰 상관 관계가 없었음</w:t>
        <w:br w:type="textWrapping"/>
        <w:t xml:space="preserve">- 공급이 수요보다 빠르게 증가할 수 있어, 경제가 성장하더라도 구리 가격은 하락하는 경우 다수 발생. </w:t>
      </w:r>
    </w:p>
    <w:p w:rsidR="00000000" w:rsidDel="00000000" w:rsidP="00000000" w:rsidRDefault="00000000" w:rsidRPr="00000000" w14:paraId="0000000D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0"/>
          <w:szCs w:val="20"/>
          <w:rtl w:val="0"/>
        </w:rPr>
        <w:t xml:space="preserve">참고</w:t>
      </w:r>
    </w:p>
    <w:p w:rsidR="00000000" w:rsidDel="00000000" w:rsidP="00000000" w:rsidRDefault="00000000" w:rsidRPr="00000000" w14:paraId="0000000F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0"/>
          <w:szCs w:val="20"/>
        </w:rPr>
        <w:drawing>
          <wp:inline distB="0" distT="0" distL="0" distR="0">
            <wp:extent cx="6858000" cy="4114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br w:type="textWrapping"/>
      </w:r>
      <w:r w:rsidDel="00000000" w:rsidR="00000000" w:rsidRPr="00000000">
        <w:rPr>
          <w:rFonts w:ascii="Malgun Gothic" w:cs="Malgun Gothic" w:eastAsia="Malgun Gothic" w:hAnsi="Malgun Gothic"/>
          <w:b w:val="1"/>
          <w:sz w:val="20"/>
          <w:szCs w:val="20"/>
        </w:rPr>
        <w:drawing>
          <wp:inline distB="0" distT="0" distL="0" distR="0">
            <wp:extent cx="5721964" cy="325397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1964" cy="3253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↑근 5개년 </w:t>
      </w:r>
      <w:r w:rsidDel="00000000" w:rsidR="00000000" w:rsidRPr="00000000">
        <w:rPr>
          <w:rFonts w:ascii="Malgun Gothic" w:cs="Malgun Gothic" w:eastAsia="Malgun Gothic" w:hAnsi="Malgun Gothic"/>
          <w:color w:val="bf8f00"/>
          <w:sz w:val="20"/>
          <w:szCs w:val="20"/>
          <w:rtl w:val="0"/>
        </w:rPr>
        <w:t xml:space="preserve">S&amp;P 500 </w:t>
      </w: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vs</w:t>
      </w:r>
      <w:r w:rsidDel="00000000" w:rsidR="00000000" w:rsidRPr="00000000">
        <w:rPr>
          <w:rFonts w:ascii="Malgun Gothic" w:cs="Malgun Gothic" w:eastAsia="Malgun Gothic" w:hAnsi="Malgun Gothic"/>
          <w:color w:val="bf8f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comex high grade copper</w:t>
        <w:br w:type="textWrapping"/>
        <w:t xml:space="preserve">분홍: 구리 가격 하락</w:t>
        <w:br w:type="textWrapping"/>
        <w:t xml:space="preserve">빨강: 뒤따르는 미국 주가 하락</w:t>
      </w:r>
    </w:p>
    <w:p w:rsidR="00000000" w:rsidDel="00000000" w:rsidP="00000000" w:rsidRDefault="00000000" w:rsidRPr="00000000" w14:paraId="00000014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</w:rPr>
        <w:drawing>
          <wp:inline distB="0" distT="0" distL="0" distR="0">
            <wp:extent cx="5537870" cy="313610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7870" cy="3136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↑근 6개월 </w:t>
      </w:r>
      <w:r w:rsidDel="00000000" w:rsidR="00000000" w:rsidRPr="00000000">
        <w:rPr>
          <w:rFonts w:ascii="Malgun Gothic" w:cs="Malgun Gothic" w:eastAsia="Malgun Gothic" w:hAnsi="Malgun Gothic"/>
          <w:color w:val="bf8f00"/>
          <w:sz w:val="20"/>
          <w:szCs w:val="20"/>
          <w:rtl w:val="0"/>
        </w:rPr>
        <w:t xml:space="preserve">S&amp;P 500 </w:t>
      </w: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vs</w:t>
      </w:r>
      <w:r w:rsidDel="00000000" w:rsidR="00000000" w:rsidRPr="00000000">
        <w:rPr>
          <w:rFonts w:ascii="Malgun Gothic" w:cs="Malgun Gothic" w:eastAsia="Malgun Gothic" w:hAnsi="Malgun Gothic"/>
          <w:color w:val="bf8f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comex high grade copper</w:t>
        <w:br w:type="textWrapping"/>
      </w:r>
    </w:p>
    <w:p w:rsidR="00000000" w:rsidDel="00000000" w:rsidP="00000000" w:rsidRDefault="00000000" w:rsidRPr="00000000" w14:paraId="00000017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</w:rPr>
        <w:drawing>
          <wp:inline distB="0" distT="0" distL="0" distR="0">
            <wp:extent cx="5694261" cy="324913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4261" cy="3249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↑1978 – 2013, </w:t>
        <w:br w:type="textWrapping"/>
        <w:t xml:space="preserve">S&amp;P GSCI 구리 가격 변화율을 </w:t>
      </w: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u w:val="single"/>
          <w:rtl w:val="0"/>
        </w:rPr>
        <w:t xml:space="preserve">오른쪽으로 1년 이동한 것(늦춘 것)</w:t>
      </w: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 vs 각국 GDP 성장율</w:t>
        <w:br w:type="textWrapping"/>
        <w:t xml:space="preserve">(동기간 구리와 각국 GDP성장률의 방향이 일치한다면, 구리가 올바르게 경기를 예측한 것임)</w:t>
        <w:br w:type="textWrapping"/>
        <w:t xml:space="preserve">분홍: 구리가 경기 선행지표로 유의미하게 작용하는 구간</w:t>
      </w:r>
    </w:p>
    <w:p w:rsidR="00000000" w:rsidDel="00000000" w:rsidP="00000000" w:rsidRDefault="00000000" w:rsidRPr="00000000" w14:paraId="0000001A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</w:rPr>
        <w:drawing>
          <wp:inline distB="0" distT="0" distL="0" distR="0">
            <wp:extent cx="6275201" cy="322313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5201" cy="3223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1990-2000년, </w:t>
      </w:r>
      <w:r w:rsidDel="00000000" w:rsidR="00000000" w:rsidRPr="00000000">
        <w:rPr>
          <w:rFonts w:ascii="Malgun Gothic" w:cs="Malgun Gothic" w:eastAsia="Malgun Gothic" w:hAnsi="Malgun Gothic"/>
          <w:color w:val="4472c4"/>
          <w:sz w:val="20"/>
          <w:szCs w:val="20"/>
          <w:rtl w:val="0"/>
        </w:rPr>
        <w:t xml:space="preserve">세계 GDP </w:t>
      </w: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vs </w:t>
      </w:r>
      <w:r w:rsidDel="00000000" w:rsidR="00000000" w:rsidRPr="00000000">
        <w:rPr>
          <w:rFonts w:ascii="Malgun Gothic" w:cs="Malgun Gothic" w:eastAsia="Malgun Gothic" w:hAnsi="Malgun Gothic"/>
          <w:color w:val="ff0000"/>
          <w:sz w:val="20"/>
          <w:szCs w:val="20"/>
          <w:rtl w:val="0"/>
        </w:rPr>
        <w:t xml:space="preserve">세계 구리 가격</w:t>
      </w: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br w:type="textWrapping"/>
        <w:t xml:space="preserve">2000년 이전에는 구리와 경기의 상관관계가 크게 없었음</w:t>
      </w:r>
    </w:p>
    <w:p w:rsidR="00000000" w:rsidDel="00000000" w:rsidP="00000000" w:rsidRDefault="00000000" w:rsidRPr="00000000" w14:paraId="0000001F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</w:rPr>
        <w:drawing>
          <wp:inline distB="0" distT="0" distL="0" distR="0">
            <wp:extent cx="6610350" cy="338137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1968-1999년, </w:t>
      </w:r>
      <w:r w:rsidDel="00000000" w:rsidR="00000000" w:rsidRPr="00000000">
        <w:rPr>
          <w:rFonts w:ascii="Malgun Gothic" w:cs="Malgun Gothic" w:eastAsia="Malgun Gothic" w:hAnsi="Malgun Gothic"/>
          <w:color w:val="4472c4"/>
          <w:sz w:val="20"/>
          <w:szCs w:val="20"/>
          <w:rtl w:val="0"/>
        </w:rPr>
        <w:t xml:space="preserve">세계 GDP </w:t>
      </w: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vs </w:t>
      </w:r>
      <w:r w:rsidDel="00000000" w:rsidR="00000000" w:rsidRPr="00000000">
        <w:rPr>
          <w:rFonts w:ascii="Malgun Gothic" w:cs="Malgun Gothic" w:eastAsia="Malgun Gothic" w:hAnsi="Malgun Gothic"/>
          <w:color w:val="ff0000"/>
          <w:sz w:val="20"/>
          <w:szCs w:val="20"/>
          <w:rtl w:val="0"/>
        </w:rPr>
        <w:t xml:space="preserve">세계 구리 가격</w:t>
        <w:br w:type="textWrapping"/>
      </w: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2000년 이전에는 구리와 경기의 상관관계가 크게 없었음</w:t>
      </w:r>
    </w:p>
    <w:p w:rsidR="00000000" w:rsidDel="00000000" w:rsidP="00000000" w:rsidRDefault="00000000" w:rsidRPr="00000000" w14:paraId="00000022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24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Fonts w:ascii="Malgun Gothic" w:cs="Malgun Gothic" w:eastAsia="Malgun Gothic" w:hAnsi="Malgun Gothic"/>
          <w:sz w:val="20"/>
          <w:szCs w:val="20"/>
          <w:rtl w:val="0"/>
        </w:rPr>
        <w:t xml:space="preserve">1) 프랑스 투자은행 소시에테제네랄 2011.11 ‘Dr. Copper is dead’ 보고서</w:t>
      </w:r>
    </w:p>
    <w:p w:rsidR="00000000" w:rsidDel="00000000" w:rsidP="00000000" w:rsidRDefault="00000000" w:rsidRPr="00000000" w14:paraId="00000025">
      <w:pPr>
        <w:widowControl w:val="0"/>
        <w:spacing w:after="160" w:line="259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lgun Gothic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2" Type="http://schemas.openxmlformats.org/officeDocument/2006/relationships/image" Target="media/image6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