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  <w:color w:val="2f2f2f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f2f2f"/>
          <w:rtl w:val="0"/>
        </w:rPr>
        <w:t xml:space="preserve">무위험 이자율로 보통 이해할 수 있음.</w:t>
      </w:r>
    </w:p>
    <w:p w:rsidR="00000000" w:rsidDel="00000000" w:rsidP="00000000" w:rsidRDefault="00000000" w:rsidRPr="00000000" w14:paraId="00000002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  <w:color w:val="2f2f2f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f2f2f"/>
          <w:rtl w:val="0"/>
        </w:rPr>
        <w:t xml:space="preserve">하지만 앞으로는 잘 쓰이지 않을예정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  <w:color w:val="2f2f2f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LIBOR = </w:t>
      </w:r>
      <w:r w:rsidDel="00000000" w:rsidR="00000000" w:rsidRPr="00000000">
        <w:rPr>
          <w:rFonts w:ascii="Noto Sans Symbols" w:cs="Noto Sans Symbols" w:eastAsia="Noto Sans Symbols" w:hAnsi="Noto Sans Symbols"/>
          <w:color w:val="2f2f2f"/>
          <w:rtl w:val="0"/>
        </w:rPr>
        <w:t xml:space="preserve">`London inter-bank offered rates’의 약자</w:t>
      </w:r>
    </w:p>
    <w:p w:rsidR="00000000" w:rsidDel="00000000" w:rsidP="00000000" w:rsidRDefault="00000000" w:rsidRPr="00000000" w14:paraId="00000005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  <w:color w:val="2f2f2f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f2f2f"/>
          <w:rtl w:val="0"/>
        </w:rPr>
        <w:t xml:space="preserve">-영국 대형은행(신용도가 높은 은행)들끼리 단기에 주고받는 금리</w:t>
      </w:r>
    </w:p>
    <w:p w:rsidR="00000000" w:rsidDel="00000000" w:rsidP="00000000" w:rsidRDefault="00000000" w:rsidRPr="00000000" w14:paraId="00000006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  <w:color w:val="2f2f2f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f2f2f"/>
          <w:rtl w:val="0"/>
        </w:rPr>
        <w:t xml:space="preserve">-원래 런던 금융시장이 신용도가 좋고 영향력이 강했지만 현재는 뉴욕으로 옮겨와 뉴욕시장의 리보 금리를 지칭함.(=달러 리보금리)</w:t>
      </w:r>
    </w:p>
    <w:p w:rsidR="00000000" w:rsidDel="00000000" w:rsidP="00000000" w:rsidRDefault="00000000" w:rsidRPr="00000000" w14:paraId="00000007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  <w:color w:val="2f2f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  <w:color w:val="2f2f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  <w:color w:val="2f2f2f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f2f2f"/>
          <w:rtl w:val="0"/>
        </w:rPr>
        <w:t xml:space="preserve">리보 금리는 세계 각국의 국제간 금융거래에 기준금리로 활용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따라서 금리자체가 글로벌 경제 상황을 대부분 반영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그러나 장기 추세가 아닌 단기로 봐야함(통상 3개월 만기이기 때문에)</w:t>
      </w:r>
    </w:p>
    <w:p w:rsidR="00000000" w:rsidDel="00000000" w:rsidP="00000000" w:rsidRDefault="00000000" w:rsidRPr="00000000" w14:paraId="0000000C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리보 금리가 중요한 이유는 국채 발행과 대출금리, 신용카드금리 등 전반에 영향을 미치기 때문</w:t>
      </w:r>
    </w:p>
    <w:p w:rsidR="00000000" w:rsidDel="00000000" w:rsidP="00000000" w:rsidRDefault="00000000" w:rsidRPr="00000000" w14:paraId="0000000E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이중에서도 국채 발행시에 활용되는게 중요한데, 국채 발행 시 금리가 리보+가산으로 결정되기 때문임. 국가 신용도에 따라서 가산 금리 수준 차이가 결정되고 이를 스프레드 라고 함. (우리나라가 브라질 국채에 투자를 하는 것은 이 스프레드를 노린 것이라고 이해 가능.)</w:t>
      </w:r>
    </w:p>
    <w:p w:rsidR="00000000" w:rsidDel="00000000" w:rsidP="00000000" w:rsidRDefault="00000000" w:rsidRPr="00000000" w14:paraId="0000000F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미국 금융시스템에서 금융기관(주로 은행) 사이에 주고받는 초단기금리를 `OIS(Overnight Index Swap rate)`라고 부르는데(우리식으로는 `콜금리`)</w:t>
        <w:br w:type="textWrapping"/>
        <w:t xml:space="preserve">이 기간을 늘리면(통상 3개월이 기준) `FRN(Foward Rate Agreements)`라고 불리며 우리말로는 `선도금리계약`으로 불림 : 돈을 빌리는 사람과 빌려주는 사람이 금리위험을 헷지하기 위해 일정금액을 일정기간동안 빌려주고 빌리는 계약을 맺고, 만기에는 그 시점의 금리차액을 주고 받고 청산</w:t>
      </w:r>
    </w:p>
    <w:p w:rsidR="00000000" w:rsidDel="00000000" w:rsidP="00000000" w:rsidRDefault="00000000" w:rsidRPr="00000000" w14:paraId="00000011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리보 금리도 일종의 FRN으로 볼 수 있음.</w:t>
      </w:r>
    </w:p>
    <w:p w:rsidR="00000000" w:rsidDel="00000000" w:rsidP="00000000" w:rsidRDefault="00000000" w:rsidRPr="00000000" w14:paraId="00000012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br w:type="textWrapping"/>
        <w:t xml:space="preserve">OIS와 FRN 두 금리차이는 미국 금융시스템에서 단기적으로 얼마나 쉽게 자금을 조달할 수 있는지 여부를 알려줌. 이 지표가 치솟으면 미국의 자금경색 가능성에 대한 시장의 우려가 높다는 것을 알 수 있다. </w:t>
      </w:r>
    </w:p>
    <w:p w:rsidR="00000000" w:rsidDel="00000000" w:rsidP="00000000" w:rsidRDefault="00000000" w:rsidRPr="00000000" w14:paraId="00000013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(그림에서 확인해야 할 부분은 2008년 금융위기, 2011년 유럽 재정위기)</w:t>
      </w:r>
    </w:p>
    <w:p w:rsidR="00000000" w:rsidDel="00000000" w:rsidP="00000000" w:rsidRDefault="00000000" w:rsidRPr="00000000" w14:paraId="00000014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Noto Sans Symbols" w:cs="Noto Sans Symbols" w:eastAsia="Noto Sans Symbols" w:hAnsi="Noto Sans Symbols"/>
        </w:rPr>
        <w:drawing>
          <wp:inline distB="0" distT="0" distL="0" distR="0">
            <wp:extent cx="5731510" cy="3223260"/>
            <wp:effectExtent b="0" l="0" r="0" t="0"/>
            <wp:docPr descr="778,437" id="1" name="image1.jpg"/>
            <a:graphic>
              <a:graphicData uri="http://schemas.openxmlformats.org/drawingml/2006/picture">
                <pic:pic>
                  <pic:nvPicPr>
                    <pic:cNvPr descr="778,437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리보금리의 해석은?</w:t>
      </w:r>
    </w:p>
    <w:p w:rsidR="00000000" w:rsidDel="00000000" w:rsidP="00000000" w:rsidRDefault="00000000" w:rsidRPr="00000000" w14:paraId="00000017">
      <w:pPr>
        <w:widowControl w:val="0"/>
        <w:spacing w:after="160" w:line="259" w:lineRule="auto"/>
        <w:ind w:firstLine="80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리보금리 급등은 국제 금융시장에서 자금조달 비용의 증가 – 기업들의 단기 운용자금 조달수단인 기업어음금리(CP)도 오름 – 신흥시장의 국채금리도 큰 폭으로 오름 – 신용경색의 증거</w:t>
      </w:r>
    </w:p>
    <w:p w:rsidR="00000000" w:rsidDel="00000000" w:rsidP="00000000" w:rsidRDefault="00000000" w:rsidRPr="00000000" w14:paraId="00000018">
      <w:pPr>
        <w:widowControl w:val="0"/>
        <w:spacing w:after="160" w:line="259" w:lineRule="auto"/>
        <w:ind w:firstLine="80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리보금리의 하락은 시장의 안정화와 국제 금융시장의 신용경색 해소를 의미</w:t>
      </w:r>
    </w:p>
    <w:p w:rsidR="00000000" w:rsidDel="00000000" w:rsidP="00000000" w:rsidRDefault="00000000" w:rsidRPr="00000000" w14:paraId="00000019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하지만! 2022년 리보 산출 중단 예정!!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Noto Sans Symbols" w:cs="Noto Sans Symbols" w:eastAsia="Noto Sans Symbols" w:hAnsi="Noto Sans Symbols"/>
          <w:color w:val="333333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333333"/>
          <w:highlight w:val="white"/>
          <w:rtl w:val="0"/>
        </w:rPr>
        <w:t xml:space="preserve">2012년7월, 리보금리를 결정하는 20개 은행에 포함된 일부은행 즉 영국의 UBS은행, 스코틀랜드 로열뱅크, 바클 레이즈 은행이 매일 은행연합회에 제출해야 하는 금리를 일부러 낮게 작성하여 리보금리를 조작한 사건 발생. 이의 공개를 계기로 리보금리에 대한 신뢰도는 하락ㅠㅠ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Noto Sans Symbols" w:cs="Noto Sans Symbols" w:eastAsia="Noto Sans Symbols" w:hAnsi="Noto Sans Symbols"/>
          <w:color w:val="333333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333333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Noto Sans Symbols" w:cs="Noto Sans Symbols" w:eastAsia="Noto Sans Symbols" w:hAnsi="Noto Sans Symbols"/>
          <w:color w:val="333333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333333"/>
          <w:highlight w:val="white"/>
          <w:rtl w:val="0"/>
        </w:rPr>
        <w:t xml:space="preserve">이에 대한 대안으로 미국이 SOFR를 채택이는 미국채를 담보로 하는 하루짜리 금리. 일 거래량이 일천조원을 안정적으로 상회하는 수준에서 유지되어 유동성이 높은 무위험 금리로서의 역할을 함.(리보는 1조원)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160" w:line="259" w:lineRule="auto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🡺"/>
      <w:lvlJc w:val="left"/>
      <w:pPr>
        <w:ind w:left="760" w:hanging="360"/>
      </w:pPr>
      <w:rPr>
        <w:rFonts w:ascii="Noto Sans Symbols" w:cs="Noto Sans Symbols" w:eastAsia="Noto Sans Symbols" w:hAnsi="Noto Sans Symbols"/>
        <w:color w:val="2f2f2f"/>
        <w:sz w:val="21"/>
        <w:szCs w:val="21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