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REPO금리</w:t>
      </w:r>
      <w:r w:rsidDel="00000000" w:rsidR="00000000" w:rsidRPr="00000000">
        <w:rPr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RP금리라고도 함. 미국 시장의 단기 금리. 금융기관들이 서로 ‘급전’을 융통하는 것. </w:t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both"/>
        <w:rPr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다른 데서 빌리는 것보다 금리가 낮기 때문에 금융기관들이 하룻밤 사이 융통성을 제공 받는 루트.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="259" w:lineRule="auto"/>
        <w:jc w:val="both"/>
        <w:rPr>
          <w:color w:val="333333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rtl w:val="0"/>
        </w:rPr>
        <w:t xml:space="preserve">국채나 안전자산을 담보로 단기자금을 빌리는것</w:t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both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REPO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rtl w:val="0"/>
        </w:rPr>
        <w:t xml:space="preserve">금리가 요동치는 경우는 즉 단기자금융통시장이 얼어붙는다는 증거.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연준은 기준금리격인 연방기금금리를 조정함. 이 금리가 레포금리 등 단기금리로 확산되고, 나아가 장기금리를 형성하는데 까지 확산된다. 연준은 이를 통해 경기상황을 조절한다. 그런데 단기자금시장이 갑자기 유동성이 얼어붙게 되면 금융기관의 건전성의 의심받고, 연준의 경기조절 수단에도 문제가 생기는 것. 또한 레포금리가 급등할 수 있다는 불안감이 확산되면, 금융기관과 기업들이 자금을 더 쌓아두려고 하게 됨. 그러면 다시 경기가 얼어붙는 악순환이 벌어짐.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Malgun Gothic" w:cs="Malgun Gothic" w:eastAsia="Malgun Gothic" w:hAnsi="Malgun Gothic"/>
          <w:color w:val="333333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20"/>
          <w:szCs w:val="20"/>
          <w:highlight w:val="white"/>
          <w:rtl w:val="0"/>
        </w:rPr>
        <w:t xml:space="preserve">레포금리는 따라서 미국 단기 자금 시장의 유동성의 위기를 단적으로 나타내는 지표로 볼 수 있음.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/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0563c1"/>
            <w:sz w:val="20"/>
            <w:szCs w:val="20"/>
            <w:u w:val="single"/>
            <w:rtl w:val="0"/>
          </w:rPr>
          <w:t xml:space="preserve">http://news.kbs.co.kr/news/view.do?ncd=4344337</w:t>
        </w:r>
      </w:hyperlink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‘2020년 세계 증시, 미국 레포시장에 달려있다.’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ews.kbs.co.kr/news/view.do?ncd=4344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