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1.국채의 90%가 엔화표시 발행 채권이다. </w:t>
      </w:r>
    </w:p>
    <w:p w:rsidR="00000000" w:rsidDel="00000000" w:rsidP="00000000" w:rsidRDefault="00000000" w:rsidRPr="00000000" w14:paraId="00000002">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-일본은 부채비율이 높지만 90프로가 엔화 발행 채권으로 외채는 환전하여 지불해야 하지만 일본은 엔화를 찍어내 지불할 수 있다.</w:t>
      </w:r>
    </w:p>
    <w:p w:rsidR="00000000" w:rsidDel="00000000" w:rsidP="00000000" w:rsidRDefault="00000000" w:rsidRPr="00000000" w14:paraId="00000003">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2.일본은 세계2위의 외환 보유국</w:t>
      </w:r>
    </w:p>
    <w:p w:rsidR="00000000" w:rsidDel="00000000" w:rsidP="00000000" w:rsidRDefault="00000000" w:rsidRPr="00000000" w14:paraId="00000004">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-일본의 외환보유고는 세계 2위로 해외 투자자의 자금 환전시 유동성 위기를 겪을 확률이 낮음</w:t>
      </w:r>
    </w:p>
    <w:p w:rsidR="00000000" w:rsidDel="00000000" w:rsidP="00000000" w:rsidRDefault="00000000" w:rsidRPr="00000000" w14:paraId="00000005">
      <w:pPr>
        <w:widowControl w:val="0"/>
        <w:spacing w:after="160" w:line="259" w:lineRule="auto"/>
        <w:jc w:val="both"/>
        <w:rPr>
          <w:rFonts w:ascii="Malgun Gothic" w:cs="Malgun Gothic" w:eastAsia="Malgun Gothic" w:hAnsi="Malgun Gothic"/>
          <w:i w:val="1"/>
        </w:rPr>
      </w:pPr>
      <w:r w:rsidDel="00000000" w:rsidR="00000000" w:rsidRPr="00000000">
        <w:rPr>
          <w:rFonts w:ascii="Malgun Gothic" w:cs="Malgun Gothic" w:eastAsia="Malgun Gothic" w:hAnsi="Malgun Gothic"/>
          <w:rtl w:val="0"/>
        </w:rPr>
        <w:t xml:space="preserve">3.</w:t>
      </w:r>
      <w:r w:rsidDel="00000000" w:rsidR="00000000" w:rsidRPr="00000000">
        <w:rPr>
          <w:rFonts w:ascii="Malgun Gothic" w:cs="Malgun Gothic" w:eastAsia="Malgun Gothic" w:hAnsi="Malgun Gothic"/>
          <w:i w:val="1"/>
          <w:rtl w:val="0"/>
        </w:rPr>
        <w:t xml:space="preserve">일본의 대외순자산 1위</w:t>
      </w:r>
    </w:p>
    <w:p w:rsidR="00000000" w:rsidDel="00000000" w:rsidP="00000000" w:rsidRDefault="00000000" w:rsidRPr="00000000" w14:paraId="00000006">
      <w:pPr>
        <w:keepNext w:val="1"/>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0" distT="0" distL="0" distR="0">
            <wp:extent cx="1819780" cy="210688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19780" cy="21068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통화가 상대적으로 안정적이란 의미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디플레 통화라는 점이 안전자산의 큰 이유</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일본 물가가 안정되고 인건비 집값 떨어지고 경상흑자 발생</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만성적인 경상흑자 속에 대외순자산이 꾸준히 발생</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위기시 대외자산 매각 대금의 국내로 들어옴</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180" w:before="480" w:lineRule="auto"/>
        <w:ind w:right="-20"/>
        <w:rPr>
          <w:b w:val="1"/>
          <w:sz w:val="22"/>
          <w:szCs w:val="22"/>
        </w:rPr>
      </w:pPr>
      <w:bookmarkStart w:colFirst="0" w:colLast="0" w:name="_dtk0ykjrblxw" w:id="0"/>
      <w:bookmarkEnd w:id="0"/>
      <w:r w:rsidDel="00000000" w:rsidR="00000000" w:rsidRPr="00000000">
        <w:rPr>
          <w:b w:val="1"/>
          <w:sz w:val="22"/>
          <w:szCs w:val="22"/>
          <w:rtl w:val="0"/>
        </w:rPr>
        <w:t xml:space="preserve">-Yen</w:t>
      </w:r>
    </w:p>
    <w:p w:rsidR="00000000" w:rsidDel="00000000" w:rsidP="00000000" w:rsidRDefault="00000000" w:rsidRPr="00000000" w14:paraId="00000011">
      <w:pPr>
        <w:pStyle w:val="Heading1"/>
        <w:keepNext w:val="0"/>
        <w:keepLines w:val="0"/>
        <w:shd w:fill="ffffff" w:val="clear"/>
        <w:spacing w:after="180" w:before="480" w:lineRule="auto"/>
        <w:ind w:left="-20" w:right="-20" w:firstLine="0"/>
        <w:rPr>
          <w:sz w:val="22"/>
          <w:szCs w:val="22"/>
          <w:highlight w:val="yellow"/>
        </w:rPr>
      </w:pPr>
      <w:bookmarkStart w:colFirst="0" w:colLast="0" w:name="_ittwmmxkfvzm" w:id="1"/>
      <w:bookmarkEnd w:id="1"/>
      <w:r w:rsidDel="00000000" w:rsidR="00000000" w:rsidRPr="00000000">
        <w:rPr>
          <w:rFonts w:ascii="Arial Unicode MS" w:cs="Arial Unicode MS" w:eastAsia="Arial Unicode MS" w:hAnsi="Arial Unicode MS"/>
          <w:sz w:val="22"/>
          <w:szCs w:val="22"/>
          <w:rtl w:val="0"/>
        </w:rPr>
        <w:t xml:space="preserve">일본 엔화는 금 달러와 함께 손꼽히는 안전자산이다. 일본은 외환 보유고 2위의 국가로 유동성위기가 올 가능성이 낮고 저금리 정책으로 해외 투자를 권장하며 경제 불황이 오더라도 계속되는 해외 투자로 엔화가 빠져나가 인플레이션을 겪지 않아 화폐가치가 보존된다. </w:t>
      </w:r>
      <w:r w:rsidDel="00000000" w:rsidR="00000000" w:rsidRPr="00000000">
        <w:rPr>
          <w:rFonts w:ascii="Arial Unicode MS" w:cs="Arial Unicode MS" w:eastAsia="Arial Unicode MS" w:hAnsi="Arial Unicode MS"/>
          <w:sz w:val="22"/>
          <w:szCs w:val="22"/>
          <w:highlight w:val="yellow"/>
          <w:rtl w:val="0"/>
        </w:rPr>
        <w:t xml:space="preserve">그 결과 엔화는 안전자산이라는 인식이 심어져 경기 불황시 강세를 보인다</w:t>
      </w:r>
    </w:p>
    <w:p w:rsidR="00000000" w:rsidDel="00000000" w:rsidP="00000000" w:rsidRDefault="00000000" w:rsidRPr="00000000" w14:paraId="00000012">
      <w:pPr>
        <w:spacing w:after="240" w:before="240" w:lineRule="auto"/>
        <w:rPr/>
      </w:pPr>
      <w:r w:rsidDel="00000000" w:rsidR="00000000" w:rsidRPr="00000000">
        <w:rPr>
          <w:color w:val="7030a0"/>
          <w:rtl w:val="0"/>
        </w:rPr>
        <w:t xml:space="preserve">Nasdaq100</w:t>
      </w:r>
      <w:r w:rsidDel="00000000" w:rsidR="00000000" w:rsidRPr="00000000">
        <w:rPr>
          <w:rtl w:val="0"/>
        </w:rPr>
        <w:t xml:space="preserve"> &amp; </w:t>
      </w:r>
      <w:r w:rsidDel="00000000" w:rsidR="00000000" w:rsidRPr="00000000">
        <w:rPr>
          <w:color w:val="0070c0"/>
          <w:rtl w:val="0"/>
        </w:rPr>
        <w:t xml:space="preserve">USD/JPY</w:t>
      </w:r>
      <w:r w:rsidDel="00000000" w:rsidR="00000000" w:rsidRPr="00000000">
        <w:rPr>
          <w:rFonts w:ascii="Arial Unicode MS" w:cs="Arial Unicode MS" w:eastAsia="Arial Unicode MS" w:hAnsi="Arial Unicode MS"/>
          <w:rtl w:val="0"/>
        </w:rPr>
        <w:t xml:space="preserve">,2020/3 나스닥 폭락장중 엔화가치의 상승</w:t>
      </w:r>
    </w:p>
    <w:p w:rsidR="00000000" w:rsidDel="00000000" w:rsidP="00000000" w:rsidRDefault="00000000" w:rsidRPr="00000000" w14:paraId="00000013">
      <w:pPr>
        <w:pStyle w:val="Heading1"/>
        <w:keepNext w:val="0"/>
        <w:keepLines w:val="0"/>
        <w:shd w:fill="ffffff" w:val="clear"/>
        <w:spacing w:after="180" w:before="480" w:lineRule="auto"/>
        <w:ind w:left="-20" w:right="-20" w:firstLine="0"/>
        <w:rPr>
          <w:sz w:val="22"/>
          <w:szCs w:val="22"/>
        </w:rPr>
      </w:pPr>
      <w:bookmarkStart w:colFirst="0" w:colLast="0" w:name="_ffzh8m45ljkv" w:id="2"/>
      <w:bookmarkEnd w:id="2"/>
      <w:r w:rsidDel="00000000" w:rsidR="00000000" w:rsidRPr="00000000">
        <w:rPr>
          <w:rFonts w:ascii="Arial Unicode MS" w:cs="Arial Unicode MS" w:eastAsia="Arial Unicode MS" w:hAnsi="Arial Unicode MS"/>
          <w:sz w:val="22"/>
          <w:szCs w:val="22"/>
          <w:rtl w:val="0"/>
        </w:rPr>
        <w:t xml:space="preserve">(digression: 계속해서 안전자산의 입지를 가질지는 ‘아베노믹스’ 엔저정책을 지켜봐야할 듯 합니다. 이번 코로나 이슈로 인한 폭락장에서 강세를 보여 아직 까진 안전자산으로의 인식이 강한 것으로 생각됩니다.)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160" w:line="259"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그림 1 19.11월 동아일보</w:t>
      </w:r>
    </w:p>
    <w:p w:rsidR="00000000" w:rsidDel="00000000" w:rsidP="00000000" w:rsidRDefault="00000000" w:rsidRPr="00000000" w14:paraId="00000016">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-일본은 저금리 정책을 펼쳐 ‘엔 캐리 트레이드’의 활성화, 대외순자산1위국가이다</w:t>
      </w:r>
    </w:p>
    <w:p w:rsidR="00000000" w:rsidDel="00000000" w:rsidP="00000000" w:rsidRDefault="00000000" w:rsidRPr="00000000" w14:paraId="00000017">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-경제위기시 ‘앤 캐리 트레이드’로 해외에 나와있는 자본을 국내로 불러들여 엔화 수요를 증가시켜 엔화에 대한 경기침체 영향이 크지 않다. </w:t>
      </w:r>
    </w:p>
    <w:p w:rsidR="00000000" w:rsidDel="00000000" w:rsidP="00000000" w:rsidRDefault="00000000" w:rsidRPr="00000000" w14:paraId="00000018">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=안전자산의 조건</w:t>
      </w:r>
    </w:p>
    <w:p w:rsidR="00000000" w:rsidDel="00000000" w:rsidP="00000000" w:rsidRDefault="00000000" w:rsidRPr="00000000" w14:paraId="00000019">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1.시장 리스크가 적다</w:t>
      </w:r>
    </w:p>
    <w:p w:rsidR="00000000" w:rsidDel="00000000" w:rsidP="00000000" w:rsidRDefault="00000000" w:rsidRPr="00000000" w14:paraId="0000001A">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2.신용 리스크가 적다</w:t>
      </w:r>
    </w:p>
    <w:p w:rsidR="00000000" w:rsidDel="00000000" w:rsidP="00000000" w:rsidRDefault="00000000" w:rsidRPr="00000000" w14:paraId="0000001B">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3.유동성 리스크가 적다</w:t>
      </w:r>
    </w:p>
    <w:p w:rsidR="00000000" w:rsidDel="00000000" w:rsidP="00000000" w:rsidRDefault="00000000" w:rsidRPr="00000000" w14:paraId="0000001C">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=미국국채</w:t>
      </w:r>
    </w:p>
    <w:p w:rsidR="00000000" w:rsidDel="00000000" w:rsidP="00000000" w:rsidRDefault="00000000" w:rsidRPr="00000000" w14:paraId="0000001D">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-국가에서 발행한 채권에 명시된 금액은 나라가 망하지않는이상 만기일에 지급받을수 있다.</w:t>
      </w:r>
    </w:p>
    <w:p w:rsidR="00000000" w:rsidDel="00000000" w:rsidP="00000000" w:rsidRDefault="00000000" w:rsidRPr="00000000" w14:paraId="0000001E">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-안정성이 높지만 수익률이 낮아 경기 호황시에 수요가 적고 불황시 수요가 늘어난다.</w:t>
      </w:r>
    </w:p>
    <w:p w:rsidR="00000000" w:rsidDel="00000000" w:rsidP="00000000" w:rsidRDefault="00000000" w:rsidRPr="00000000" w14:paraId="0000001F">
      <w:pPr>
        <w:widowControl w:val="0"/>
        <w:spacing w:after="160" w:line="259" w:lineRule="auto"/>
        <w:ind w:left="20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0">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=달러</w:t>
      </w:r>
    </w:p>
    <w:p w:rsidR="00000000" w:rsidDel="00000000" w:rsidP="00000000" w:rsidRDefault="00000000" w:rsidRPr="00000000" w14:paraId="00000021">
      <w:pPr>
        <w:widowControl w:val="0"/>
        <w:spacing w:after="160" w:line="259" w:lineRule="auto"/>
        <w:ind w:left="22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-달러는 전세계 기축통화로서 금융위기시 금융자산을 현금화 하려는 경향이 보일 때 그 수요가 증가해 가치가 증가한다.</w:t>
      </w:r>
    </w:p>
    <w:p w:rsidR="00000000" w:rsidDel="00000000" w:rsidP="00000000" w:rsidRDefault="00000000" w:rsidRPr="00000000" w14:paraId="00000022">
      <w:pPr>
        <w:widowControl w:val="0"/>
        <w:spacing w:after="160" w:line="259" w:lineRule="auto"/>
        <w:jc w:val="both"/>
        <w:rPr>
          <w:rFonts w:ascii="Malgun Gothic" w:cs="Malgun Gothic" w:eastAsia="Malgun Gothic" w:hAnsi="Malgun Gothic"/>
        </w:rPr>
      </w:pPr>
      <w:bookmarkStart w:colFirst="0" w:colLast="0" w:name="_gjdgxs" w:id="3"/>
      <w:bookmarkEnd w:id="3"/>
      <w:r w:rsidDel="00000000" w:rsidR="00000000" w:rsidRPr="00000000">
        <w:rPr>
          <w:rFonts w:ascii="Malgun Gothic" w:cs="Malgun Gothic" w:eastAsia="Malgun Gothic" w:hAnsi="Malgun Gothic"/>
          <w:rtl w:val="0"/>
        </w:rPr>
        <w:t xml:space="preserve">ㅡㅡㅡㅡㅡㅡㅡㅡㅡㅡㅡㅡㅡㅡㅡㅡㅡㅡㅡㅡㅡㅡㅡㅡㅡㅡㅡㅡㅡㅡㅡㅡㅡㅡㅡㅡㅡㅡㅡㅡㅡ</w:t>
      </w:r>
    </w:p>
    <w:p w:rsidR="00000000" w:rsidDel="00000000" w:rsidP="00000000" w:rsidRDefault="00000000" w:rsidRPr="00000000" w14:paraId="00000023">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=비트코인</w:t>
      </w:r>
    </w:p>
    <w:p w:rsidR="00000000" w:rsidDel="00000000" w:rsidP="00000000" w:rsidRDefault="00000000" w:rsidRPr="00000000" w14:paraId="00000024">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-증시가 하락할 때 디커플링 현상을 보여주며 규제가 없음에도 안전자산이 될것이라는 기대가 있었지만 코로나 사태때 급락</w:t>
      </w:r>
    </w:p>
    <w:p w:rsidR="00000000" w:rsidDel="00000000" w:rsidP="00000000" w:rsidRDefault="00000000" w:rsidRPr="00000000" w14:paraId="00000025">
      <w:pPr>
        <w:widowControl w:val="0"/>
        <w:spacing w:after="160" w:line="259"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6">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=금</w:t>
      </w:r>
    </w:p>
    <w:p w:rsidR="00000000" w:rsidDel="00000000" w:rsidP="00000000" w:rsidRDefault="00000000" w:rsidRPr="00000000" w14:paraId="00000027">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-금본위제도와 함께 한정된 수량,희소성으로 안전자산의 역할을 해왔었다.</w:t>
      </w:r>
    </w:p>
    <w:p w:rsidR="00000000" w:rsidDel="00000000" w:rsidP="00000000" w:rsidRDefault="00000000" w:rsidRPr="00000000" w14:paraId="00000028">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-금본위제도가 폐지된 이후 금융위기마다 상승폭이 감소하고있다,</w:t>
      </w:r>
    </w:p>
    <w:p w:rsidR="00000000" w:rsidDel="00000000" w:rsidP="00000000" w:rsidRDefault="00000000" w:rsidRPr="00000000" w14:paraId="00000029">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Pr>
        <w:drawing>
          <wp:inline distB="0" distT="0" distL="0" distR="0">
            <wp:extent cx="2418309" cy="228288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18309" cy="228288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1987년 금융위기:5% 상승</w:t>
      </w:r>
    </w:p>
    <w:p w:rsidR="00000000" w:rsidDel="00000000" w:rsidP="00000000" w:rsidRDefault="00000000" w:rsidRPr="00000000" w14:paraId="0000002B">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1998년 금융위기:2% 상승</w:t>
      </w:r>
    </w:p>
    <w:p w:rsidR="00000000" w:rsidDel="00000000" w:rsidP="00000000" w:rsidRDefault="00000000" w:rsidRPr="00000000" w14:paraId="0000002C">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2008년 금융위기:30% 하락</w:t>
      </w:r>
    </w:p>
    <w:p w:rsidR="00000000" w:rsidDel="00000000" w:rsidP="00000000" w:rsidRDefault="00000000" w:rsidRPr="00000000" w14:paraId="0000002D">
      <w:pPr>
        <w:widowControl w:val="0"/>
        <w:spacing w:after="160" w:line="259" w:lineRule="auto"/>
        <w:jc w:val="both"/>
        <w:rPr>
          <w:rFonts w:ascii="Malgun Gothic" w:cs="Malgun Gothic" w:eastAsia="Malgun Gothic" w:hAnsi="Malgun Gothic"/>
          <w:color w:val="333333"/>
        </w:rPr>
      </w:pPr>
      <w:r w:rsidDel="00000000" w:rsidR="00000000" w:rsidRPr="00000000">
        <w:rPr>
          <w:rtl w:val="0"/>
        </w:rPr>
      </w:r>
    </w:p>
    <w:p w:rsidR="00000000" w:rsidDel="00000000" w:rsidP="00000000" w:rsidRDefault="00000000" w:rsidRPr="00000000" w14:paraId="0000002E">
      <w:pPr>
        <w:widowControl w:val="0"/>
        <w:spacing w:after="160" w:line="259"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F">
      <w:pPr>
        <w:widowControl w:val="0"/>
        <w:spacing w:after="160" w:line="259"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30">
      <w:pPr>
        <w:widowControl w:val="0"/>
        <w:spacing w:after="160" w:line="259" w:lineRule="auto"/>
        <w:ind w:left="20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1">
      <w:pPr>
        <w:widowControl w:val="0"/>
        <w:spacing w:after="160" w:line="259" w:lineRule="auto"/>
        <w:ind w:firstLine="400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2">
      <w:pPr>
        <w:widowControl w:val="0"/>
        <w:spacing w:after="160" w:line="259"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3">
      <w:pPr>
        <w:widowControl w:val="0"/>
        <w:spacing w:after="160" w:line="259"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