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501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64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rFonts w:ascii="Verdana" w:cs="Verdana" w:eastAsia="Verdana" w:hAnsi="Verdana"/>
            <w:b w:val="1"/>
            <w:color w:val="39619a"/>
            <w:sz w:val="31"/>
            <w:szCs w:val="31"/>
            <w:shd w:fill="e6e7e8" w:val="clear"/>
            <w:rtl w:val="0"/>
          </w:rPr>
          <w:t xml:space="preserve">ICE BofA US High Yield Index Option-Adjusted Spread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rFonts w:ascii="Verdana" w:cs="Verdana" w:eastAsia="Verdana" w:hAnsi="Verdana"/>
            <w:b w:val="1"/>
            <w:color w:val="39619a"/>
            <w:sz w:val="31"/>
            <w:szCs w:val="31"/>
            <w:u w:val="single"/>
            <w:shd w:fill="e6e7e8" w:val="clear"/>
            <w:rtl w:val="0"/>
          </w:rPr>
          <w:t xml:space="preserve">ICE BofA AAA US Corporate Index Option-Adjusted Spread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rFonts w:ascii="Verdana" w:cs="Verdana" w:eastAsia="Verdana" w:hAnsi="Verdana"/>
            <w:b w:val="1"/>
            <w:color w:val="39619a"/>
            <w:sz w:val="31"/>
            <w:szCs w:val="31"/>
            <w:shd w:fill="e6e7e8" w:val="clear"/>
            <w:rtl w:val="0"/>
          </w:rPr>
          <w:t xml:space="preserve">ICE BofA AA US Corporate Index Option-Adjusted Spread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1">
        <w:r w:rsidDel="00000000" w:rsidR="00000000" w:rsidRPr="00000000">
          <w:rPr>
            <w:rFonts w:ascii="Verdana" w:cs="Verdana" w:eastAsia="Verdana" w:hAnsi="Verdana"/>
            <w:b w:val="1"/>
            <w:color w:val="39619a"/>
            <w:sz w:val="31"/>
            <w:szCs w:val="31"/>
            <w:shd w:fill="e6e7e8" w:val="clear"/>
            <w:rtl w:val="0"/>
          </w:rPr>
          <w:t xml:space="preserve">ICE BofA Single-A US Corporate Index Option-Adjusted Spread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2">
        <w:r w:rsidDel="00000000" w:rsidR="00000000" w:rsidRPr="00000000">
          <w:rPr>
            <w:rFonts w:ascii="Verdana" w:cs="Verdana" w:eastAsia="Verdana" w:hAnsi="Verdana"/>
            <w:b w:val="1"/>
            <w:color w:val="39619a"/>
            <w:sz w:val="31"/>
            <w:szCs w:val="31"/>
            <w:u w:val="single"/>
            <w:shd w:fill="e6e7e8" w:val="clear"/>
            <w:rtl w:val="0"/>
          </w:rPr>
          <w:t xml:space="preserve">ICE BofA Single-B US High Yield Index Option-Adjusted Spread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color w:val="ff0000"/>
        </w:rPr>
      </w:pPr>
      <w:hyperlink r:id="rId13">
        <w:r w:rsidDel="00000000" w:rsidR="00000000" w:rsidRPr="00000000">
          <w:rPr>
            <w:rFonts w:ascii="Verdana" w:cs="Verdana" w:eastAsia="Verdana" w:hAnsi="Verdana"/>
            <w:b w:val="1"/>
            <w:i w:val="1"/>
            <w:color w:val="ff0000"/>
            <w:sz w:val="31"/>
            <w:szCs w:val="31"/>
            <w:u w:val="single"/>
            <w:shd w:fill="e6e7e8" w:val="clear"/>
            <w:rtl w:val="0"/>
          </w:rPr>
          <w:t xml:space="preserve">ICE BofA BB US High Yield Index Option-Adjusted Spread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4">
        <w:r w:rsidDel="00000000" w:rsidR="00000000" w:rsidRPr="00000000">
          <w:rPr>
            <w:rFonts w:ascii="Verdana" w:cs="Verdana" w:eastAsia="Verdana" w:hAnsi="Verdana"/>
            <w:b w:val="1"/>
            <w:color w:val="39619a"/>
            <w:sz w:val="31"/>
            <w:szCs w:val="31"/>
            <w:shd w:fill="e6e7e8" w:val="clear"/>
            <w:rtl w:val="0"/>
          </w:rPr>
          <w:t xml:space="preserve">ICE BofA BBB US Corporate Index Option-Adjusted Spread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5">
        <w:r w:rsidDel="00000000" w:rsidR="00000000" w:rsidRPr="00000000">
          <w:rPr>
            <w:rFonts w:ascii="Verdana" w:cs="Verdana" w:eastAsia="Verdana" w:hAnsi="Verdana"/>
            <w:b w:val="1"/>
            <w:color w:val="39619a"/>
            <w:sz w:val="31"/>
            <w:szCs w:val="31"/>
            <w:shd w:fill="e6e7e8" w:val="clear"/>
            <w:rtl w:val="0"/>
          </w:rPr>
          <w:t xml:space="preserve">ICE BofA CCC &amp; Lower US High Yield Index Option-Adjusted Spread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b w:val="1"/>
          <w:color w:val="666666"/>
          <w:sz w:val="17"/>
          <w:szCs w:val="17"/>
          <w:shd w:fill="f2f4df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9"/>
          <w:szCs w:val="29"/>
          <w:shd w:fill="f2f4df" w:val="clear"/>
          <w:rtl w:val="0"/>
        </w:rPr>
        <w:t xml:space="preserve">ICE BofA AAA US Corporate Index Effective Yield</w:t>
      </w:r>
      <w:r w:rsidDel="00000000" w:rsidR="00000000" w:rsidRPr="00000000">
        <w:rPr>
          <w:rFonts w:ascii="Verdana" w:cs="Verdana" w:eastAsia="Verdana" w:hAnsi="Verdana"/>
          <w:b w:val="1"/>
          <w:color w:val="666666"/>
          <w:sz w:val="17"/>
          <w:szCs w:val="17"/>
          <w:shd w:fill="f2f4df" w:val="clear"/>
          <w:rtl w:val="0"/>
        </w:rPr>
        <w:t xml:space="preserve"> (BAMLC0A1CAAAEY)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b w:val="1"/>
          <w:color w:val="666666"/>
          <w:sz w:val="17"/>
          <w:szCs w:val="17"/>
          <w:shd w:fill="f2f4df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9"/>
          <w:szCs w:val="29"/>
          <w:shd w:fill="f2f4df" w:val="clear"/>
          <w:rtl w:val="0"/>
        </w:rPr>
        <w:t xml:space="preserve"> ICE BofA AA US Corporate Index Effective Yield</w:t>
      </w:r>
      <w:r w:rsidDel="00000000" w:rsidR="00000000" w:rsidRPr="00000000">
        <w:rPr>
          <w:rFonts w:ascii="Verdana" w:cs="Verdana" w:eastAsia="Verdana" w:hAnsi="Verdana"/>
          <w:b w:val="1"/>
          <w:color w:val="666666"/>
          <w:sz w:val="17"/>
          <w:szCs w:val="17"/>
          <w:shd w:fill="f2f4df" w:val="clear"/>
          <w:rtl w:val="0"/>
        </w:rPr>
        <w:t xml:space="preserve"> (BAMLC0A2CAAEY)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1"/>
          <w:color w:val="666666"/>
          <w:sz w:val="17"/>
          <w:szCs w:val="17"/>
          <w:shd w:fill="f2f4df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9"/>
          <w:szCs w:val="29"/>
          <w:shd w:fill="f2f4df" w:val="clear"/>
          <w:rtl w:val="0"/>
        </w:rPr>
        <w:t xml:space="preserve"> ICE BofA US High Yield Index Effective Yield</w:t>
      </w:r>
      <w:r w:rsidDel="00000000" w:rsidR="00000000" w:rsidRPr="00000000">
        <w:rPr>
          <w:rFonts w:ascii="Verdana" w:cs="Verdana" w:eastAsia="Verdana" w:hAnsi="Verdana"/>
          <w:b w:val="1"/>
          <w:color w:val="666666"/>
          <w:sz w:val="17"/>
          <w:szCs w:val="17"/>
          <w:shd w:fill="f2f4df" w:val="clear"/>
          <w:rtl w:val="0"/>
        </w:rPr>
        <w:t xml:space="preserve"> (BAMLH0A0HYM2EY)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  <w:color w:val="666666"/>
          <w:sz w:val="17"/>
          <w:szCs w:val="17"/>
          <w:shd w:fill="f2f4df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9"/>
          <w:szCs w:val="29"/>
          <w:shd w:fill="f2f4df" w:val="clear"/>
          <w:rtl w:val="0"/>
        </w:rPr>
        <w:t xml:space="preserve">ICE BofA Single-B US High Yield Index Effective Yield</w:t>
      </w:r>
      <w:r w:rsidDel="00000000" w:rsidR="00000000" w:rsidRPr="00000000">
        <w:rPr>
          <w:rFonts w:ascii="Verdana" w:cs="Verdana" w:eastAsia="Verdana" w:hAnsi="Verdana"/>
          <w:b w:val="1"/>
          <w:color w:val="666666"/>
          <w:sz w:val="17"/>
          <w:szCs w:val="17"/>
          <w:shd w:fill="f2f4df" w:val="clear"/>
          <w:rtl w:val="0"/>
        </w:rPr>
        <w:t xml:space="preserve"> (BAMLH0A2HYBEY)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b w:val="1"/>
          <w:color w:val="666666"/>
          <w:sz w:val="17"/>
          <w:szCs w:val="17"/>
          <w:shd w:fill="f2f4df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9"/>
          <w:szCs w:val="29"/>
          <w:shd w:fill="f2f4df" w:val="clear"/>
          <w:rtl w:val="0"/>
        </w:rPr>
        <w:t xml:space="preserve">ICE BofA BB US High Yield Index Effective Yield</w:t>
      </w:r>
      <w:r w:rsidDel="00000000" w:rsidR="00000000" w:rsidRPr="00000000">
        <w:rPr>
          <w:rFonts w:ascii="Verdana" w:cs="Verdana" w:eastAsia="Verdana" w:hAnsi="Verdana"/>
          <w:b w:val="1"/>
          <w:color w:val="666666"/>
          <w:sz w:val="17"/>
          <w:szCs w:val="17"/>
          <w:shd w:fill="f2f4df" w:val="clear"/>
          <w:rtl w:val="0"/>
        </w:rPr>
        <w:t xml:space="preserve"> (BAMLH0A1HYBBEY)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b w:val="1"/>
          <w:color w:val="666666"/>
          <w:sz w:val="17"/>
          <w:szCs w:val="17"/>
          <w:shd w:fill="f2f4df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9"/>
          <w:szCs w:val="29"/>
          <w:shd w:fill="f2f4df" w:val="clear"/>
          <w:rtl w:val="0"/>
        </w:rPr>
        <w:t xml:space="preserve">ICE BofA BBB US Corporate Index Effective Yield</w:t>
      </w:r>
      <w:r w:rsidDel="00000000" w:rsidR="00000000" w:rsidRPr="00000000">
        <w:rPr>
          <w:rFonts w:ascii="Verdana" w:cs="Verdana" w:eastAsia="Verdana" w:hAnsi="Verdana"/>
          <w:b w:val="1"/>
          <w:color w:val="666666"/>
          <w:sz w:val="17"/>
          <w:szCs w:val="17"/>
          <w:shd w:fill="f2f4df" w:val="clear"/>
          <w:rtl w:val="0"/>
        </w:rPr>
        <w:t xml:space="preserve"> (BAMLC0A4CBBBEY)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b w:val="1"/>
          <w:color w:val="666666"/>
          <w:sz w:val="17"/>
          <w:szCs w:val="17"/>
          <w:shd w:fill="f2f4df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9"/>
          <w:szCs w:val="29"/>
          <w:shd w:fill="f2f4df" w:val="clear"/>
          <w:rtl w:val="0"/>
        </w:rPr>
        <w:t xml:space="preserve"> ICE BofA CCC &amp; Lower US High Yield Index Effective Yield</w:t>
      </w:r>
      <w:r w:rsidDel="00000000" w:rsidR="00000000" w:rsidRPr="00000000">
        <w:rPr>
          <w:rFonts w:ascii="Verdana" w:cs="Verdana" w:eastAsia="Verdana" w:hAnsi="Verdana"/>
          <w:b w:val="1"/>
          <w:color w:val="666666"/>
          <w:sz w:val="17"/>
          <w:szCs w:val="17"/>
          <w:shd w:fill="f2f4df" w:val="clear"/>
          <w:rtl w:val="0"/>
        </w:rPr>
        <w:t xml:space="preserve"> (BAMLH0A3HYCEY)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1"/>
          <w:color w:val="666666"/>
          <w:sz w:val="17"/>
          <w:szCs w:val="17"/>
          <w:shd w:fill="f2f4d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b w:val="1"/>
          <w:color w:val="666666"/>
          <w:sz w:val="17"/>
          <w:szCs w:val="17"/>
          <w:shd w:fill="f2f4df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9"/>
          <w:szCs w:val="29"/>
          <w:shd w:fill="f2f4df" w:val="clear"/>
          <w:rtl w:val="0"/>
        </w:rPr>
        <w:t xml:space="preserve"> ICE BofA US High Yield Index Total Return Index Value</w:t>
      </w:r>
      <w:r w:rsidDel="00000000" w:rsidR="00000000" w:rsidRPr="00000000">
        <w:rPr>
          <w:rFonts w:ascii="Verdana" w:cs="Verdana" w:eastAsia="Verdana" w:hAnsi="Verdana"/>
          <w:b w:val="1"/>
          <w:color w:val="666666"/>
          <w:sz w:val="17"/>
          <w:szCs w:val="17"/>
          <w:shd w:fill="f2f4df" w:val="clear"/>
          <w:rtl w:val="0"/>
        </w:rPr>
        <w:t xml:space="preserve"> (BAMLHYH0A0HYM2TRIV)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6">
        <w:r w:rsidDel="00000000" w:rsidR="00000000" w:rsidRPr="00000000">
          <w:rPr>
            <w:rFonts w:ascii="Verdana" w:cs="Verdana" w:eastAsia="Verdana" w:hAnsi="Verdana"/>
            <w:b w:val="1"/>
            <w:color w:val="39619a"/>
            <w:sz w:val="31"/>
            <w:szCs w:val="31"/>
            <w:shd w:fill="e6e7e8" w:val="clear"/>
            <w:rtl w:val="0"/>
          </w:rPr>
          <w:t xml:space="preserve">Leading Index for the United 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7">
        <w:r w:rsidDel="00000000" w:rsidR="00000000" w:rsidRPr="00000000">
          <w:rPr>
            <w:rFonts w:ascii="Verdana" w:cs="Verdana" w:eastAsia="Verdana" w:hAnsi="Verdana"/>
            <w:b w:val="1"/>
            <w:color w:val="39619a"/>
            <w:sz w:val="31"/>
            <w:szCs w:val="31"/>
            <w:shd w:fill="e6e7e8" w:val="clear"/>
            <w:rtl w:val="0"/>
          </w:rPr>
          <w:t xml:space="preserve">University of Michigan: Consumer Sentiment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8">
        <w:r w:rsidDel="00000000" w:rsidR="00000000" w:rsidRPr="00000000">
          <w:rPr>
            <w:rFonts w:ascii="Verdana" w:cs="Verdana" w:eastAsia="Verdana" w:hAnsi="Verdana"/>
            <w:b w:val="1"/>
            <w:color w:val="39619a"/>
            <w:sz w:val="31"/>
            <w:szCs w:val="31"/>
            <w:shd w:fill="e6e7e8" w:val="clear"/>
            <w:rtl w:val="0"/>
          </w:rPr>
          <w:t xml:space="preserve">Consumer Price Index for All Urban Consumers: All Items in U.S. City Average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9">
        <w:r w:rsidDel="00000000" w:rsidR="00000000" w:rsidRPr="00000000">
          <w:rPr>
            <w:rFonts w:ascii="Verdana" w:cs="Verdana" w:eastAsia="Verdana" w:hAnsi="Verdana"/>
            <w:b w:val="1"/>
            <w:color w:val="39619a"/>
            <w:sz w:val="31"/>
            <w:szCs w:val="31"/>
            <w:shd w:fill="e6e7e8" w:val="clear"/>
            <w:rtl w:val="0"/>
          </w:rPr>
          <w:t xml:space="preserve">30-Year Treasury Constant Maturity Rate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0">
        <w:r w:rsidDel="00000000" w:rsidR="00000000" w:rsidRPr="00000000">
          <w:rPr>
            <w:rFonts w:ascii="Verdana" w:cs="Verdana" w:eastAsia="Verdana" w:hAnsi="Verdana"/>
            <w:b w:val="1"/>
            <w:color w:val="39619a"/>
            <w:sz w:val="31"/>
            <w:szCs w:val="31"/>
            <w:u w:val="single"/>
            <w:shd w:fill="e6e7e8" w:val="clear"/>
            <w:rtl w:val="0"/>
          </w:rPr>
          <w:t xml:space="preserve">20-Year Treasury Constant Maturity Rate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21">
        <w:r w:rsidDel="00000000" w:rsidR="00000000" w:rsidRPr="00000000">
          <w:rPr>
            <w:rFonts w:ascii="Verdana" w:cs="Verdana" w:eastAsia="Verdana" w:hAnsi="Verdana"/>
            <w:b w:val="1"/>
            <w:color w:val="39619a"/>
            <w:sz w:val="31"/>
            <w:szCs w:val="31"/>
            <w:shd w:fill="e6e7e8" w:val="clear"/>
            <w:rtl w:val="0"/>
          </w:rPr>
          <w:t xml:space="preserve">10-Year Treasury Constant Maturity Rate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(장기채)</w:t>
      </w:r>
    </w:p>
    <w:p w:rsidR="00000000" w:rsidDel="00000000" w:rsidP="00000000" w:rsidRDefault="00000000" w:rsidRPr="00000000" w14:paraId="00000021">
      <w:pPr>
        <w:rPr/>
      </w:pPr>
      <w:hyperlink r:id="rId22">
        <w:r w:rsidDel="00000000" w:rsidR="00000000" w:rsidRPr="00000000">
          <w:rPr>
            <w:rFonts w:ascii="Verdana" w:cs="Verdana" w:eastAsia="Verdana" w:hAnsi="Verdana"/>
            <w:b w:val="1"/>
            <w:color w:val="39619a"/>
            <w:sz w:val="31"/>
            <w:szCs w:val="31"/>
            <w:shd w:fill="e6e7e8" w:val="clear"/>
            <w:rtl w:val="0"/>
          </w:rPr>
          <w:t xml:space="preserve">7-Year Treasury Constant Maturity Rate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23">
        <w:r w:rsidDel="00000000" w:rsidR="00000000" w:rsidRPr="00000000">
          <w:rPr>
            <w:rFonts w:ascii="Verdana" w:cs="Verdana" w:eastAsia="Verdana" w:hAnsi="Verdana"/>
            <w:b w:val="1"/>
            <w:color w:val="39619a"/>
            <w:sz w:val="31"/>
            <w:szCs w:val="31"/>
            <w:shd w:fill="e6e7e8" w:val="clear"/>
            <w:rtl w:val="0"/>
          </w:rPr>
          <w:t xml:space="preserve">5-Year Treasury Constant Maturity Rate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4">
        <w:r w:rsidDel="00000000" w:rsidR="00000000" w:rsidRPr="00000000">
          <w:rPr>
            <w:rFonts w:ascii="Verdana" w:cs="Verdana" w:eastAsia="Verdana" w:hAnsi="Verdana"/>
            <w:b w:val="1"/>
            <w:color w:val="39619a"/>
            <w:sz w:val="31"/>
            <w:szCs w:val="31"/>
            <w:shd w:fill="e6e7e8" w:val="clear"/>
            <w:rtl w:val="0"/>
          </w:rPr>
          <w:t xml:space="preserve">3-Year Treasury Constant Maturity Rate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25">
        <w:r w:rsidDel="00000000" w:rsidR="00000000" w:rsidRPr="00000000">
          <w:rPr>
            <w:rFonts w:ascii="Verdana" w:cs="Verdana" w:eastAsia="Verdana" w:hAnsi="Verdana"/>
            <w:b w:val="1"/>
            <w:color w:val="39619a"/>
            <w:sz w:val="31"/>
            <w:szCs w:val="31"/>
            <w:u w:val="single"/>
            <w:shd w:fill="e6e7e8" w:val="clear"/>
            <w:rtl w:val="0"/>
          </w:rPr>
          <w:t xml:space="preserve">2-Year Treasury Constant Maturity Rate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26">
        <w:r w:rsidDel="00000000" w:rsidR="00000000" w:rsidRPr="00000000">
          <w:rPr>
            <w:rFonts w:ascii="Verdana" w:cs="Verdana" w:eastAsia="Verdana" w:hAnsi="Verdana"/>
            <w:b w:val="1"/>
            <w:color w:val="39619a"/>
            <w:sz w:val="31"/>
            <w:szCs w:val="31"/>
            <w:shd w:fill="e6e7e8" w:val="clear"/>
            <w:rtl w:val="0"/>
          </w:rPr>
          <w:t xml:space="preserve">1-Year Treasury Constant Maturity Rate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27">
        <w:r w:rsidDel="00000000" w:rsidR="00000000" w:rsidRPr="00000000">
          <w:rPr>
            <w:rFonts w:ascii="Verdana" w:cs="Verdana" w:eastAsia="Verdana" w:hAnsi="Verdana"/>
            <w:b w:val="1"/>
            <w:color w:val="39619a"/>
            <w:sz w:val="31"/>
            <w:szCs w:val="31"/>
            <w:shd w:fill="e6e7e8" w:val="clear"/>
            <w:rtl w:val="0"/>
          </w:rPr>
          <w:t xml:space="preserve">3-Month Treasury Constant Maturity Rate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28">
        <w:r w:rsidDel="00000000" w:rsidR="00000000" w:rsidRPr="00000000">
          <w:rPr>
            <w:rFonts w:ascii="Verdana" w:cs="Verdana" w:eastAsia="Verdana" w:hAnsi="Verdana"/>
            <w:b w:val="1"/>
            <w:color w:val="39619a"/>
            <w:sz w:val="31"/>
            <w:szCs w:val="31"/>
            <w:shd w:fill="e6e7e8" w:val="clear"/>
            <w:rtl w:val="0"/>
          </w:rPr>
          <w:t xml:space="preserve">1-Month Treasury Constant Maturity Rate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29">
        <w:r w:rsidDel="00000000" w:rsidR="00000000" w:rsidRPr="00000000">
          <w:rPr>
            <w:rFonts w:ascii="Verdana" w:cs="Verdana" w:eastAsia="Verdana" w:hAnsi="Verdana"/>
            <w:b w:val="1"/>
            <w:color w:val="39619a"/>
            <w:sz w:val="31"/>
            <w:szCs w:val="31"/>
            <w:shd w:fill="e6e7e8" w:val="clear"/>
            <w:rtl w:val="0"/>
          </w:rPr>
          <w:t xml:space="preserve">Overnight London Interbank Offered Rate (LIBOR), based on U.S. Dollar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30">
        <w:r w:rsidDel="00000000" w:rsidR="00000000" w:rsidRPr="00000000">
          <w:rPr>
            <w:rFonts w:ascii="Verdana" w:cs="Verdana" w:eastAsia="Verdana" w:hAnsi="Verdana"/>
            <w:b w:val="1"/>
            <w:color w:val="39619a"/>
            <w:sz w:val="31"/>
            <w:szCs w:val="31"/>
            <w:shd w:fill="e6e7e8" w:val="clear"/>
            <w:rtl w:val="0"/>
          </w:rPr>
          <w:t xml:space="preserve">1-Month London Interbank Offered Rate (LIBOR), based on U.S. Dollar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31">
        <w:r w:rsidDel="00000000" w:rsidR="00000000" w:rsidRPr="00000000">
          <w:rPr>
            <w:rFonts w:ascii="Verdana" w:cs="Verdana" w:eastAsia="Verdana" w:hAnsi="Verdana"/>
            <w:b w:val="1"/>
            <w:color w:val="39619a"/>
            <w:sz w:val="31"/>
            <w:szCs w:val="31"/>
            <w:shd w:fill="e6e7e8" w:val="clear"/>
            <w:rtl w:val="0"/>
          </w:rPr>
          <w:t xml:space="preserve">3-Month London Interbank Offered Rate (LIBOR), based on U.S. Dollar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32">
        <w:r w:rsidDel="00000000" w:rsidR="00000000" w:rsidRPr="00000000">
          <w:rPr>
            <w:rFonts w:ascii="Verdana" w:cs="Verdana" w:eastAsia="Verdana" w:hAnsi="Verdana"/>
            <w:b w:val="1"/>
            <w:color w:val="39619a"/>
            <w:sz w:val="31"/>
            <w:szCs w:val="31"/>
            <w:u w:val="single"/>
            <w:shd w:fill="e6e7e8" w:val="clear"/>
            <w:rtl w:val="0"/>
          </w:rPr>
          <w:t xml:space="preserve">12-Month London Interbank Offered Rate (LIBOR), based on U.S. Dollar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33">
        <w:r w:rsidDel="00000000" w:rsidR="00000000" w:rsidRPr="00000000">
          <w:rPr>
            <w:rFonts w:ascii="Verdana" w:cs="Verdana" w:eastAsia="Verdana" w:hAnsi="Verdana"/>
            <w:b w:val="1"/>
            <w:color w:val="39619a"/>
            <w:sz w:val="31"/>
            <w:szCs w:val="31"/>
            <w:u w:val="single"/>
            <w:shd w:fill="e6e7e8" w:val="clear"/>
            <w:rtl w:val="0"/>
          </w:rPr>
          <w:t xml:space="preserve">TED Spread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34">
        <w:r w:rsidDel="00000000" w:rsidR="00000000" w:rsidRPr="00000000">
          <w:rPr>
            <w:rFonts w:ascii="Verdana" w:cs="Verdana" w:eastAsia="Verdana" w:hAnsi="Verdana"/>
            <w:b w:val="1"/>
            <w:color w:val="39619a"/>
            <w:sz w:val="31"/>
            <w:szCs w:val="31"/>
            <w:shd w:fill="e6e7e8" w:val="clear"/>
            <w:rtl w:val="0"/>
          </w:rPr>
          <w:t xml:space="preserve">Trade Weighted U.S. Dollar Index: Major Currencies, Goods (DISCONTINUED)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35">
        <w:r w:rsidDel="00000000" w:rsidR="00000000" w:rsidRPr="00000000">
          <w:rPr>
            <w:rFonts w:ascii="Verdana" w:cs="Verdana" w:eastAsia="Verdana" w:hAnsi="Verdana"/>
            <w:b w:val="1"/>
            <w:color w:val="39619a"/>
            <w:sz w:val="31"/>
            <w:szCs w:val="31"/>
            <w:u w:val="single"/>
            <w:shd w:fill="e6e7e8" w:val="clear"/>
            <w:rtl w:val="0"/>
          </w:rPr>
          <w:t xml:space="preserve">Wilshire 5000 Total Market Full Cap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인플레이션?  이슈따라잡기 28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금융위기는 은행위기 1차오일쇼크 1990년대 저축내부조합위기 2008년 금융위기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불황(금리 인하, 저성장) 은 금융위기와 구분,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금융위기는 통화확장의 과정이 막히는것 , 금리급등과 연관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자산이 망할지 모르므로 가격을 떨어뜨려서 다팜 = 금리가 올라가는 것과 연관되어 있음 회사채 금리 급등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그래서 저금리에서 금융위기가 오는 사례를 보기 힘듬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red.stlouisfed.org/series/DGS20" TargetMode="External"/><Relationship Id="rId22" Type="http://schemas.openxmlformats.org/officeDocument/2006/relationships/hyperlink" Target="https://fred.stlouisfed.org/series/DGS7" TargetMode="External"/><Relationship Id="rId21" Type="http://schemas.openxmlformats.org/officeDocument/2006/relationships/hyperlink" Target="https://fred.stlouisfed.org/series/DGS10" TargetMode="External"/><Relationship Id="rId24" Type="http://schemas.openxmlformats.org/officeDocument/2006/relationships/hyperlink" Target="https://fred.stlouisfed.org/series/DGS3" TargetMode="External"/><Relationship Id="rId23" Type="http://schemas.openxmlformats.org/officeDocument/2006/relationships/hyperlink" Target="https://fred.stlouisfed.org/series/DGS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ed.stlouisfed.org/series/BAMLC0A1CAAA" TargetMode="External"/><Relationship Id="rId26" Type="http://schemas.openxmlformats.org/officeDocument/2006/relationships/hyperlink" Target="https://fred.stlouisfed.org/series/DGS1" TargetMode="External"/><Relationship Id="rId25" Type="http://schemas.openxmlformats.org/officeDocument/2006/relationships/hyperlink" Target="https://fred.stlouisfed.org/series/DGS2" TargetMode="External"/><Relationship Id="rId28" Type="http://schemas.openxmlformats.org/officeDocument/2006/relationships/hyperlink" Target="https://fred.stlouisfed.org/series/DGS1MO" TargetMode="External"/><Relationship Id="rId27" Type="http://schemas.openxmlformats.org/officeDocument/2006/relationships/hyperlink" Target="https://fred.stlouisfed.org/series/GS3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s://fred.stlouisfed.org/series/USDONTD156N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fred.stlouisfed.org/series/BAMLH0A0HYM2" TargetMode="External"/><Relationship Id="rId31" Type="http://schemas.openxmlformats.org/officeDocument/2006/relationships/hyperlink" Target="https://fred.stlouisfed.org/series/USD3MTD156N" TargetMode="External"/><Relationship Id="rId30" Type="http://schemas.openxmlformats.org/officeDocument/2006/relationships/hyperlink" Target="https://fred.stlouisfed.org/series/USD1MTD156N" TargetMode="External"/><Relationship Id="rId11" Type="http://schemas.openxmlformats.org/officeDocument/2006/relationships/hyperlink" Target="https://fred.stlouisfed.org/series/BAMLC0A3CA" TargetMode="External"/><Relationship Id="rId33" Type="http://schemas.openxmlformats.org/officeDocument/2006/relationships/hyperlink" Target="https://fred.stlouisfed.org/series/TEDRATE" TargetMode="External"/><Relationship Id="rId10" Type="http://schemas.openxmlformats.org/officeDocument/2006/relationships/hyperlink" Target="https://fred.stlouisfed.org/series/BAMLC0A2CAA" TargetMode="External"/><Relationship Id="rId32" Type="http://schemas.openxmlformats.org/officeDocument/2006/relationships/hyperlink" Target="https://fred.stlouisfed.org/series/USD12MD156N" TargetMode="External"/><Relationship Id="rId13" Type="http://schemas.openxmlformats.org/officeDocument/2006/relationships/hyperlink" Target="https://fred.stlouisfed.org/series/BAMLH0A1HYBB" TargetMode="External"/><Relationship Id="rId35" Type="http://schemas.openxmlformats.org/officeDocument/2006/relationships/hyperlink" Target="https://fred.stlouisfed.org/series/WILL5000INDFC" TargetMode="External"/><Relationship Id="rId12" Type="http://schemas.openxmlformats.org/officeDocument/2006/relationships/hyperlink" Target="https://fred.stlouisfed.org/series/BAMLH0A2HYB" TargetMode="External"/><Relationship Id="rId34" Type="http://schemas.openxmlformats.org/officeDocument/2006/relationships/hyperlink" Target="https://fred.stlouisfed.org/series/DTWEXM" TargetMode="External"/><Relationship Id="rId15" Type="http://schemas.openxmlformats.org/officeDocument/2006/relationships/hyperlink" Target="https://fred.stlouisfed.org/series/BAMLH0A3HYC" TargetMode="External"/><Relationship Id="rId14" Type="http://schemas.openxmlformats.org/officeDocument/2006/relationships/hyperlink" Target="https://fred.stlouisfed.org/series/BAMLC0A4CBBB" TargetMode="External"/><Relationship Id="rId17" Type="http://schemas.openxmlformats.org/officeDocument/2006/relationships/hyperlink" Target="https://fred.stlouisfed.org/series/UMCSENT" TargetMode="External"/><Relationship Id="rId16" Type="http://schemas.openxmlformats.org/officeDocument/2006/relationships/hyperlink" Target="https://fred.stlouisfed.org/series/USSLIND" TargetMode="External"/><Relationship Id="rId19" Type="http://schemas.openxmlformats.org/officeDocument/2006/relationships/hyperlink" Target="https://fred.stlouisfed.org/series/DGS30" TargetMode="External"/><Relationship Id="rId18" Type="http://schemas.openxmlformats.org/officeDocument/2006/relationships/hyperlink" Target="https://fred.stlouisfed.org/series/CPIAUCS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