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rFonts w:ascii="Calibri" w:cs="Leelawadee UI" w:eastAsia="Calibri" w:hAnsi="Calibri"/>
          <w:b/>
          <w:bCs/>
          <w:color w:val="1F3864"/>
          <w:sz w:val="44"/>
          <w:szCs w:val="44"/>
        </w:rPr>
        <w:t xml:space="preserve">The Bone 2026 — Tutoring Topic Guide</w:t>
      </w:r>
    </w:p>
    <w:p>
      <w:pPr>
        <w:spacing w:after="240"/>
        <w:jc w:val="center"/>
      </w:pPr>
      <w:r>
        <w:rPr>
          <w:rFonts w:ascii="Calibri" w:cs="Leelawadee UI" w:eastAsia="Calibri" w:hAnsi="Calibri"/>
          <w:i/>
          <w:iCs/>
          <w:color w:val="595959"/>
          <w:sz w:val="22"/>
          <w:szCs w:val="22"/>
        </w:rPr>
        <w:t xml:space="preserve">High-yield topics and predicted questions by orthopaedic subspecialty · Version 1 · October 2026</w:t>
      </w:r>
    </w:p>
    <w:p>
      <w:pPr>
        <w:pStyle w:val="Heading1"/>
      </w:pPr>
      <w:r>
        <w:rPr>
          <w:rFonts w:ascii="Calibri" w:cs="Leelawadee UI" w:eastAsia="Calibri" w:hAnsi="Calibri"/>
          <w:b/>
          <w:bCs/>
          <w:color w:val="1F3864"/>
          <w:sz w:val="28"/>
          <w:szCs w:val="28"/>
        </w:rPr>
        <w:t xml:space="preserve">About the competition (2025 baseline)</w:t>
      </w:r>
    </w:p>
    <w:p>
      <w:pPr>
        <w:spacing w:after="120"/>
      </w:pPr>
      <w:r>
        <w:rPr>
          <w:rFonts w:ascii="Calibri" w:cs="Leelawadee UI" w:eastAsia="Calibri" w:hAnsi="Calibri"/>
          <w:sz w:val="20"/>
          <w:szCs w:val="20"/>
        </w:rPr>
        <w:t xml:space="preserve">“The Bone เก่งเข้ากระดูก by Siriraj” (2025) was Thailand’s first orthopaedic knowledge game show for undergraduate medical students. It was organised by the Department of Orthopaedic Surgery and Physical Therapy, Faculty of Medicine Siriraj Hospital, Mahidol University, with Workpoint Entertainment, and broadcast on Workpoint 23. Teams of 2 students represented 19 medical schools. The 2025 champions were from Chulalongkorn University; the runner-up team was from Siriraj. The prize was a royal trophy with scholarships.</w:t>
      </w:r>
    </w:p>
    <w:p>
      <w:pPr>
        <w:spacing w:after="120"/>
      </w:pPr>
      <w:r>
        <w:rPr>
          <w:rFonts w:ascii="Calibri" w:cs="Leelawadee UI" w:eastAsia="Calibri" w:hAnsi="Calibri"/>
          <w:sz w:val="20"/>
          <w:szCs w:val="20"/>
        </w:rPr>
        <w:t xml:space="preserve">Note: public sources name Siriraj (not RCOST) as the organiser. If RCOST co-hosts or sets the 2026 syllabus, re-check the scope against the RCOST medical-student curriculum.</w:t>
      </w:r>
    </w:p>
    <w:p>
      <w:pPr>
        <w:spacing w:after="120"/>
      </w:pPr>
      <w:r>
        <w:rPr>
          <w:rFonts w:ascii="Calibri" w:cs="Leelawadee UI" w:eastAsia="Calibri" w:hAnsi="Calibri"/>
          <w:sz w:val="20"/>
          <w:szCs w:val="20"/>
        </w:rPr>
        <w:t xml:space="preserve">Game elements reported in 2025: an academic quiz that grew from a 60-question exam-style test ("SI Ortho Olympian") into elimination rounds under time pressure; a bone-palpation challenge; patient case-management scenarios; breaking-bad-news simulations; and a "consult a senior" lifeline earned through ethics points. The guide below therefore predicts both knowledge questions and practical/communication tasks.</w:t>
      </w:r>
    </w:p>
    <w:p>
      <w:pPr>
        <w:pStyle w:val="Heading1"/>
      </w:pPr>
      <w:r>
        <w:rPr>
          <w:rFonts w:ascii="Calibri" w:cs="Leelawadee UI" w:eastAsia="Calibri" w:hAnsi="Calibri"/>
          <w:b/>
          <w:bCs/>
          <w:color w:val="1F3864"/>
          <w:sz w:val="28"/>
          <w:szCs w:val="28"/>
        </w:rPr>
        <w:t xml:space="preserve">How to use this guide</w:t>
      </w:r>
    </w:p>
    <w:p>
      <w:pPr>
        <w:pStyle w:val="ListParagraph"/>
        <w:numPr>
          <w:ilvl w:val="0"/>
          <w:numId w:val="2"/>
        </w:numPr>
        <w:spacing w:after="40"/>
      </w:pPr>
      <w:r>
        <w:rPr>
          <w:rFonts w:ascii="Calibri" w:cs="Leelawadee UI" w:eastAsia="Calibri" w:hAnsi="Calibri"/>
          <w:sz w:val="20"/>
          <w:szCs w:val="20"/>
        </w:rPr>
        <w:t xml:space="preserve">Yield: ★★★ = very likely / classic exam topic; ★★☆ = likely; ★☆☆ = occasional but quick to learn.</w:t>
      </w:r>
    </w:p>
    <w:p>
      <w:pPr>
        <w:pStyle w:val="ListParagraph"/>
        <w:numPr>
          <w:ilvl w:val="0"/>
          <w:numId w:val="2"/>
        </w:numPr>
        <w:spacing w:after="40"/>
      </w:pPr>
      <w:r>
        <w:rPr>
          <w:rFonts w:ascii="Calibri" w:cs="Leelawadee UI" w:eastAsia="Calibri" w:hAnsi="Calibri"/>
          <w:sz w:val="20"/>
          <w:szCs w:val="20"/>
        </w:rPr>
        <w:t xml:space="preserve">Category tags in each row: Trauma, Infection, Tumor, Degenerative, Inflammatory, Metabolic, Developmental/Congenital.</w:t>
      </w:r>
    </w:p>
    <w:p>
      <w:pPr>
        <w:pStyle w:val="ListParagraph"/>
        <w:numPr>
          <w:ilvl w:val="0"/>
          <w:numId w:val="2"/>
        </w:numPr>
        <w:spacing w:after="40"/>
      </w:pPr>
      <w:r>
        <w:rPr>
          <w:rFonts w:ascii="Calibri" w:cs="Leelawadee UI" w:eastAsia="Calibri" w:hAnsi="Calibri"/>
          <w:sz w:val="20"/>
          <w:szCs w:val="20"/>
        </w:rPr>
        <w:t xml:space="preserve">Level is final-year medical student (MD6): diagnosis, first-line investigation, initial management, red flags, and named signs and classifications. Operative detail is kept to what a student is expected to know.</w:t>
      </w:r>
    </w:p>
    <w:p>
      <w:pPr>
        <w:pStyle w:val="ListParagraph"/>
        <w:numPr>
          <w:ilvl w:val="0"/>
          <w:numId w:val="2"/>
        </w:numPr>
        <w:spacing w:after="40"/>
      </w:pPr>
      <w:r>
        <w:rPr>
          <w:rFonts w:ascii="Calibri" w:cs="Leelawadee UI" w:eastAsia="Calibri" w:hAnsi="Calibri"/>
          <w:sz w:val="20"/>
          <w:szCs w:val="20"/>
        </w:rPr>
        <w:t xml:space="preserve">Thai context is highlighted where relevant (TB spine, melioidosis, Vibrio vulnificus, snakebite, diabetic foot, HLA-B*5801, Thai FRAX/OSTA), since local organisers like these.</w:t>
      </w:r>
    </w:p>
    <w:p>
      <w:pPr>
        <w:pStyle w:val="ListParagraph"/>
        <w:numPr>
          <w:ilvl w:val="0"/>
          <w:numId w:val="2"/>
        </w:numPr>
        <w:spacing w:after="40"/>
      </w:pPr>
      <w:r>
        <w:rPr>
          <w:rFonts w:ascii="Calibri" w:cs="Leelawadee UI" w:eastAsia="Calibri" w:hAnsi="Calibri"/>
          <w:sz w:val="20"/>
          <w:szCs w:val="20"/>
        </w:rPr>
        <w:t xml:space="preserve">Next version (V2) can turn each predicted question into a full Q&amp;A bank, image set and practice station.</w:t>
      </w:r>
    </w:p>
    <w:p>
      <w:pPr>
        <w:pStyle w:val="Heading1"/>
      </w:pPr>
      <w:r>
        <w:rPr>
          <w:rFonts w:ascii="Calibri" w:cs="Leelawadee UI" w:eastAsia="Calibri" w:hAnsi="Calibri"/>
          <w:b/>
          <w:bCs/>
          <w:color w:val="1F3864"/>
          <w:sz w:val="28"/>
          <w:szCs w:val="28"/>
        </w:rPr>
        <w:t xml:space="preserve">Predicted round types (based on the 2025 format)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7238"/>
      </w:tblGrid>
      <w:tr>
        <w:trPr>
          <w:tblHeader/>
        </w:trPr>
        <w:tc>
          <w:tcPr>
            <w:tcW w:type="dxa" w:w="32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Round type</w:t>
            </w:r>
          </w:p>
        </w:tc>
        <w:tc>
          <w:tcPr>
            <w:tcW w:type="dxa" w:w="44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What happens</w:t>
            </w:r>
          </w:p>
        </w:tc>
        <w:tc>
          <w:tcPr>
            <w:tcW w:type="dxa" w:w="72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Prepare these</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Rapid-fire / buzzer quiz</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val="false"/>
                <w:bCs w:val="false"/>
                <w:sz w:val="18"/>
                <w:szCs w:val="18"/>
              </w:rPr>
              <w:t xml:space="preserve">Eponyms, signs, classifications, normal values, "most common" facts.</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val="false"/>
                <w:bCs w:val="false"/>
                <w:sz w:val="18"/>
                <w:szCs w:val="18"/>
              </w:rPr>
              <w:t xml:space="preserve">Drill flash cards: Kanavel, Kocher, NEXUS, Ottawa, Garden, Gartland, Salter-Harris, Weber, Gustilo, Mirels, Wagner, Böhler angle, normal distal-radius parameters.</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Image spot diagnosis</w:t>
            </w:r>
          </w:p>
        </w:tc>
        <w:tc>
          <w:tcPr>
            <w:tcW w:type="dxa" w:w="4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val="false"/>
                <w:bCs w:val="false"/>
                <w:sz w:val="18"/>
                <w:szCs w:val="18"/>
              </w:rPr>
              <w:t xml:space="preserve">Plain X-rays, clinical photos, MRI, histology/crystal photos.</w:t>
            </w:r>
          </w:p>
        </w:tc>
        <w:tc>
          <w:tcPr>
            <w:tcW w:type="dxa" w:w="72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val="false"/>
                <w:bCs w:val="false"/>
                <w:sz w:val="18"/>
                <w:szCs w:val="18"/>
              </w:rPr>
              <w:t xml:space="preserve">Sunburst/onion-skin, crescent sign, winking owl, spilled teacup, Segond, fleck sign, light-bulb, Scottie dog collar, rugger-jersey spine, fallen fragment, gibbus, cubitus varus, claw/ape hand.</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Bone palpation / anatomy challenge (seen in 2025)</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val="false"/>
                <w:bCs w:val="false"/>
                <w:sz w:val="18"/>
                <w:szCs w:val="18"/>
              </w:rPr>
              <w:t xml:space="preserve">Identify bones or landmarks by touch, possibly blindfolded.</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val="false"/>
                <w:bCs w:val="false"/>
                <w:sz w:val="18"/>
                <w:szCs w:val="18"/>
              </w:rPr>
              <w:t xml:space="preserve">Carpal bones (incl. hamate hook, pisiform, scaphoid), tarsal bones, femur vs humerus landmarks, vertebra level by features (C1, C2, C7, thoracic vs lumbar), side determination (left vs right).</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Physical examination demonstration</w:t>
            </w:r>
          </w:p>
        </w:tc>
        <w:tc>
          <w:tcPr>
            <w:tcW w:type="dxa" w:w="4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val="false"/>
                <w:bCs w:val="false"/>
                <w:sz w:val="18"/>
                <w:szCs w:val="18"/>
              </w:rPr>
              <w:t xml:space="preserve">Perform and interpret a special test on a model/partner.</w:t>
            </w:r>
          </w:p>
        </w:tc>
        <w:tc>
          <w:tcPr>
            <w:tcW w:type="dxa" w:w="72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val="false"/>
                <w:bCs w:val="false"/>
                <w:sz w:val="18"/>
                <w:szCs w:val="18"/>
              </w:rPr>
              <w:t xml:space="preserve">Lachman, McMurray, Thompson, Barlow/Ortolani, Phalen/Tinel/Durkan, Froment, Finkelstein, Hoffmann, SLR, rotator cuff tests, Adams forward bend.</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Case management scenario (seen in 2025)</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val="false"/>
                <w:bCs w:val="false"/>
                <w:sz w:val="18"/>
                <w:szCs w:val="18"/>
              </w:rPr>
              <w:t xml:space="preserve">Step-by-step case with decisions under time pressure.</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val="false"/>
                <w:bCs w:val="false"/>
                <w:sz w:val="18"/>
                <w:szCs w:val="18"/>
              </w:rPr>
              <w:t xml:space="preserve">Pink pulseless hand, open tibia fracture, cauda equina, septic hip in a child, compartment syndrome, elderly hip fracture, diabetic foot with sepsis, metastatic cord compression.</w:t>
            </w:r>
          </w:p>
        </w:tc>
      </w:tr>
      <w:tr>
        <w:trPr>
          <w:cantSplit/>
        </w:trPr>
        <w:tc>
          <w:tcPr>
            <w:tcW w:type="dxa" w:w="32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Breaking bad news / communication (seen in 2025)</w:t>
            </w:r>
          </w:p>
        </w:tc>
        <w:tc>
          <w:tcPr>
            <w:tcW w:type="dxa" w:w="44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val="false"/>
                <w:bCs w:val="false"/>
                <w:sz w:val="18"/>
                <w:szCs w:val="18"/>
              </w:rPr>
              <w:t xml:space="preserve">Role-play with actor or host.</w:t>
            </w:r>
          </w:p>
        </w:tc>
        <w:tc>
          <w:tcPr>
            <w:tcW w:type="dxa" w:w="72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val="false"/>
                <w:bCs w:val="false"/>
                <w:sz w:val="18"/>
                <w:szCs w:val="18"/>
              </w:rPr>
              <w:t xml:space="preserve">Osteosarcoma diagnosis to teen and parents; need for amputation; suspected child abuse; complication after surgery (PJI); SPIKES protocol.</w:t>
            </w:r>
          </w:p>
        </w:tc>
      </w:tr>
      <w:tr>
        <w:trPr>
          <w:cantSplit/>
        </w:trPr>
        <w:tc>
          <w:tcPr>
            <w:tcW w:type="dxa" w:w="32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"Consult a senior" lifeline (seen in 2025)</w:t>
            </w:r>
          </w:p>
        </w:tc>
        <w:tc>
          <w:tcPr>
            <w:tcW w:type="dxa" w:w="4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val="false"/>
                <w:bCs w:val="false"/>
                <w:sz w:val="18"/>
                <w:szCs w:val="18"/>
              </w:rPr>
              <w:t xml:space="preserve">Lifeline earned by ethical behaviour points.</w:t>
            </w:r>
          </w:p>
        </w:tc>
        <w:tc>
          <w:tcPr>
            <w:tcW w:type="dxa" w:w="72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val="false"/>
                <w:bCs w:val="false"/>
                <w:sz w:val="18"/>
                <w:szCs w:val="18"/>
              </w:rPr>
              <w:t xml:space="preserve">Practise professional and ethical answers: consent, honesty about errors, patient safety first, appropriate referral.</w:t>
            </w:r>
          </w:p>
        </w:tc>
      </w:tr>
    </w:tbl>
    <w:p>
      <w:pPr>
        <w:pStyle w:val="Heading1"/>
        <w:pageBreakBefore/>
      </w:pPr>
      <w:r>
        <w:rPr>
          <w:rFonts w:ascii="Calibri" w:cs="Leelawadee UI" w:eastAsia="Calibri" w:hAnsi="Calibri"/>
          <w:b/>
          <w:bCs/>
          <w:color w:val="1F3864"/>
          <w:sz w:val="28"/>
          <w:szCs w:val="28"/>
        </w:rPr>
        <w:t xml:space="preserve">1. Arthroplasty &amp; Adult Reconstruction (Hip / Knee)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800"/>
        <w:gridCol w:w="5600"/>
        <w:gridCol w:w="5438"/>
      </w:tblGrid>
      <w:tr>
        <w:trPr>
          <w:tblHeader/>
        </w:trPr>
        <w:tc>
          <w:tcPr>
            <w:tcW w:type="dxa" w:w="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Topic</w:t>
            </w:r>
          </w:p>
        </w:tc>
        <w:tc>
          <w:tcPr>
            <w:tcW w:type="dxa" w:w="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Yield</w:t>
            </w:r>
          </w:p>
        </w:tc>
        <w:tc>
          <w:tcPr>
            <w:tcW w:type="dxa" w:w="5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Must-know points</w:t>
            </w:r>
          </w:p>
        </w:tc>
        <w:tc>
          <w:tcPr>
            <w:tcW w:type="dxa" w:w="54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Predicted question(s)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Primary osteoarthritis of knee and hip</w:t>
            </w:r>
          </w:p>
          <w:p>
            <w:pPr>
              <w:spacing w:after="60"/>
            </w:pPr>
            <w:r>
              <w:rPr>
                <w:rFonts w:ascii="Calibri" w:cs="Leelawadee UI" w:eastAsia="Calibri" w:hAnsi="Calibri"/>
                <w:i/>
                <w:iCs/>
                <w:color w:val="2F5597"/>
                <w:sz w:val="16"/>
                <w:szCs w:val="16"/>
              </w:rPr>
              <w:t xml:space="preserve">[Degenerative]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Four X-ray signs: joint space narrowing, osteophytes, subchondral sclerosis, subchondral cysts. Kellgren-Lawrence grade 0-4. Non-operative first: weight loss, quadriceps strengthening, NSAIDs (topical first in elderly), IA steroid. TKA/THA for end-stage pain failing conservative care.</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Show a standing knee AP: "Name 4 radiographic features of OA and give the K-L grade." / "First-line non-drug treatment with the strongest evidence?" (exercise + weight loss).</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2</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OA vs rheumatoid arthritis pattern</w:t>
            </w:r>
          </w:p>
          <w:p>
            <w:pPr>
              <w:spacing w:after="60"/>
            </w:pPr>
            <w:r>
              <w:rPr>
                <w:rFonts w:ascii="Calibri" w:cs="Leelawadee UI" w:eastAsia="Calibri" w:hAnsi="Calibri"/>
                <w:i/>
                <w:iCs/>
                <w:color w:val="BF8F00"/>
                <w:sz w:val="16"/>
                <w:szCs w:val="16"/>
              </w:rPr>
              <w:t xml:space="preserve">[Inflammatory]</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OA: asymmetric narrowing (medial knee, superolateral hip), osteophytes. RA: symmetric/concentric narrowing, periarticular osteopenia, erosions, no osteophytes. RA pre-op: cervical flexion-extension X-ray for atlanto-axial instability (ADI &gt; 3 mm adult).</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Two hip X-rays side by side: "Which is OA and which is RA? Give 2 differences." / "What extra X-ray must an RA patient have before general anaesthesia?"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3</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Avascular necrosis (osteonecrosis) of femoral head</w:t>
            </w:r>
          </w:p>
          <w:p>
            <w:pPr>
              <w:spacing w:after="60"/>
            </w:pPr>
            <w:r>
              <w:rPr>
                <w:rFonts w:ascii="Calibri" w:cs="Leelawadee UI" w:eastAsia="Calibri" w:hAnsi="Calibri"/>
                <w:i/>
                <w:iCs/>
                <w:color w:val="2F5597"/>
                <w:sz w:val="16"/>
                <w:szCs w:val="16"/>
              </w:rPr>
              <w:t xml:space="preserve">[Degenerative]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Risk: steroids, alcohol, SLE, sickle cell, Caisson, post femoral-neck fracture. MRI is most sensitive early (double-line sign). Crescent sign = subchondral collapse. Ficat / ARCO staging. Pre-collapse: core decompression; post-collapse: THA.</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"30-year-old heavy drinker with groin pain, normal X-ray. Next investigation?" (MRI). / "Name the X-ray sign of subchondral collapse." (crescent sign).</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4</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Femoral neck fracture in elderly</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Garden I-II undisplaced → internal fixation (screws); Garden III-IV displaced → arthroplasty (hemiarthroplasty for low-demand, THA for active independent). Surgery within 24-48 h lowers mortality. Blood supply: medial femoral circumflex artery. 1-year mortality ~20-30%.</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"80-year-old, displaced femoral neck fracture, community ambulator. Best treatment?" / "Main artery supplying the femoral head?" / "Name the classification." (Garden).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5</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Periprosthetic joint infection (PJI)</w:t>
            </w:r>
          </w:p>
          <w:p>
            <w:pPr>
              <w:spacing w:after="60"/>
            </w:pPr>
            <w:r>
              <w:rPr>
                <w:rFonts w:ascii="Calibri" w:cs="Leelawadee UI" w:eastAsia="Calibri" w:hAnsi="Calibri"/>
                <w:i/>
                <w:iCs/>
                <w:color w:val="7030A0"/>
                <w:sz w:val="16"/>
                <w:szCs w:val="16"/>
              </w:rPr>
              <w:t xml:space="preserve">[Infection]</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ICM/MSIS major criteria: sinus tract communicating with prosthesis, OR two positive cultures of the same organism. Minor: raised CRP/ESR/D-dimer, synovial WBC and PMN%, alpha-defensin, leukocyte esterase. Acute (&lt; 4 wk post-op or acute haematogenous) → DAIR; chronic → two-stage revision with spacer.</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"Give the 2 major criteria for PJI." / "Painful TKA 2 years post-op with sinus tract. Definitive management?" (two-stage revision).</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6</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Periprosthetic femoral fracture (Vancouver)</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A = trochanteric; B1 = around stem, stem stable; B2 = stem loose, good bone; B3 = stem loose, poor bone; C = well below stem. B1/C → ORIF; B2 → revision long stem; B3 → revision ± allograft/megaprosthesis.</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"Fracture around a loose stem with good bone stock: Vancouver type and treatment?" (B2 → revision).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7</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Dislocation after THA</w:t>
            </w:r>
          </w:p>
          <w:p>
            <w:pPr>
              <w:spacing w:after="60"/>
            </w:pPr>
            <w:r>
              <w:rPr>
                <w:rFonts w:ascii="Calibri" w:cs="Leelawadee UI" w:eastAsia="Calibri" w:hAnsi="Calibri"/>
                <w:i/>
                <w:iCs/>
                <w:color w:val="595959"/>
                <w:sz w:val="16"/>
                <w:szCs w:val="16"/>
              </w:rPr>
              <w:t xml:space="preserve">[Complication]</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Posterior approach → posterior dislocation (position of risk: flexion + adduction + internal rotation). Lewinnek safe zone: cup inclination 40° ± 10°, anteversion 15° ± 10°. Hip precautions after posterior approach.</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"Patient after posterior-approach THA: which movements to avoid?" / "State the Lewinnek safe zone."</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8</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VTE prophylaxis after arthroplasty</w:t>
            </w:r>
          </w:p>
          <w:p>
            <w:pPr>
              <w:spacing w:after="60"/>
            </w:pPr>
            <w:r>
              <w:rPr>
                <w:rFonts w:ascii="Calibri" w:cs="Leelawadee UI" w:eastAsia="Calibri" w:hAnsi="Calibri"/>
                <w:i/>
                <w:iCs/>
                <w:color w:val="595959"/>
                <w:sz w:val="16"/>
                <w:szCs w:val="16"/>
              </w:rPr>
              <w:t xml:space="preserve">[Complication]</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Options: aspirin, LMWH, DOAC (rivaroxaban/apixaban), plus mechanical (IPC) and early mobilisation. Wells score; DVT diagnosis by duplex ultrasound; PE by CTPA.</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"Name 3 pharmacological options for VTE prophylaxis after TKA." / "Calf swelling on day 5 after THA: investigation of choice?"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9</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Septic arthritis, adult native knee</w:t>
            </w:r>
          </w:p>
          <w:p>
            <w:pPr>
              <w:spacing w:after="60"/>
            </w:pPr>
            <w:r>
              <w:rPr>
                <w:rFonts w:ascii="Calibri" w:cs="Leelawadee UI" w:eastAsia="Calibri" w:hAnsi="Calibri"/>
                <w:i/>
                <w:iCs/>
                <w:color w:val="7030A0"/>
                <w:sz w:val="16"/>
                <w:szCs w:val="16"/>
              </w:rPr>
              <w:t xml:space="preserve">[Infection]</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Synovial WBC &gt; 50,000/mm³ with PMN &gt; 90% suggests septic. Most common organism: S. aureus; young sexually active adult: N. gonorrhoeae (migratory polyarthralgia, tenosynovitis, pustules). Urgent washout + IV antibiotics. Crystals do not exclude infection.</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Show an aspirate result table: "Septic, crystal, or inflammatory?" / "Young adult with tenosynovitis and pustular rash: organism?"</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10</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Crystal arthropathy of knee (CPPD / pseudogout)</w:t>
            </w:r>
          </w:p>
          <w:p>
            <w:pPr>
              <w:spacing w:after="60"/>
            </w:pPr>
            <w:r>
              <w:rPr>
                <w:rFonts w:ascii="Calibri" w:cs="Leelawadee UI" w:eastAsia="Calibri" w:hAnsi="Calibri"/>
                <w:i/>
                <w:iCs/>
                <w:color w:val="BF8F00"/>
                <w:sz w:val="16"/>
                <w:szCs w:val="16"/>
              </w:rPr>
              <w:t xml:space="preserve">[Inflammatory]</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CPPD: rhomboid crystals, weakly POSITIVE birefringent; chondrocalcinosis on X-ray (meniscus). Gout: needle-shaped, strongly NEGATIVE birefringent. Associations of CPPD: hyperparathyroidism, haemochromatosis, hypomagnesaemia.</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Polarised microscopy image: "Name the crystal and the disease." / "X-ray shows meniscal calcification: what is it called?"</w:t>
            </w:r>
          </w:p>
        </w:tc>
      </w:tr>
    </w:tbl>
    <w:p>
      <w:pPr>
        <w:pStyle w:val="Heading1"/>
        <w:pageBreakBefore/>
      </w:pPr>
      <w:r>
        <w:rPr>
          <w:rFonts w:ascii="Calibri" w:cs="Leelawadee UI" w:eastAsia="Calibri" w:hAnsi="Calibri"/>
          <w:b/>
          <w:bCs/>
          <w:color w:val="1F3864"/>
          <w:sz w:val="28"/>
          <w:szCs w:val="28"/>
        </w:rPr>
        <w:t xml:space="preserve">2. Spine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800"/>
        <w:gridCol w:w="5600"/>
        <w:gridCol w:w="5438"/>
      </w:tblGrid>
      <w:tr>
        <w:trPr>
          <w:tblHeader/>
        </w:trPr>
        <w:tc>
          <w:tcPr>
            <w:tcW w:type="dxa" w:w="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Topic</w:t>
            </w:r>
          </w:p>
        </w:tc>
        <w:tc>
          <w:tcPr>
            <w:tcW w:type="dxa" w:w="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Yield</w:t>
            </w:r>
          </w:p>
        </w:tc>
        <w:tc>
          <w:tcPr>
            <w:tcW w:type="dxa" w:w="5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Must-know points</w:t>
            </w:r>
          </w:p>
        </w:tc>
        <w:tc>
          <w:tcPr>
            <w:tcW w:type="dxa" w:w="54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Predicted question(s)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Cervical spine clearance (NEXUS / Canadian C-spine rule)</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NEXUS (all five must be absent to skip imaging): midline tenderness, focal neuro deficit, altered consciousness, intoxication, painful distracting injury. Canadian rule: high-risk factors (age ≥ 65, dangerous mechanism, paraesthesia). CT is the first-line imaging in adults.</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"List the 5 NEXUS criteria." / "Elderly patient after a fall with neck pain: imaging needed?"</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2</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Spinal cord injury syndromes and ASIA scale</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Central cord: elderly, hyperextension, upper limbs weaker than lower (most common incomplete). Brown-Séquard: ipsilateral motor/proprioception loss, contralateral pain/temperature loss, best prognosis. Anterior cord: worst prognosis. Spinal shock ends when the bulbocavernosus reflex returns. Neurogenic shock = hypotension + bradycardia.</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Short vignette → "Name the syndrome." / "Which incomplete cord syndrome has the best prognosis?" / "Hypotension with bradycardia after cervical injury: what type of shock?"</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3</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Thoracolumbar fractures (burst, Chance)</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Denis 3-column concept; TLICS scoring (morphology, PLC integrity, neuro status). Chance fracture = flexion-distraction (lap seatbelt) → check for hollow viscus injury. Burst fracture: look for retropulsed fragment, widened interpedicular distance.</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"Car passenger with lap belt, horizontal fracture through L1: what associated injury must you exclude?" (bowel/mesentery).</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4</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Upper cervical fractures</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Jefferson = C1 burst (axial load). Hangman = bilateral C2 pars (hyperextension). Odontoid: Anderson-D'Alonzo type II has highest nonunion risk (elderly). Open-mouth (odontoid) view.</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X-ray spot: "Name this fracture." / "Which odontoid fracture type has the highest nonunion rate?"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5</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Lumbar disc herniation and radiculopathy</w:t>
            </w:r>
          </w:p>
          <w:p>
            <w:pPr>
              <w:spacing w:after="60"/>
            </w:pPr>
            <w:r>
              <w:rPr>
                <w:rFonts w:ascii="Calibri" w:cs="Leelawadee UI" w:eastAsia="Calibri" w:hAnsi="Calibri"/>
                <w:i/>
                <w:iCs/>
                <w:color w:val="2F5597"/>
                <w:sz w:val="16"/>
                <w:szCs w:val="16"/>
              </w:rPr>
              <w:t xml:space="preserve">[Degenerative]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Posterolateral L4/5 disc → L5 root (EHL / great toe dorsiflexion weakness, dorsum of foot numbness, no reflex). L5/S1 → S1 (plantarflexion, lateral foot, ankle jerk). L3/4 → L4 (quadriceps, medial leg, knee jerk). Far-lateral disc hits the exiting (upper) root. SLR positive; crossed SLR most specific.</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Myotome/dermatome table quiz: "Weak great-toe extension and numb dorsum of foot: which root?" / "Which SLR variant is most specific for disc herniation?"</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6</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Cauda equina syndrome</w:t>
            </w:r>
          </w:p>
          <w:p>
            <w:pPr>
              <w:spacing w:after="60"/>
            </w:pPr>
            <w:r>
              <w:rPr>
                <w:rFonts w:ascii="Calibri" w:cs="Leelawadee UI" w:eastAsia="Calibri" w:hAnsi="Calibri"/>
                <w:i/>
                <w:iCs/>
                <w:color w:val="2F5597"/>
                <w:sz w:val="16"/>
                <w:szCs w:val="16"/>
              </w:rPr>
              <w:t xml:space="preserve">[Degenerative]</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Red flags: saddle anaesthesia, urinary retention/overflow incontinence, bilateral sciatica, faecal incontinence, sexual dysfunction. Emergency MRI and decompression (ideally &lt; 48 h, earlier is better).</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"List 4 red flags of cauda equina syndrome." / "Investigation and treatment timeline?"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7</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Lumbar spinal stenosis: neurogenic vs vascular claudication</w:t>
            </w:r>
          </w:p>
          <w:p>
            <w:pPr>
              <w:spacing w:after="60"/>
            </w:pPr>
            <w:r>
              <w:rPr>
                <w:rFonts w:ascii="Calibri" w:cs="Leelawadee UI" w:eastAsia="Calibri" w:hAnsi="Calibri"/>
                <w:i/>
                <w:iCs/>
                <w:color w:val="2F5597"/>
                <w:sz w:val="16"/>
                <w:szCs w:val="16"/>
              </w:rPr>
              <w:t xml:space="preserve">[Degenerative]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Neurogenic: relief with sitting/flexion ("shopping-cart sign"), uphill walking easier, pulses normal. Vascular: relief with standing still, absent pulses, ABI low, calf pain on cycling.</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"Give 3 features that separate neurogenic from vascular claudication."</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8</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Cervical spondylotic myelopathy</w:t>
            </w:r>
          </w:p>
          <w:p>
            <w:pPr>
              <w:spacing w:after="60"/>
            </w:pPr>
            <w:r>
              <w:rPr>
                <w:rFonts w:ascii="Calibri" w:cs="Leelawadee UI" w:eastAsia="Calibri" w:hAnsi="Calibri"/>
                <w:i/>
                <w:iCs/>
                <w:color w:val="2F5597"/>
                <w:sz w:val="16"/>
                <w:szCs w:val="16"/>
              </w:rPr>
              <w:t xml:space="preserve">[Degenerative]</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Clumsy hands, gait imbalance, Hoffmann sign, inverted radial reflex, hyperreflexia, Lhermitte sign, myelopathy hand (finger escape sign). Progressive → surgical decompression.</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Demonstration station: "Perform the Hoffmann test and state what a positive result means."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9</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Tuberculous spondylitis (Pott disease) vs pyogenic spondylodiscitis</w:t>
            </w:r>
          </w:p>
          <w:p>
            <w:pPr>
              <w:spacing w:after="60"/>
            </w:pPr>
            <w:r>
              <w:rPr>
                <w:rFonts w:ascii="Calibri" w:cs="Leelawadee UI" w:eastAsia="Calibri" w:hAnsi="Calibri"/>
                <w:i/>
                <w:iCs/>
                <w:color w:val="7030A0"/>
                <w:sz w:val="16"/>
                <w:szCs w:val="16"/>
              </w:rPr>
              <w:t xml:space="preserve">[Infection]</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TB (common in Thailand): thoracic, anterior vertebral body, disc relatively preserved early, multi-level/skip lesions, large paravertebral cold abscess with calcification, gibbus. Pyogenic: S. aureus, early disc destruction, acute fever. Biopsy for culture/PCR (GeneXpert). Consider melioidosis (Burkholderia pseudomallei) in diabetic farmers of the Northeast.</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MRI pair: "TB or pyogenic? Give 3 differences." / "Name the angular kyphosis deformity." (gibbus).</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10</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Spinal metastasis and metastatic spinal cord compression</w:t>
            </w:r>
          </w:p>
          <w:p>
            <w:pPr>
              <w:spacing w:after="60"/>
            </w:pPr>
            <w:r>
              <w:rPr>
                <w:rFonts w:ascii="Calibri" w:cs="Leelawadee UI" w:eastAsia="Calibri" w:hAnsi="Calibri"/>
                <w:i/>
                <w:iCs/>
                <w:color w:val="833C0B"/>
                <w:sz w:val="16"/>
                <w:szCs w:val="16"/>
              </w:rPr>
              <w:t xml:space="preserve">[Tumor]</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Most common spine tumour in adults. "Winking owl" sign (pedicle destruction on AP X-ray). Whole-spine MRI. Scores: SINS (instability), Bilsky (epidural compression), Tokuhashi (prognosis). MSCC: dexamethasone + surgery/radiotherapy (surgery + RT beats RT alone, Patchell 2005).</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"Breast cancer patient, new back pain and leg weakness. First drug and imaging?" / AP X-ray spot: "Name this sign."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11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Adolescent idiopathic scoliosis</w:t>
            </w:r>
          </w:p>
          <w:p>
            <w:pPr>
              <w:spacing w:after="60"/>
            </w:pPr>
            <w:r>
              <w:rPr>
                <w:rFonts w:ascii="Calibri" w:cs="Leelawadee UI" w:eastAsia="Calibri" w:hAnsi="Calibri"/>
                <w:i/>
                <w:iCs/>
                <w:color w:val="00788A"/>
                <w:sz w:val="16"/>
                <w:szCs w:val="16"/>
              </w:rPr>
              <w:t xml:space="preserve">[Developmental]</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Adams forward bend test (rib hump), scoliometer. Cobb angle; Risser sign for skeletal maturity. Observe &lt; 25°, brace 25-45° in growing child, surgery &gt; 45-50°. Red flags needing MRI: left thoracic curve, pain, neuro signs, rapid progression.</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"Name the angle used to measure scoliosis." / "Which curve direction needs MRI?" / "Cobb 30°, Risser 1: management?" (brace).</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12</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Spondylolysis and spondylolisthesis</w:t>
            </w:r>
          </w:p>
          <w:p>
            <w:pPr>
              <w:spacing w:after="60"/>
            </w:pPr>
            <w:r>
              <w:rPr>
                <w:rFonts w:ascii="Calibri" w:cs="Leelawadee UI" w:eastAsia="Calibri" w:hAnsi="Calibri"/>
                <w:i/>
                <w:iCs/>
                <w:color w:val="00788A"/>
                <w:sz w:val="16"/>
                <w:szCs w:val="16"/>
              </w:rPr>
              <w:t xml:space="preserve">[Developmental]</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Pars defect: "collar on the Scottie dog" on oblique view. Common at L5 in gymnasts/athletes with extension pain. Meyerding grading I-V by slip percentage.</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Oblique X-ray: "Name the sign." / "Grade this slip."</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13</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Ankylosing spondylitis and spine fracture</w:t>
            </w:r>
          </w:p>
          <w:p>
            <w:pPr>
              <w:spacing w:after="60"/>
            </w:pPr>
            <w:r>
              <w:rPr>
                <w:rFonts w:ascii="Calibri" w:cs="Leelawadee UI" w:eastAsia="Calibri" w:hAnsi="Calibri"/>
                <w:i/>
                <w:iCs/>
                <w:color w:val="BF8F00"/>
                <w:sz w:val="16"/>
                <w:szCs w:val="16"/>
              </w:rPr>
              <w:t xml:space="preserve">[Inflammatory]</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HLA-B27, sacroiliitis, bamboo spine, loss of lumbar lordosis. Even minor trauma can cause an unstable 3-column fracture; always do CT; risk of epidural haematoma.</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"AS patient fell from standing, neck pain, X-ray unclear. Next step?" (CT ± MRI).</w:t>
            </w:r>
          </w:p>
        </w:tc>
      </w:tr>
    </w:tbl>
    <w:p>
      <w:pPr>
        <w:pStyle w:val="Heading1"/>
        <w:pageBreakBefore/>
      </w:pPr>
      <w:r>
        <w:rPr>
          <w:rFonts w:ascii="Calibri" w:cs="Leelawadee UI" w:eastAsia="Calibri" w:hAnsi="Calibri"/>
          <w:b/>
          <w:bCs/>
          <w:color w:val="1F3864"/>
          <w:sz w:val="28"/>
          <w:szCs w:val="28"/>
        </w:rPr>
        <w:t xml:space="preserve">3. Pediatric Orthopaedics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800"/>
        <w:gridCol w:w="5600"/>
        <w:gridCol w:w="5438"/>
      </w:tblGrid>
      <w:tr>
        <w:trPr>
          <w:tblHeader/>
        </w:trPr>
        <w:tc>
          <w:tcPr>
            <w:tcW w:type="dxa" w:w="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Topic</w:t>
            </w:r>
          </w:p>
        </w:tc>
        <w:tc>
          <w:tcPr>
            <w:tcW w:type="dxa" w:w="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Yield</w:t>
            </w:r>
          </w:p>
        </w:tc>
        <w:tc>
          <w:tcPr>
            <w:tcW w:type="dxa" w:w="5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Must-know points</w:t>
            </w:r>
          </w:p>
        </w:tc>
        <w:tc>
          <w:tcPr>
            <w:tcW w:type="dxa" w:w="54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Predicted question(s)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Developmental dysplasia of the hip (DDH)</w:t>
            </w:r>
          </w:p>
          <w:p>
            <w:pPr>
              <w:spacing w:after="60"/>
            </w:pPr>
            <w:r>
              <w:rPr>
                <w:rFonts w:ascii="Calibri" w:cs="Leelawadee UI" w:eastAsia="Calibri" w:hAnsi="Calibri"/>
                <w:i/>
                <w:iCs/>
                <w:color w:val="00788A"/>
                <w:sz w:val="16"/>
                <w:szCs w:val="16"/>
              </w:rPr>
              <w:t xml:space="preserve">[Developmental]</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Risk factors: female, breech, first-born, family history, oligohydramnios, tight swaddling. Barlow = dislocates a reduced hip; Ortolani = reduces a dislocated hip. Ultrasound (Graf) &lt; 4-6 months; X-ray after (Hilgenreiner, Perkin lines, Shenton line, acetabular index). Pavlik harness &lt; 6 months; closed/open reduction after.</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Demonstration: "Perform Barlow and Ortolani on the model and say what each detects." / "Imaging of choice at 2 months?" / "Name 3 lines on this pelvic X-ray."</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2</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Septic arthritis vs transient synovitis of hip</w:t>
            </w:r>
          </w:p>
          <w:p>
            <w:pPr>
              <w:spacing w:after="60"/>
            </w:pPr>
            <w:r>
              <w:rPr>
                <w:rFonts w:ascii="Calibri" w:cs="Leelawadee UI" w:eastAsia="Calibri" w:hAnsi="Calibri"/>
                <w:i/>
                <w:iCs/>
                <w:color w:val="7030A0"/>
                <w:sz w:val="16"/>
                <w:szCs w:val="16"/>
              </w:rPr>
              <w:t xml:space="preserve">[Infection]</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Kocher criteria: fever &gt; 38.5 °C, non-weight-bearing, ESR &gt; 40 mm/h, WBC &gt; 12,000; CRP &gt; 2 mg/dL added (Caird). 4/4 ≈ 99% probability of septic arthritis. Ultrasound-guided aspiration, urgent washout. Kingella kingae common &lt; 4 years.</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"List the Kocher criteria." / "Child with 3/4 criteria: probability and next step?"</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3</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Legg-Calvé-Perthes disease</w:t>
            </w:r>
          </w:p>
          <w:p>
            <w:pPr>
              <w:spacing w:after="60"/>
            </w:pPr>
            <w:r>
              <w:rPr>
                <w:rFonts w:ascii="Calibri" w:cs="Leelawadee UI" w:eastAsia="Calibri" w:hAnsi="Calibri"/>
                <w:i/>
                <w:iCs/>
                <w:color w:val="00788A"/>
                <w:sz w:val="16"/>
                <w:szCs w:val="16"/>
              </w:rPr>
              <w:t xml:space="preserve">[Developmental]</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Boys 4-8 years, painless limp or knee pain, reduced abduction and IR. Lateral pillar (Herring) classification predicts outcome; age &lt; 6 at onset = better prognosis. Containment treatment.</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"Most important prognostic factor in Perthes?" (age at onset / lateral pillar).</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4</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Slipped capital femoral epiphysis (SCFE)</w:t>
            </w:r>
          </w:p>
          <w:p>
            <w:pPr>
              <w:spacing w:after="60"/>
            </w:pPr>
            <w:r>
              <w:rPr>
                <w:rFonts w:ascii="Calibri" w:cs="Leelawadee UI" w:eastAsia="Calibri" w:hAnsi="Calibri"/>
                <w:i/>
                <w:iCs/>
                <w:color w:val="00788A"/>
                <w:sz w:val="16"/>
                <w:szCs w:val="16"/>
              </w:rPr>
              <w:t xml:space="preserve">[Developmental]</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Obese adolescent boy, hip or KNEE pain, obligatory external rotation on hip flexion (Drehmann sign). Klein line fails to intersect the epiphysis (Trethowan sign); frog-leg lateral is more sensitive. Unstable slip → AVN risk. Treat with in-situ screw fixation; check endocrine causes if &lt; 10 or &gt; 16 years or atypical build.</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"13-year-old obese boy with knee pain: what must you examine?" (the hip). / X-ray: "Name the line and the sign."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5</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Supracondylar humerus fracture</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Most common elbow fracture in children; extension type &gt; 95%. Gartland I-III (IV multidirectional instability). Nerve: AIN most common in extension type (cannot make "OK" sign); ulnar nerve in flexion type / medial pin. Pink pulseless hand → closed reduction and pinning, then reassess. Malunion → cubitus varus (gunstock deformity). Watch for compartment syndrome (Volkmann).</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"Which nerve is most commonly injured?" / "Child cannot make the OK sign: which nerve?" / "Late deformity from malunion?"</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6</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Physeal fractures (Salter-Harris)</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SALTR mnemonic: I Straight across, II Above (most common), III Lower, IV Through, V Rammed (crush, worst prognosis, often missed). Types III-IV are intra-articular → anatomic reduction.</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X-ray spot of distal radius / distal tibia: "Classify this Salter-Harris type." / "Which type is most common?"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7</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Non-accidental injury (child abuse)</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Red flags: fracture in a non-ambulatory infant, metaphyseal corner (bucket-handle) fractures, posterior rib fractures, multiple fractures at different healing stages, inconsistent history, delayed presentation. Skeletal survey; mandatory report; admit for safety. Differentiate from osteogenesis imperfecta.</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"Name 3 fractures highly specific for abuse." / Communication station: "Talk to the parents and explain why the child must be admitted."</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8</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Lateral condyle fracture and Monteggia lesion</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Lateral condyle: intra-articular; displacement &gt; 2 mm → ORIF; risk of nonunion and cubitus valgus with tardy ulnar palsy. Monteggia: ulna fracture + radial head dislocation; the radiocapitellar line must pass through the capitellum on every view.</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X-ray: "Is the radial head located? Name the line you used."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9</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Congenital talipes equinovarus (clubfoot)</w:t>
            </w:r>
          </w:p>
          <w:p>
            <w:pPr>
              <w:spacing w:after="60"/>
            </w:pPr>
            <w:r>
              <w:rPr>
                <w:rFonts w:ascii="Calibri" w:cs="Leelawadee UI" w:eastAsia="Calibri" w:hAnsi="Calibri"/>
                <w:i/>
                <w:iCs/>
                <w:color w:val="00788A"/>
                <w:sz w:val="16"/>
                <w:szCs w:val="16"/>
              </w:rPr>
              <w:t xml:space="preserve">[Congenital]</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CAVE deformity: Cavus, Adductus, Varus, Equinus. Ponseti method: correct cavus first, equinus last; ~90% need percutaneous Achilles tenotomy; foot-abduction brace until about 4 years to prevent relapse.</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"Order of correction in Ponseti?" / "Most common reason for relapse?" (brace non-compliance).</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10</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Acute haematogenous osteomyelitis</w:t>
            </w:r>
          </w:p>
          <w:p>
            <w:pPr>
              <w:spacing w:after="60"/>
            </w:pPr>
            <w:r>
              <w:rPr>
                <w:rFonts w:ascii="Calibri" w:cs="Leelawadee UI" w:eastAsia="Calibri" w:hAnsi="Calibri"/>
                <w:i/>
                <w:iCs/>
                <w:color w:val="7030A0"/>
                <w:sz w:val="16"/>
                <w:szCs w:val="16"/>
              </w:rPr>
              <w:t xml:space="preserve">[Infection]</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Metaphysis of long bones (sluggish flow in looped vessels). S. aureus most common; Salmonella in sickle-cell/thalassaemia; Kingella in toddlers. MRI is best; X-ray changes take 10-14 days. Sequestrum (dead bone), involucrum (new periosteal bone).</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"Define sequestrum and involucrum." / "Child with thalassaemia and osteomyelitis: likely organism?"</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11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Normal limb alignment, Blount disease, apophysitis</w:t>
            </w:r>
          </w:p>
          <w:p>
            <w:pPr>
              <w:spacing w:after="60"/>
            </w:pPr>
            <w:r>
              <w:rPr>
                <w:rFonts w:ascii="Calibri" w:cs="Leelawadee UI" w:eastAsia="Calibri" w:hAnsi="Calibri"/>
                <w:i/>
                <w:iCs/>
                <w:color w:val="00788A"/>
                <w:sz w:val="16"/>
                <w:szCs w:val="16"/>
              </w:rPr>
              <w:t xml:space="preserve">[Developmental]</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Physiologic genu varum until ~2 years, maximal valgus at 3-4 years, adult alignment by 7. Blount: pathological tibia vara (metaphyseal-diaphyseal angle &gt; 11°). Osgood-Schlatter = tibial tubercle traction apophysitis; Sever = calcaneal apophysitis.</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"18-month-old with bow legs, symmetric, otherwise normal: management?" (reassure). / "Name the apophysitis at the tibial tubercle."</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12</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Osteogenesis imperfecta and achondroplasia</w:t>
            </w:r>
          </w:p>
          <w:p>
            <w:pPr>
              <w:spacing w:after="60"/>
            </w:pPr>
            <w:r>
              <w:rPr>
                <w:rFonts w:ascii="Calibri" w:cs="Leelawadee UI" w:eastAsia="Calibri" w:hAnsi="Calibri"/>
                <w:i/>
                <w:iCs/>
                <w:color w:val="00788A"/>
                <w:sz w:val="16"/>
                <w:szCs w:val="16"/>
              </w:rPr>
              <w:t xml:space="preserve">[Congenital / Genetic]</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OI: type I collagen (COL1A1/COL1A2), blue sclera, dentinogenesis imperfecta, hearing loss, multiple fractures; treat with bisphosphonates and rodding. Achondroplasia: FGFR3 gain-of-function, autosomal dominant, rhizomelic shortening, foramen magnum and spinal stenosis.</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"Which gene/protein is defective in OI?" / "Achondroplasia mutation and inheritance?"</w:t>
            </w:r>
          </w:p>
        </w:tc>
      </w:tr>
    </w:tbl>
    <w:p>
      <w:pPr>
        <w:pStyle w:val="Heading1"/>
        <w:pageBreakBefore/>
      </w:pPr>
      <w:r>
        <w:rPr>
          <w:rFonts w:ascii="Calibri" w:cs="Leelawadee UI" w:eastAsia="Calibri" w:hAnsi="Calibri"/>
          <w:b/>
          <w:bCs/>
          <w:color w:val="1F3864"/>
          <w:sz w:val="28"/>
          <w:szCs w:val="28"/>
        </w:rPr>
        <w:t xml:space="preserve">4. Foot &amp; Ankle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800"/>
        <w:gridCol w:w="5600"/>
        <w:gridCol w:w="5438"/>
      </w:tblGrid>
      <w:tr>
        <w:trPr>
          <w:tblHeader/>
        </w:trPr>
        <w:tc>
          <w:tcPr>
            <w:tcW w:type="dxa" w:w="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Topic</w:t>
            </w:r>
          </w:p>
        </w:tc>
        <w:tc>
          <w:tcPr>
            <w:tcW w:type="dxa" w:w="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Yield</w:t>
            </w:r>
          </w:p>
        </w:tc>
        <w:tc>
          <w:tcPr>
            <w:tcW w:type="dxa" w:w="5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Must-know points</w:t>
            </w:r>
          </w:p>
        </w:tc>
        <w:tc>
          <w:tcPr>
            <w:tcW w:type="dxa" w:w="54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Predicted question(s)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Ottawa ankle and foot rules</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X-ray if pain in malleolar zone AND bone tenderness at posterior edge/tip of either malleolus, OR inability to weight-bear 4 steps. Foot series if tenderness at navicular or base of 5th metatarsal.</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"State the Ottawa ankle rules." / Case: "Is an X-ray indicated?"</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2</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Ankle fractures (Weber / Lauge-Hansen) and Maisonneuve</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Weber A (below syndesmosis, stable), B (at level), C (above, syndesmosis injured). Medial clear space &gt; 4-5 mm = deltoid injury/instability. Maisonneuve: proximal fibula fracture + medial injury/syndesmosis tear → always examine the whole fibula.</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X-ray: "Weber type?" / "Isolated medial malleolar tenderness and widened mortise: what must you also examine?" (proximal fibula).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3</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Achilles tendon rupture</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Sudden "kick" sensation, palpable gap. Simmonds-Thompson test (no plantarflexion on calf squeeze). Risk: fluoroquinolones, steroids, middle-aged weekend athletes. Operative vs functional rehab have similar re-rupture rates with accelerated rehab.</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Demonstration: "Perform the Thompson test." / "Name a drug class that predisposes to rupture."</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4</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Calcaneus fracture</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Fall from height, axial load. Böhler angle decreased (normal 20-40°); Gissane angle increased. Associated injuries: lumbar spine fracture (~10%), bilateral calcaneus. CT for classification (Sanders). Watch for compartment syndrome and soft-tissue blistering.</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"Fell from a ladder onto heels: which other X-ray do you order?" (lumbar spine). / "Name and give normal value of this angle."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5</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Lisfranc (tarsometatarsal) injury</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Plantar ecchymosis, midfoot pain, often misdiagnosed as sprain. "Fleck sign" (avulsion between 1st and 2nd metatarsal bases). Weight-bearing X-rays/CT. Unstable → ORIF/fusion.</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X-ray spot: "Name this sign and the injury."</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6</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Fifth metatarsal base fractures</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Zone 1: tuberosity avulsion (peroneus brevis / lateral plantar fascia) → symptomatic shoe. Zone 2: Jones fracture (metaphyseal-diaphyseal junction, watershed) → high nonunion; athletes may need screw. Zone 3: stress fracture.</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"Which zone has the worst healing and why?"</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7</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Talus neck fracture</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Hawkins classification I-IV (increasing AVN risk). Hawkins sign = subchondral lucency of talar dome at 6-8 weeks = intact blood supply (good sign).</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"What does a positive Hawkins sign mean?"</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8</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Diabetic foot and Charcot neuroarthropathy</w:t>
            </w:r>
          </w:p>
          <w:p>
            <w:pPr>
              <w:spacing w:after="60"/>
            </w:pPr>
            <w:r>
              <w:rPr>
                <w:rFonts w:ascii="Calibri" w:cs="Leelawadee UI" w:eastAsia="Calibri" w:hAnsi="Calibri"/>
                <w:i/>
                <w:iCs/>
                <w:color w:val="7030A0"/>
                <w:sz w:val="16"/>
                <w:szCs w:val="16"/>
              </w:rPr>
              <w:t xml:space="preserve">[Infection / Metabolic]</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Very common in Thailand. Wagner grades 0-5. Probe-to-bone test suggests osteomyelitis. Assess vascular status (ABI; may be falsely high from calcification → toe pressure). Charcot: warm, red, swollen foot with intact skin in neuropathic patient; Eichenholtz stages; treat with total contact cast offloading. Rocker-bottom deformity.</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"Warm swollen foot in a diabetic, no wound, normal WBC: diagnosis and treatment?" / "Give the Wagner grade of this ulcer photo."</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9</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Gout (podagra)</w:t>
            </w:r>
          </w:p>
          <w:p>
            <w:pPr>
              <w:spacing w:after="60"/>
            </w:pPr>
            <w:r>
              <w:rPr>
                <w:rFonts w:ascii="Calibri" w:cs="Leelawadee UI" w:eastAsia="Calibri" w:hAnsi="Calibri"/>
                <w:i/>
                <w:iCs/>
                <w:color w:val="BF8F00"/>
                <w:sz w:val="16"/>
                <w:szCs w:val="16"/>
              </w:rPr>
              <w:t xml:space="preserve">[Inflammatory]</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First MTP joint. Needle-shaped negatively birefringent crystals. X-ray late: punched-out erosions with overhanging edges ("rat bite"). Acute: NSAIDs/colchicine/steroid. Urate-lowering (allopurinol; HLA-B*5801 screening in Thai patients before allopurinol) target serum urate &lt; 6 mg/dL.</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"Which HLA must be screened before allopurinol in Thai patients and why?" (HLA-B*5801, SJS/TEN). / "Target uric acid?"</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10</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Hallux valgus, adult flatfoot (PTTD), plantar fasciitis, Morton neuroma</w:t>
            </w:r>
          </w:p>
          <w:p>
            <w:pPr>
              <w:spacing w:after="60"/>
            </w:pPr>
            <w:r>
              <w:rPr>
                <w:rFonts w:ascii="Calibri" w:cs="Leelawadee UI" w:eastAsia="Calibri" w:hAnsi="Calibri"/>
                <w:i/>
                <w:iCs/>
                <w:color w:val="2F5597"/>
                <w:sz w:val="16"/>
                <w:szCs w:val="16"/>
              </w:rPr>
              <w:t xml:space="preserve">[Degenerative]</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Hallux valgus: HVA &gt; 15°, IMA &gt; 9°. PTTD: "too many toes" sign, cannot do single-limb heel rise. Plantar fasciitis: first-step morning heel pain, stretching first line. Morton neuroma: 3rd web space, Mulder click.</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Rapid fire: "First-step morning heel pain?" / "Too many toes sign means?" / "Normal intermetatarsal angle?"</w:t>
            </w:r>
          </w:p>
        </w:tc>
      </w:tr>
    </w:tbl>
    <w:p>
      <w:pPr>
        <w:pStyle w:val="Heading1"/>
        <w:pageBreakBefore/>
      </w:pPr>
      <w:r>
        <w:rPr>
          <w:rFonts w:ascii="Calibri" w:cs="Leelawadee UI" w:eastAsia="Calibri" w:hAnsi="Calibri"/>
          <w:b/>
          <w:bCs/>
          <w:color w:val="1F3864"/>
          <w:sz w:val="28"/>
          <w:szCs w:val="28"/>
        </w:rPr>
        <w:t xml:space="preserve">5. Hand &amp; Soft Tissue (incl. Peripheral Nerve)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800"/>
        <w:gridCol w:w="5600"/>
        <w:gridCol w:w="5438"/>
      </w:tblGrid>
      <w:tr>
        <w:trPr>
          <w:tblHeader/>
        </w:trPr>
        <w:tc>
          <w:tcPr>
            <w:tcW w:type="dxa" w:w="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Topic</w:t>
            </w:r>
          </w:p>
        </w:tc>
        <w:tc>
          <w:tcPr>
            <w:tcW w:type="dxa" w:w="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Yield</w:t>
            </w:r>
          </w:p>
        </w:tc>
        <w:tc>
          <w:tcPr>
            <w:tcW w:type="dxa" w:w="5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Must-know points</w:t>
            </w:r>
          </w:p>
        </w:tc>
        <w:tc>
          <w:tcPr>
            <w:tcW w:type="dxa" w:w="54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Predicted question(s)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Scaphoid fracture</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FOOSH, anatomical snuffbox tenderness, scaphoid tubercle tenderness. Retrograde blood supply (dorsal branch of radial artery) → proximal pole AVN/nonunion. Normal X-ray but clinical suspicion → immobilise and repeat X-ray in 10-14 days, or MRI.</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"Why does the proximal pole get AVN?" / "Snuffbox tenderness, normal X-ray: what next?"</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2</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Distal radius fractures</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Colles (dorsal angulation, "dinner fork"), Smith (volar), Barton (intra-articular rim with carpal subluxation). Normal: radial inclination ~22°, radial height ~11 mm, volar tilt ~11°. Complications: median nerve/acute carpal tunnel, EPL rupture (late), CRPS, malunion. Fragility fracture → osteoporosis work-up.</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X-ray spot: "Colles or Smith?" / "Late inability to extend the thumb IP joint after an undisplaced distal radius fracture: which tendon?" (EPL).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3</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Lunate / perilunate dislocation</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Lateral X-ray: "spilled teacup" sign (lunate tipped volarly). Median nerve symptoms. Emergency reduction. Scapholunate dissociation: "Terry Thomas" gap &gt; 3 mm.</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X-ray: "Name the sign and the injury."</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4</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Finger tendon and ligament injuries</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Mallet finger (terminal extensor, splint DIP in extension 6-8 wk). Jersey finger (FDP avulsion, usually ring finger, needs early repair). Boutonnière (central slip; PIP flexion, DIP hyperextension). Gamekeeper/skier thumb (UCL of MCPJ; Stener lesion = adductor aponeurosis interposed → surgery). Flexor tendon zone II = "no man's land".</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Photo spot: "Name the deformity and the injured structure." / "Which finger is most often affected in jersey finger?" / "What is a Stener lesion?"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5</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Boxer fracture and fight bite</w:t>
            </w:r>
          </w:p>
          <w:p>
            <w:pPr>
              <w:spacing w:after="60"/>
            </w:pPr>
            <w:r>
              <w:rPr>
                <w:rFonts w:ascii="Calibri" w:cs="Leelawadee UI" w:eastAsia="Calibri" w:hAnsi="Calibri"/>
                <w:i/>
                <w:iCs/>
                <w:color w:val="C00000"/>
                <w:sz w:val="16"/>
                <w:szCs w:val="16"/>
              </w:rPr>
              <w:t xml:space="preserve">[Trauma / Infection]</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5th metacarpal neck fracture; check rotation (scissoring). Laceration over MCP joint from punching = fight bite until proven otherwise: Eikenella corrodens; formal washout and amoxicillin-clavulanate.</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"Small wound over the knuckle after a fight: organism and management?"</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6</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Pyogenic flexor tenosynovitis (Kanavel signs)</w:t>
            </w:r>
          </w:p>
          <w:p>
            <w:pPr>
              <w:spacing w:after="60"/>
            </w:pPr>
            <w:r>
              <w:rPr>
                <w:rFonts w:ascii="Calibri" w:cs="Leelawadee UI" w:eastAsia="Calibri" w:hAnsi="Calibri"/>
                <w:i/>
                <w:iCs/>
                <w:color w:val="7030A0"/>
                <w:sz w:val="16"/>
                <w:szCs w:val="16"/>
              </w:rPr>
              <w:t xml:space="preserve">[Infection]</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Kanavel: (1) fusiform swelling, (2) finger held in slight flexion, (3) tenderness along the tendon sheath, (4) pain on passive extension (most sensitive / earliest). Emergency surgical drainage + IV antibiotics. Also paronychia, felon.</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"List the 4 Kanavel signs; which is most important?"</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7</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Necrotizing fasciitis (incl. Vibrio vulnificus)</w:t>
            </w:r>
          </w:p>
          <w:p>
            <w:pPr>
              <w:spacing w:after="60"/>
            </w:pPr>
            <w:r>
              <w:rPr>
                <w:rFonts w:ascii="Calibri" w:cs="Leelawadee UI" w:eastAsia="Calibri" w:hAnsi="Calibri"/>
                <w:i/>
                <w:iCs/>
                <w:color w:val="7030A0"/>
                <w:sz w:val="16"/>
                <w:szCs w:val="16"/>
              </w:rPr>
              <w:t xml:space="preserve">[Infection]</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Pain out of proportion, rapid spread, bullae, crepitus, systemic toxicity. LRINEC score (≥ 6 suspicious). Thai context: Vibrio vulnificus after seafood/seawater exposure in cirrhotic patients; Aeromonas in freshwater. Emergency radical debridement is the key treatment; antibiotics adjunct.</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"Cirrhotic patient after eating raw oysters with haemorrhagic bullae on leg: organism?" / "Most important treatment?" (surgical debridement).</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8</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Acute compartment syndrome</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Earliest and most reliable sign: pain out of proportion and pain on passive stretch. Pulselessness is a late sign. ΔP = diastolic BP - compartment pressure &lt; 30 mmHg → fasciotomy. Leg has 4 compartments (anterior most common). Thai context: snakebite swelling (Malayan pit viper) usually needs antivenom, not fasciotomy, unless measured pressures confirm.</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"Earliest sign of compartment syndrome?" / "Calculate ΔP: diastolic 70, compartment 45. Decision?" / "How many compartments in the leg?"</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9</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Carpal tunnel syndrome and nerve palsies</w:t>
            </w:r>
          </w:p>
          <w:p>
            <w:pPr>
              <w:spacing w:after="60"/>
            </w:pPr>
            <w:r>
              <w:rPr>
                <w:rFonts w:ascii="Calibri" w:cs="Leelawadee UI" w:eastAsia="Calibri" w:hAnsi="Calibri"/>
                <w:i/>
                <w:iCs/>
                <w:color w:val="595959"/>
                <w:sz w:val="16"/>
                <w:szCs w:val="16"/>
              </w:rPr>
              <w:t xml:space="preserve">[Nerve]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CTS: night paraesthesia radial 3½ digits, Phalen, Tinel, Durkan (most sensitive), thenar wasting; NCS confirms; associations: pregnancy, DM, hypothyroid, RA. Ulnar (cubital tunnel): Froment sign, Wartenberg sign, claw hand. Radial nerve: wrist drop, injured in humeral shaft fracture (Holstein-Lewis). Median high lesion: "benediction" posture / ape hand.</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Photo spot: "Claw hand, wrist drop, or ape hand: which nerve?" / Demonstration: "Perform Froment test."</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10</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Trigger finger, De Quervain, Dupuytren</w:t>
            </w:r>
          </w:p>
          <w:p>
            <w:pPr>
              <w:spacing w:after="60"/>
            </w:pPr>
            <w:r>
              <w:rPr>
                <w:rFonts w:ascii="Calibri" w:cs="Leelawadee UI" w:eastAsia="Calibri" w:hAnsi="Calibri"/>
                <w:i/>
                <w:iCs/>
                <w:color w:val="2F5597"/>
                <w:sz w:val="16"/>
                <w:szCs w:val="16"/>
              </w:rPr>
              <w:t xml:space="preserve">[Degenerative]</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Trigger finger: A1 pulley. De Quervain: 1st dorsal compartment (APL + EPB); Finkelstein/Eichhoff test; common in new mothers. Dupuytren: palmar fascia cords, ring finger, Northern European; Table-top test.</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"Which tendons are in the 1st dorsal compartment?" / "Which pulley is released for trigger finger?"</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11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Hand masses</w:t>
            </w:r>
          </w:p>
          <w:p>
            <w:pPr>
              <w:spacing w:after="60"/>
            </w:pPr>
            <w:r>
              <w:rPr>
                <w:rFonts w:ascii="Calibri" w:cs="Leelawadee UI" w:eastAsia="Calibri" w:hAnsi="Calibri"/>
                <w:i/>
                <w:iCs/>
                <w:color w:val="833C0B"/>
                <w:sz w:val="16"/>
                <w:szCs w:val="16"/>
              </w:rPr>
              <w:t xml:space="preserve">[Tumor]</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Ganglion = most common hand mass (dorsal wrist, scapholunate). Giant cell tumour of tendon sheath = 2nd most common. Glomus tumour: subungual, cold sensitivity, pinpoint pain (Love test). Enchondroma = most common primary bone tumour of the hand (pathological fracture of phalanx).</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"Most common soft tissue mass of the hand?" / "Painful blue spot under the nail, worse in cold?"</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12</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Amputation and replantation basics</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Amputated part: wrap in saline-moistened gauze, seal in plastic bag, place bag in ice-water (never direct ice). Thumb, multiple digits, and children are strong indications for replant.</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Station: "Tell the nurse how to transport this amputated finger."</w:t>
            </w:r>
          </w:p>
        </w:tc>
      </w:tr>
    </w:tbl>
    <w:p>
      <w:pPr>
        <w:pStyle w:val="Heading1"/>
        <w:pageBreakBefore/>
      </w:pPr>
      <w:r>
        <w:rPr>
          <w:rFonts w:ascii="Calibri" w:cs="Leelawadee UI" w:eastAsia="Calibri" w:hAnsi="Calibri"/>
          <w:b/>
          <w:bCs/>
          <w:color w:val="1F3864"/>
          <w:sz w:val="28"/>
          <w:szCs w:val="28"/>
        </w:rPr>
        <w:t xml:space="preserve">6. Musculoskeletal Tumour</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800"/>
        <w:gridCol w:w="5600"/>
        <w:gridCol w:w="5438"/>
      </w:tblGrid>
      <w:tr>
        <w:trPr>
          <w:tblHeader/>
        </w:trPr>
        <w:tc>
          <w:tcPr>
            <w:tcW w:type="dxa" w:w="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Topic</w:t>
            </w:r>
          </w:p>
        </w:tc>
        <w:tc>
          <w:tcPr>
            <w:tcW w:type="dxa" w:w="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Yield</w:t>
            </w:r>
          </w:p>
        </w:tc>
        <w:tc>
          <w:tcPr>
            <w:tcW w:type="dxa" w:w="5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Must-know points</w:t>
            </w:r>
          </w:p>
        </w:tc>
        <w:tc>
          <w:tcPr>
            <w:tcW w:type="dxa" w:w="54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Predicted question(s)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Approach to a bone lesion: age, location, margins</w:t>
            </w:r>
          </w:p>
          <w:p>
            <w:pPr>
              <w:spacing w:after="60"/>
            </w:pPr>
            <w:r>
              <w:rPr>
                <w:rFonts w:ascii="Calibri" w:cs="Leelawadee UI" w:eastAsia="Calibri" w:hAnsi="Calibri"/>
                <w:i/>
                <w:iCs/>
                <w:color w:val="833C0B"/>
                <w:sz w:val="16"/>
                <w:szCs w:val="16"/>
              </w:rPr>
              <w:t xml:space="preserve">[Tumor]</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Age &lt; 5: metastatic neuroblastoma, LCH; 10-25: osteosarcoma, Ewing; &gt; 40: metastasis, myeloma, chondrosarcoma. Location: epiphysis (chondroblastoma, GCT), metaphysis (osteosarcoma, osteochondroma, UBC), diaphysis (Ewing, LCH, fibrous dysplasia). Aggressive features: wide zone of transition, permeative/moth-eaten, periosteal reaction, soft-tissue mass. Enneking staging.</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X-ray rapid fire: "Give the differential by age and location." / "List 3 aggressive radiographic features."</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2</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Biopsy principles</w:t>
            </w:r>
          </w:p>
          <w:p>
            <w:pPr>
              <w:spacing w:after="60"/>
            </w:pPr>
            <w:r>
              <w:rPr>
                <w:rFonts w:ascii="Calibri" w:cs="Leelawadee UI" w:eastAsia="Calibri" w:hAnsi="Calibri"/>
                <w:i/>
                <w:iCs/>
                <w:color w:val="833C0B"/>
                <w:sz w:val="16"/>
                <w:szCs w:val="16"/>
              </w:rPr>
              <w:t xml:space="preserve">[Tumor]</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Should be done by (or after discussion with) the treating sarcoma surgeon, after full staging imaging (MRI of whole bone, CT chest). Longitudinal incision in line with the future resection; avoid neurovascular bundles and contaminating extra compartments; meticulous haemostasis.</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"Give 3 principles of musculoskeletal tumour biopsy." / "Why must biopsy come after MRI?"</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3</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Osteosarcoma</w:t>
            </w:r>
          </w:p>
          <w:p>
            <w:pPr>
              <w:spacing w:after="60"/>
            </w:pPr>
            <w:r>
              <w:rPr>
                <w:rFonts w:ascii="Calibri" w:cs="Leelawadee UI" w:eastAsia="Calibri" w:hAnsi="Calibri"/>
                <w:i/>
                <w:iCs/>
                <w:color w:val="833C0B"/>
                <w:sz w:val="16"/>
                <w:szCs w:val="16"/>
              </w:rPr>
              <w:t xml:space="preserve">[Tumor]</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Most common primary malignant bone tumour in adolescents; distal femur &gt; proximal tibia &gt; proximal humerus metaphysis. Sunburst periosteal reaction, Codman triangle, raised ALP. Lungs = most common metastatic site. Neoadjuvant chemotherapy → wide resection/limb salvage → adjuvant chemo; necrosis &gt; 90% = good prognosis.</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X-ray spot: "Name the periosteal reaction." / "Most common site of metastasis?" / Breaking bad news station: tell a 15-year-old and parents the diagnosis.</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4</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Ewing sarcoma</w:t>
            </w:r>
          </w:p>
          <w:p>
            <w:pPr>
              <w:spacing w:after="60"/>
            </w:pPr>
            <w:r>
              <w:rPr>
                <w:rFonts w:ascii="Calibri" w:cs="Leelawadee UI" w:eastAsia="Calibri" w:hAnsi="Calibri"/>
                <w:i/>
                <w:iCs/>
                <w:color w:val="833C0B"/>
                <w:sz w:val="16"/>
                <w:szCs w:val="16"/>
              </w:rPr>
              <w:t xml:space="preserve">[Tumor]</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Children/adolescents, diaphysis of long bones and pelvis; fever, raised ESR (mimics osteomyelitis). "Onion-skin" periosteal reaction. Small round blue cells, CD99, t(11;22) EWSR1-FLI1. Radiosensitive.</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"Which translocation?" / "Name the periosteal reaction." / "Which tumour mimics osteomyelitis?"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5</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Chondrosarcoma and enchondroma</w:t>
            </w:r>
          </w:p>
          <w:p>
            <w:pPr>
              <w:spacing w:after="60"/>
            </w:pPr>
            <w:r>
              <w:rPr>
                <w:rFonts w:ascii="Calibri" w:cs="Leelawadee UI" w:eastAsia="Calibri" w:hAnsi="Calibri"/>
                <w:i/>
                <w:iCs/>
                <w:color w:val="833C0B"/>
                <w:sz w:val="16"/>
                <w:szCs w:val="16"/>
              </w:rPr>
              <w:t xml:space="preserve">[Tumor]</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Chondrosarcoma: adults &gt; 40, pelvis/proximal femur, rings-and-arcs calcification, endosteal scalloping &gt; 2/3 cortex, pain → suspicion. Resistant to chemo and RT → surgery. Ollier (multiple enchondromas), Maffucci (+ haemangiomas) → higher malignant risk.</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"Which primary bone sarcoma is resistant to chemo and radiotherapy?" / "Features that suggest enchondroma has turned malignant?"</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6</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Giant cell tumour of bone</w:t>
            </w:r>
          </w:p>
          <w:p>
            <w:pPr>
              <w:spacing w:after="60"/>
            </w:pPr>
            <w:r>
              <w:rPr>
                <w:rFonts w:ascii="Calibri" w:cs="Leelawadee UI" w:eastAsia="Calibri" w:hAnsi="Calibri"/>
                <w:i/>
                <w:iCs/>
                <w:color w:val="833C0B"/>
                <w:sz w:val="16"/>
                <w:szCs w:val="16"/>
              </w:rPr>
              <w:t xml:space="preserve">[Tumor]</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Skeletally mature adults 20-40, epiphysis extending to subchondral bone, eccentric lytic "soap bubble". Distal femur/proximal tibia/distal radius. Locally aggressive; rare benign lung metastasis. Treat with extended curettage + adjuvant + cement; denosumab (RANKL inhibitor) for unresectable.</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"Lytic eccentric epiphyseal lesion in a 30-year-old?" / "Target of denosumab?" (RANKL).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7</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Benign bone tumours: osteoid osteoma, osteochondroma, bone cysts</w:t>
            </w:r>
          </w:p>
          <w:p>
            <w:pPr>
              <w:spacing w:after="60"/>
            </w:pPr>
            <w:r>
              <w:rPr>
                <w:rFonts w:ascii="Calibri" w:cs="Leelawadee UI" w:eastAsia="Calibri" w:hAnsi="Calibri"/>
                <w:i/>
                <w:iCs/>
                <w:color w:val="833C0B"/>
                <w:sz w:val="16"/>
                <w:szCs w:val="16"/>
              </w:rPr>
              <w:t xml:space="preserve">[Tumor]</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Osteoid osteoma: night pain relieved by NSAIDs/aspirin (prostaglandin), nidus &lt; 1.5-2 cm, CT best; RF ablation. Osteochondroma: most common benign bone tumour, cortex and medulla continuous with host, grows away from joint; malignant change if cartilage cap &gt; 2 cm in adult or growth after maturity. UBC: "fallen fragment" sign. ABC: fluid-fluid levels on MRI.</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"Night pain relieved by aspirin?" / "Name the sign in a pathological fracture through a cyst." / "When should you worry about an osteochondroma?"</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8</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Metastatic bone disease and impending fracture</w:t>
            </w:r>
          </w:p>
          <w:p>
            <w:pPr>
              <w:spacing w:after="60"/>
            </w:pPr>
            <w:r>
              <w:rPr>
                <w:rFonts w:ascii="Calibri" w:cs="Leelawadee UI" w:eastAsia="Calibri" w:hAnsi="Calibri"/>
                <w:i/>
                <w:iCs/>
                <w:color w:val="833C0B"/>
                <w:sz w:val="16"/>
                <w:szCs w:val="16"/>
              </w:rPr>
              <w:t xml:space="preserve">[Tumor]</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Most common malignant bone lesion in adults &gt; 40. Primaries: breast, prostate, lung, kidney, thyroid ("BLT with a Kosher Pickle"). Prostate = blastic; kidney/thyroid = lytic, hypervascular → pre-op embolisation. Mirels score ≥ 9 → prophylactic fixation. Never fix a solitary lesion without biopsy/staging (could be primary sarcoma).</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"Calculate the Mirels score." / "Which primary tumours need pre-op embolisation?" / "Which primary produces blastic metastases?"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9</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Multiple myeloma</w:t>
            </w:r>
          </w:p>
          <w:p>
            <w:pPr>
              <w:spacing w:after="60"/>
            </w:pPr>
            <w:r>
              <w:rPr>
                <w:rFonts w:ascii="Calibri" w:cs="Leelawadee UI" w:eastAsia="Calibri" w:hAnsi="Calibri"/>
                <w:i/>
                <w:iCs/>
                <w:color w:val="833C0B"/>
                <w:sz w:val="16"/>
                <w:szCs w:val="16"/>
              </w:rPr>
              <w:t xml:space="preserve">[Tumor]</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CRAB: hyperCalcaemia, Renal failure, Anaemia, Bone lesions. Punched-out lytic lesions (skull "raindrop"). Bone scan often COLD → use skeletal survey / whole-body low-dose CT / MRI. Serum/urine protein electrophoresis, free light chains.</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"Why can a bone scan miss myeloma?" / "List the CRAB features."</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10</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Soft tissue sarcoma red flags</w:t>
            </w:r>
          </w:p>
          <w:p>
            <w:pPr>
              <w:spacing w:after="60"/>
            </w:pPr>
            <w:r>
              <w:rPr>
                <w:rFonts w:ascii="Calibri" w:cs="Leelawadee UI" w:eastAsia="Calibri" w:hAnsi="Calibri"/>
                <w:i/>
                <w:iCs/>
                <w:color w:val="833C0B"/>
                <w:sz w:val="16"/>
                <w:szCs w:val="16"/>
              </w:rPr>
              <w:t xml:space="preserve">[Tumor]</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Red flags: &gt; 5 cm, deep to fascia, enlarging, painful, recurrence after excision. MRI before any surgery; avoid "whoops" (unplanned) excision. Common types: undifferentiated pleomorphic sarcoma, liposarcoma, synovial sarcoma (young adults, near joints, t(X;18)).</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"List 4 red-flag features of a soft tissue mass." / "Lump excised as a lipoma turns out to be sarcoma: what is this called and why is it bad?"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11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Fibrous dysplasia</w:t>
            </w:r>
          </w:p>
          <w:p>
            <w:pPr>
              <w:spacing w:after="60"/>
            </w:pPr>
            <w:r>
              <w:rPr>
                <w:rFonts w:ascii="Calibri" w:cs="Leelawadee UI" w:eastAsia="Calibri" w:hAnsi="Calibri"/>
                <w:i/>
                <w:iCs/>
                <w:color w:val="833C0B"/>
                <w:sz w:val="16"/>
                <w:szCs w:val="16"/>
              </w:rPr>
              <w:t xml:space="preserve">[Tumor / Developmental]</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"Ground-glass" matrix, shepherd's crook deformity of proximal femur. McCune-Albright: polyostotic FD + café-au-lait spots ("coast of Maine") + precocious puberty; GNAS mutation.</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"Name the deformity of the proximal femur." / "Triad of McCune-Albright?"</w:t>
            </w:r>
          </w:p>
        </w:tc>
      </w:tr>
    </w:tbl>
    <w:p>
      <w:pPr>
        <w:pStyle w:val="Heading1"/>
        <w:pageBreakBefore/>
      </w:pPr>
      <w:r>
        <w:rPr>
          <w:rFonts w:ascii="Calibri" w:cs="Leelawadee UI" w:eastAsia="Calibri" w:hAnsi="Calibri"/>
          <w:b/>
          <w:bCs/>
          <w:color w:val="1F3864"/>
          <w:sz w:val="28"/>
          <w:szCs w:val="28"/>
        </w:rPr>
        <w:t xml:space="preserve">7. Metabolic Bone Disease</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800"/>
        <w:gridCol w:w="5600"/>
        <w:gridCol w:w="5438"/>
      </w:tblGrid>
      <w:tr>
        <w:trPr>
          <w:tblHeader/>
        </w:trPr>
        <w:tc>
          <w:tcPr>
            <w:tcW w:type="dxa" w:w="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Topic</w:t>
            </w:r>
          </w:p>
        </w:tc>
        <w:tc>
          <w:tcPr>
            <w:tcW w:type="dxa" w:w="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Yield</w:t>
            </w:r>
          </w:p>
        </w:tc>
        <w:tc>
          <w:tcPr>
            <w:tcW w:type="dxa" w:w="5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Must-know points</w:t>
            </w:r>
          </w:p>
        </w:tc>
        <w:tc>
          <w:tcPr>
            <w:tcW w:type="dxa" w:w="54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Predicted question(s)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Osteoporosis diagnosis and fracture risk</w:t>
            </w:r>
          </w:p>
          <w:p>
            <w:pPr>
              <w:spacing w:after="60"/>
            </w:pPr>
            <w:r>
              <w:rPr>
                <w:rFonts w:ascii="Calibri" w:cs="Leelawadee UI" w:eastAsia="Calibri" w:hAnsi="Calibri"/>
                <w:i/>
                <w:iCs/>
                <w:color w:val="548235"/>
                <w:sz w:val="16"/>
                <w:szCs w:val="16"/>
              </w:rPr>
              <w:t xml:space="preserve">[Metabolic]</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WHO: T-score ≤ -2.5 at hip/spine (DXA); osteopenia -1 to -2.5; fragility fracture of hip/spine = clinical osteoporosis regardless of T-score. Z-score for premenopausal / young. FRAX (Thai model) and OSTA index ((weight − age) × 0.2) used in Thailand.</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"Define osteoporosis by WHO." / "Calculate OSTA for a 70-year-old weighing 45 kg." ((45−70)×0.2 = −5 → high risk).</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2</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Osteoporosis drug treatment</w:t>
            </w:r>
          </w:p>
          <w:p>
            <w:pPr>
              <w:spacing w:after="60"/>
            </w:pPr>
            <w:r>
              <w:rPr>
                <w:rFonts w:ascii="Calibri" w:cs="Leelawadee UI" w:eastAsia="Calibri" w:hAnsi="Calibri"/>
                <w:i/>
                <w:iCs/>
                <w:color w:val="548235"/>
                <w:sz w:val="16"/>
                <w:szCs w:val="16"/>
              </w:rPr>
              <w:t xml:space="preserve">[Metabolic]</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Bisphosphonates: take fasting with full glass of water, stay upright 30 min; drug holiday after 3-5 yr; risks AFF and ONJ. Denosumab: q6 months; stopping causes rebound vertebral fractures → transition to bisphosphonate. Teriparatide: anabolic PTH analogue, ≤ 2 years, avoid in Paget, open physes, prior radiation (osteosarcoma risk). Romosozumab: sclerostin antibody, avoid with recent MI/stroke. Calcium 1,000-1,200 mg + vitamin D 800-1,000 IU.</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"How should a patient take alendronate?" / "Danger of stopping denosumab?" / "Name an anabolic agent and one contraindication."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3</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Atypical femoral fracture (AFF)</w:t>
            </w:r>
          </w:p>
          <w:p>
            <w:pPr>
              <w:spacing w:after="60"/>
            </w:pPr>
            <w:r>
              <w:rPr>
                <w:rFonts w:ascii="Calibri" w:cs="Leelawadee UI" w:eastAsia="Calibri" w:hAnsi="Calibri"/>
                <w:i/>
                <w:iCs/>
                <w:color w:val="C00000"/>
                <w:sz w:val="16"/>
                <w:szCs w:val="16"/>
              </w:rPr>
              <w:t xml:space="preserve">[Trauma / Metabolic]</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Long-term bisphosphonate use. ASBMR features: subtrochanteric/diaphyseal, transverse or short oblique from lateral cortex, minimal comminution, lateral cortical beaking/thickening, prodromal thigh pain. Image the contralateral femur; stop bisphosphonate; intramedullary nail.</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X-ray spot: "Patient on alendronate 8 years with thigh pain: name the finding and next steps."</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4</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Fracture liaison service / secondary prevention</w:t>
            </w:r>
          </w:p>
          <w:p>
            <w:pPr>
              <w:spacing w:after="60"/>
            </w:pPr>
            <w:r>
              <w:rPr>
                <w:rFonts w:ascii="Calibri" w:cs="Leelawadee UI" w:eastAsia="Calibri" w:hAnsi="Calibri"/>
                <w:i/>
                <w:iCs/>
                <w:color w:val="548235"/>
                <w:sz w:val="16"/>
                <w:szCs w:val="16"/>
              </w:rPr>
              <w:t xml:space="preserve">[Metabolic]</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A fragility fracture doubles the risk of a further fracture; highest in the first 1-2 years ("imminent risk"). Every hip/vertebral/distal radius fragility fracture should get bone assessment and treatment ("Capture the Fracture"). Fall prevention.</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"75-year-old after hip fracture surgery: what must be done before discharge to prevent the next fracture?"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5</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Rickets and osteomalacia</w:t>
            </w:r>
          </w:p>
          <w:p>
            <w:pPr>
              <w:spacing w:after="60"/>
            </w:pPr>
            <w:r>
              <w:rPr>
                <w:rFonts w:ascii="Calibri" w:cs="Leelawadee UI" w:eastAsia="Calibri" w:hAnsi="Calibri"/>
                <w:i/>
                <w:iCs/>
                <w:color w:val="548235"/>
                <w:sz w:val="16"/>
                <w:szCs w:val="16"/>
              </w:rPr>
              <w:t xml:space="preserve">[Metabolic]</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Rickets (open physes): widened, cupped, frayed metaphyses, rachitic rosary, bowing, Harrison groove. Osteomalacia (adults): Looser zones (pseudofractures). Nutritional: low/normal Ca, low P, high ALP, high PTH, low 25(OH)D. X-linked hypophosphataemic (PHEX): normal Ca, low P, high urine P, normal PTH, not responsive to vitamin D alone.</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Lab table quiz: "Match the lab pattern to nutritional rickets, XLH, or renal rickets." / Wrist X-ray: "Name 3 signs of rickets."</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6</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Hyperparathyroidism and renal osteodystrophy</w:t>
            </w:r>
          </w:p>
          <w:p>
            <w:pPr>
              <w:spacing w:after="60"/>
            </w:pPr>
            <w:r>
              <w:rPr>
                <w:rFonts w:ascii="Calibri" w:cs="Leelawadee UI" w:eastAsia="Calibri" w:hAnsi="Calibri"/>
                <w:i/>
                <w:iCs/>
                <w:color w:val="548235"/>
                <w:sz w:val="16"/>
                <w:szCs w:val="16"/>
              </w:rPr>
              <w:t xml:space="preserve">[Metabolic]</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Primary HPT: high Ca, high PTH, low P; "bones, stones, abdominal groans, psychic moans"; subperiosteal resorption (radial side of middle phalanges), brown tumours, salt-and-pepper skull. Renal osteodystrophy: secondary HPT (low/normal Ca, high P, high PTH), "rugger-jersey" spine.</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Spine X-ray: "Name the sign and the disease." / "Lab pattern of primary vs secondary hyperparathyroidism?"</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7</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Paget disease of bone</w:t>
            </w:r>
          </w:p>
          <w:p>
            <w:pPr>
              <w:spacing w:after="60"/>
            </w:pPr>
            <w:r>
              <w:rPr>
                <w:rFonts w:ascii="Calibri" w:cs="Leelawadee UI" w:eastAsia="Calibri" w:hAnsi="Calibri"/>
                <w:i/>
                <w:iCs/>
                <w:color w:val="548235"/>
                <w:sz w:val="16"/>
                <w:szCs w:val="16"/>
              </w:rPr>
              <w:t xml:space="preserve">[Metabolic]</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Rare in Thai population but classic exam item. Very high ALP with normal Ca/P, enlarged sclerotic bones, "cotton-wool" skull, bowing, deafness, high-output heart failure; risk of secondary osteosarcoma. Treat with bisphosphonate (zoledronic acid).</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"Isolated very high ALP in an elderly man with bowed tibia?" / "Which malignancy can arise?"</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8</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Osteopetrosis and drug-induced bone loss</w:t>
            </w:r>
          </w:p>
          <w:p>
            <w:pPr>
              <w:spacing w:after="60"/>
            </w:pPr>
            <w:r>
              <w:rPr>
                <w:rFonts w:ascii="Calibri" w:cs="Leelawadee UI" w:eastAsia="Calibri" w:hAnsi="Calibri"/>
                <w:i/>
                <w:iCs/>
                <w:color w:val="548235"/>
                <w:sz w:val="16"/>
                <w:szCs w:val="16"/>
              </w:rPr>
              <w:t xml:space="preserve">[Metabolic]</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Osteopetrosis: osteoclast failure (e.g. carbonic anhydrase II), "bone-within-bone", "Erlenmeyer flask", brittle bones despite density. Glucocorticoid-induced osteoporosis: prednisolone ≥ 2.5 mg/day for ≥ 3 months → assess and treat.</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"Which cell is defective in osteopetrosis?" / "Steroid dose/duration that triggers osteoporosis assessment?"</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9</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Calcium-phosphate lab summary table</w:t>
            </w:r>
          </w:p>
          <w:p>
            <w:pPr>
              <w:spacing w:after="60"/>
            </w:pPr>
            <w:r>
              <w:rPr>
                <w:rFonts w:ascii="Calibri" w:cs="Leelawadee UI" w:eastAsia="Calibri" w:hAnsi="Calibri"/>
                <w:i/>
                <w:iCs/>
                <w:color w:val="595959"/>
                <w:sz w:val="16"/>
                <w:szCs w:val="16"/>
              </w:rPr>
              <w:t xml:space="preserve">[Basic science]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Tutor drill: Ca, P, ALP, PTH, 25(OH)D for osteoporosis (all normal), osteomalacia, primary HPT, renal osteodystrophy, XLH, hypoparathyroidism, Paget. Bone cells: osteoblast (RANKL producer), osteoclast (RANK, TRAP, carbonic anhydrase), osteocyte (sclerostin).</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Blank table to fill in under time pressure. / "Which cell secretes sclerostin?"</w:t>
            </w:r>
          </w:p>
        </w:tc>
      </w:tr>
    </w:tbl>
    <w:p>
      <w:pPr>
        <w:pStyle w:val="Heading1"/>
        <w:pageBreakBefore/>
      </w:pPr>
      <w:r>
        <w:rPr>
          <w:rFonts w:ascii="Calibri" w:cs="Leelawadee UI" w:eastAsia="Calibri" w:hAnsi="Calibri"/>
          <w:b/>
          <w:bCs/>
          <w:color w:val="1F3864"/>
          <w:sz w:val="28"/>
          <w:szCs w:val="28"/>
        </w:rPr>
        <w:t xml:space="preserve">8. Sports Medicine (Knee / Shoulder / Elbow)</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800"/>
        <w:gridCol w:w="5600"/>
        <w:gridCol w:w="5438"/>
      </w:tblGrid>
      <w:tr>
        <w:trPr>
          <w:tblHeader/>
        </w:trPr>
        <w:tc>
          <w:tcPr>
            <w:tcW w:type="dxa" w:w="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Topic</w:t>
            </w:r>
          </w:p>
        </w:tc>
        <w:tc>
          <w:tcPr>
            <w:tcW w:type="dxa" w:w="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Yield</w:t>
            </w:r>
          </w:p>
        </w:tc>
        <w:tc>
          <w:tcPr>
            <w:tcW w:type="dxa" w:w="5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Must-know points</w:t>
            </w:r>
          </w:p>
        </w:tc>
        <w:tc>
          <w:tcPr>
            <w:tcW w:type="dxa" w:w="54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Predicted question(s)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Anterior cruciate ligament (ACL) tear</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Non-contact pivoting, "pop", rapid haemarthrosis (&lt; 2 h). Lachman = most sensitive; pivot shift = most specific. Segond fracture (lateral tibial capsular avulsion) is pathognomonic. MRI confirms. Reconstruction for active/unstable patients.</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Demonstration: "Perform the Lachman test." / X-ray spot: "Name this avulsion and what it implies."</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2</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Posterior cruciate ligament (PCL) and knee dislocation</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PCL: dashboard injury, posterior sag sign, posterior drawer. Knee dislocation: popliteal artery injury risk; measure ABI — &lt; 0.9 → CT angiography; check common peroneal nerve.</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"Dashboard injury; what sign?" / "Knee dislocation reduced, pulses present: what must you still do?" (ABI).</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3</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Meniscal tear</w:t>
            </w:r>
          </w:p>
          <w:p>
            <w:pPr>
              <w:spacing w:after="60"/>
            </w:pPr>
            <w:r>
              <w:rPr>
                <w:rFonts w:ascii="Calibri" w:cs="Leelawadee UI" w:eastAsia="Calibri" w:hAnsi="Calibri"/>
                <w:i/>
                <w:iCs/>
                <w:color w:val="2F5597"/>
                <w:sz w:val="16"/>
                <w:szCs w:val="16"/>
              </w:rPr>
              <w:t xml:space="preserve">[Degenerative / Trauma]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Joint-line tenderness, McMurray, Apley, Thessaly. Bucket-handle tear → locked knee (cannot fully extend) → urgent arthroscopy. Peripheral red-red zone has best healing → repair; degenerative tears in older adults → physiotherapy first.</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"Locked knee after a twist in a 20-year-old: diagnosis and urgency?" / "Which meniscal zone heals best?"</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4</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MCL injury and "unhappy triad"</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Valgus stress at 30° flexion isolates MCL; at 0° laxity implies cruciate/capsule injury too. Isolated MCL heals non-operatively (hinged brace). O'Donoghue triad: ACL + MCL + meniscus.</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"Why test valgus stress at 30° and 0°?"</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5</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Patellar dislocation</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Lateral dislocation in young females, twisting; MPFL torn; reduce by extending knee. Risk factors: trochlear dysplasia, patella alta, increased TT-TG.</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"Which ligament is the main restraint to lateral patellar translation?" (MPFL).</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6</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Shoulder dislocation</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Anterior &gt; 95%. Axillary nerve (regimental badge area sensation). Bankart lesion (anteroinferior labrum), Hill-Sachs (posterolateral humeral head impaction). Recurrence highest in young patients. Posterior dislocation after seizure/electric shock: "light-bulb" sign, cannot externally rotate.</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"Which nerve to check before and after reduction and how?" / "Epileptic patient with arm held internally rotated: diagnosis and X-ray sign?"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7</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Rotator cuff tear and impingement</w:t>
            </w:r>
          </w:p>
          <w:p>
            <w:pPr>
              <w:spacing w:after="60"/>
            </w:pPr>
            <w:r>
              <w:rPr>
                <w:rFonts w:ascii="Calibri" w:cs="Leelawadee UI" w:eastAsia="Calibri" w:hAnsi="Calibri"/>
                <w:i/>
                <w:iCs/>
                <w:color w:val="2F5597"/>
                <w:sz w:val="16"/>
                <w:szCs w:val="16"/>
              </w:rPr>
              <w:t xml:space="preserve">[Degenerative]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Supraspinatus: Jobe / empty can, drop arm. Infraspinatus/teres minor: resisted ER, ER lag sign, hornblower. Subscapularis: lift-off, belly press, bear hug. Impingement: Neer, Hawkins-Kennedy. Ultrasound/MRI.</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Demonstration station: "Test each rotator cuff muscle." / Rapid fire: "Lift-off test examines which muscle?"</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8</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Frozen shoulder (adhesive capsulitis)</w:t>
            </w:r>
          </w:p>
          <w:p>
            <w:pPr>
              <w:spacing w:after="60"/>
            </w:pPr>
            <w:r>
              <w:rPr>
                <w:rFonts w:ascii="Calibri" w:cs="Leelawadee UI" w:eastAsia="Calibri" w:hAnsi="Calibri"/>
                <w:i/>
                <w:iCs/>
                <w:color w:val="BF8F00"/>
                <w:sz w:val="16"/>
                <w:szCs w:val="16"/>
              </w:rPr>
              <w:t xml:space="preserve">[Inflammatory / Degenerative]</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Diabetes, thyroid disease; loss of active AND passive ROM, especially external rotation; normal X-ray. Phases: freezing, frozen, thawing. Physiotherapy, IA steroid, hydrodilatation.</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"How do you distinguish frozen shoulder from rotator cuff tear on examination?" (passive ROM lost in frozen shoulder).</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9</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Lateral and medial epicondylitis</w:t>
            </w:r>
          </w:p>
          <w:p>
            <w:pPr>
              <w:spacing w:after="60"/>
            </w:pPr>
            <w:r>
              <w:rPr>
                <w:rFonts w:ascii="Calibri" w:cs="Leelawadee UI" w:eastAsia="Calibri" w:hAnsi="Calibri"/>
                <w:i/>
                <w:iCs/>
                <w:color w:val="2F5597"/>
                <w:sz w:val="16"/>
                <w:szCs w:val="16"/>
              </w:rPr>
              <w:t xml:space="preserve">[Degenerative]</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Tennis elbow: ECRB origin, Cozen / Mill tests. Golfer's elbow: flexor-pronator origin. Mostly self-limiting; physiotherapy, eccentric exercise.</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"Which tendon origin is involved in tennis elbow?"</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10</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AC joint separation and clavicle fracture</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Rockwood types I-VI (I-II non-op, IV-VI surgery). Clavicle midshaft fracture: most treated in sling; surgery if open, skin tenting, neurovascular injury, marked shortening.</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"Give 2 indications for clavicle fracture fixation."</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11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Stress fractures and RED-S</w:t>
            </w:r>
          </w:p>
          <w:p>
            <w:pPr>
              <w:spacing w:after="60"/>
            </w:pPr>
            <w:r>
              <w:rPr>
                <w:rFonts w:ascii="Calibri" w:cs="Leelawadee UI" w:eastAsia="Calibri" w:hAnsi="Calibri"/>
                <w:i/>
                <w:iCs/>
                <w:color w:val="C00000"/>
                <w:sz w:val="16"/>
                <w:szCs w:val="16"/>
              </w:rPr>
              <w:t xml:space="preserve">[Trauma / Metabolic]</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Female athlete triad / relative energy deficiency in sport (low energy availability, menstrual dysfunction, low BMD). Femoral neck tension-side (superolateral) stress fracture → urgent fixation; compression side → protected weight-bearing. Anterior tibial "dreaded black line" = high-risk.</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"Components of the female athlete triad?" / "Which femoral neck stress fracture needs surgery?"</w:t>
            </w:r>
          </w:p>
        </w:tc>
      </w:tr>
    </w:tbl>
    <w:p>
      <w:pPr>
        <w:pStyle w:val="Heading1"/>
        <w:pageBreakBefore/>
      </w:pPr>
      <w:r>
        <w:rPr>
          <w:rFonts w:ascii="Calibri" w:cs="Leelawadee UI" w:eastAsia="Calibri" w:hAnsi="Calibri"/>
          <w:b/>
          <w:bCs/>
          <w:color w:val="1F3864"/>
          <w:sz w:val="28"/>
          <w:szCs w:val="28"/>
        </w:rPr>
        <w:t xml:space="preserve">9. Cross-cutting: Orthopaedic Trauma &amp; Emergencies (bonus — high yield in every subspecialty round)</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800"/>
        <w:gridCol w:w="5600"/>
        <w:gridCol w:w="5438"/>
      </w:tblGrid>
      <w:tr>
        <w:trPr>
          <w:tblHeader/>
        </w:trPr>
        <w:tc>
          <w:tcPr>
            <w:tcW w:type="dxa" w:w="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Topic</w:t>
            </w:r>
          </w:p>
        </w:tc>
        <w:tc>
          <w:tcPr>
            <w:tcW w:type="dxa" w:w="8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Yield</w:t>
            </w:r>
          </w:p>
        </w:tc>
        <w:tc>
          <w:tcPr>
            <w:tcW w:type="dxa" w:w="5600"/>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Must-know points</w:t>
            </w:r>
          </w:p>
        </w:tc>
        <w:tc>
          <w:tcPr>
            <w:tcW w:type="dxa" w:w="5438"/>
            <w:tcBorders>
              <w:top w:val="single" w:color="A6A6A6" w:sz="4"/>
              <w:left w:val="single" w:color="A6A6A6" w:sz="4"/>
              <w:bottom w:val="single" w:color="A6A6A6" w:sz="4"/>
              <w:right w:val="single" w:color="A6A6A6" w:sz="4"/>
            </w:tcBorders>
            <w:shd w:fill="1F3864" w:color="auto" w:val="clear"/>
            <w:tcMar>
              <w:top w:type="dxa" w:w="60"/>
              <w:left w:type="dxa" w:w="100"/>
              <w:bottom w:type="dxa" w:w="60"/>
              <w:right w:type="dxa" w:w="100"/>
            </w:tcMar>
          </w:tcPr>
          <w:p>
            <w:pPr>
              <w:spacing w:after="60"/>
            </w:pPr>
            <w:r>
              <w:rPr>
                <w:rFonts w:ascii="Calibri" w:cs="Leelawadee UI" w:eastAsia="Calibri" w:hAnsi="Calibri"/>
                <w:b/>
                <w:bCs/>
                <w:color w:val="FFFFFF"/>
                <w:sz w:val="18"/>
                <w:szCs w:val="18"/>
              </w:rPr>
              <w:t xml:space="preserve">Predicted question(s)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1</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Open fractures (Gustilo-Anderson)</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Type I &lt; 1 cm clean; II 1-10 cm; III &gt; 10 cm / high energy / contamination (IIIA adequate cover, IIIB needs flap, IIIC vascular injury needing repair). IV antibiotics within 1 h (cefazolin; add gram-negative cover for III), tetanus, debridement, stabilisation.</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"Classify this wound photo." / "Antibiotic of choice and timing?"</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2</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Pelvic fracture with haemorrhage</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ATLS: pelvic binder centred over greater trochanters. Young-Burgess (APC, LC, VS). Source: venous plexus mostly → binder, then angio-embolisation/pre-peritoneal packing.</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Demonstration: "Apply a pelvic binder — where do you place it?"</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3</w:t>
            </w:r>
          </w:p>
        </w:tc>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b/>
                <w:bCs/>
                <w:sz w:val="18"/>
                <w:szCs w:val="18"/>
              </w:rPr>
              <w:t xml:space="preserve">Fat embolism syndrome</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Long bone fractures, 24-72 h. Classic triad: respiratory distress, neurological change, petechial rash (axilla, conjunctiva). Gurd criteria. Prevention by early fracture fixation.</w:t>
            </w:r>
          </w:p>
        </w:tc>
        <w:tc>
          <w:tcPr>
            <w:tcW w:type="dxa" w:w="543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60"/>
            </w:pPr>
            <w:r>
              <w:rPr>
                <w:rFonts w:ascii="Calibri" w:cs="Leelawadee UI" w:eastAsia="Calibri" w:hAnsi="Calibri"/>
                <w:sz w:val="18"/>
                <w:szCs w:val="18"/>
              </w:rPr>
              <w:t xml:space="preserve">"Triad of fat embolism?" / "Where do you look for petechiae?"</w:t>
            </w:r>
          </w:p>
        </w:tc>
      </w:tr>
      <w:tr>
        <w:trPr>
          <w:cantSplit/>
        </w:trPr>
        <w:tc>
          <w:tcPr>
            <w:tcW w:type="dxa" w:w="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4</w:t>
            </w:r>
          </w:p>
        </w:tc>
        <w:tc>
          <w:tcPr>
            <w:tcW w:type="dxa" w:w="25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b/>
                <w:bCs/>
                <w:sz w:val="18"/>
                <w:szCs w:val="18"/>
              </w:rPr>
              <w:t xml:space="preserve">Hip dislocation and other orthopaedic emergencies</w:t>
            </w:r>
          </w:p>
          <w:p>
            <w:pPr>
              <w:spacing w:after="60"/>
            </w:pPr>
            <w:r>
              <w:rPr>
                <w:rFonts w:ascii="Calibri" w:cs="Leelawadee UI" w:eastAsia="Calibri" w:hAnsi="Calibri"/>
                <w:i/>
                <w:iCs/>
                <w:color w:val="C00000"/>
                <w:sz w:val="16"/>
                <w:szCs w:val="16"/>
              </w:rPr>
              <w:t xml:space="preserve">[Trauma]</w:t>
            </w:r>
          </w:p>
        </w:tc>
        <w:tc>
          <w:tcPr>
            <w:tcW w:type="dxa" w:w="8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color w:val="C55A11"/>
                <w:sz w:val="18"/>
                <w:szCs w:val="18"/>
              </w:rPr>
              <w:t xml:space="preserve">★★☆</w:t>
            </w:r>
          </w:p>
        </w:tc>
        <w:tc>
          <w:tcPr>
            <w:tcW w:type="dxa" w:w="5600"/>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Posterior hip dislocation (dashboard): flexed, adducted, internally rotated; sciatic nerve injury; reduce within 6 h to lower AVN. Other emergencies list: open fracture, compartment syndrome, cauda equina, septic arthritis, neurovascular compromise, unstable pelvis.</w:t>
            </w:r>
          </w:p>
        </w:tc>
        <w:tc>
          <w:tcPr>
            <w:tcW w:type="dxa" w:w="5438"/>
            <w:tcBorders>
              <w:top w:val="single" w:color="A6A6A6" w:sz="4"/>
              <w:left w:val="single" w:color="A6A6A6" w:sz="4"/>
              <w:bottom w:val="single" w:color="A6A6A6" w:sz="4"/>
              <w:right w:val="single" w:color="A6A6A6" w:sz="4"/>
            </w:tcBorders>
            <w:shd w:fill="F2F2F2" w:color="auto" w:val="clear"/>
            <w:tcMar>
              <w:top w:type="dxa" w:w="60"/>
              <w:left w:type="dxa" w:w="100"/>
              <w:bottom w:type="dxa" w:w="60"/>
              <w:right w:type="dxa" w:w="100"/>
            </w:tcMar>
          </w:tcPr>
          <w:p>
            <w:pPr>
              <w:spacing w:after="60"/>
            </w:pPr>
            <w:r>
              <w:rPr>
                <w:rFonts w:ascii="Calibri" w:cs="Leelawadee UI" w:eastAsia="Calibri" w:hAnsi="Calibri"/>
                <w:sz w:val="18"/>
                <w:szCs w:val="18"/>
              </w:rPr>
              <w:t xml:space="preserve">"Name 5 orthopaedic emergencies." / "Position of the leg in posterior hip dislocation?"</w:t>
            </w:r>
          </w:p>
        </w:tc>
      </w:tr>
    </w:tbl>
    <w:p>
      <w:pPr>
        <w:pStyle w:val="Heading1"/>
        <w:pageBreakBefore/>
      </w:pPr>
      <w:r>
        <w:rPr>
          <w:rFonts w:ascii="Calibri" w:cs="Leelawadee UI" w:eastAsia="Calibri" w:hAnsi="Calibri"/>
          <w:b/>
          <w:bCs/>
          <w:color w:val="1F3864"/>
          <w:sz w:val="28"/>
          <w:szCs w:val="28"/>
        </w:rPr>
        <w:t xml:space="preserve">Sources</w:t>
      </w:r>
    </w:p>
    <w:p>
      <w:pPr>
        <w:pStyle w:val="ListParagraph"/>
        <w:numPr>
          <w:ilvl w:val="0"/>
          <w:numId w:val="2"/>
        </w:numPr>
        <w:spacing w:after="40"/>
      </w:pPr>
      <w:r>
        <w:rPr>
          <w:rFonts w:ascii="Calibri" w:cs="Leelawadee UI" w:eastAsia="Calibri" w:hAnsi="Calibri"/>
          <w:sz w:val="20"/>
          <w:szCs w:val="20"/>
        </w:rPr>
        <w:t xml:space="preserve">Workpoint Today — "อะไรยากไปกว่า วินิจฉัยโรค? กว่าจะเป็น The Bone เก่งเข้ากระดูก By ศิริราช": https://www.workpointtoday.com/the-bone-interview-780287</w:t>
      </w:r>
    </w:p>
    <w:p>
      <w:pPr>
        <w:pStyle w:val="ListParagraph"/>
        <w:numPr>
          <w:ilvl w:val="0"/>
          <w:numId w:val="2"/>
        </w:numPr>
        <w:spacing w:after="40"/>
      </w:pPr>
      <w:r>
        <w:rPr>
          <w:rFonts w:ascii="Calibri" w:cs="Leelawadee UI" w:eastAsia="Calibri" w:hAnsi="Calibri"/>
          <w:sz w:val="20"/>
          <w:szCs w:val="20"/>
        </w:rPr>
        <w:t xml:space="preserve">Thammasat Medicine student affairs — call for applicants, The Bone เก่งเข้ากระดูก by Siriraj: https://med.tu.ac.th/studentaffairs_th/?p=10551</w:t>
      </w:r>
    </w:p>
    <w:p>
      <w:pPr>
        <w:pStyle w:val="ListParagraph"/>
        <w:numPr>
          <w:ilvl w:val="0"/>
          <w:numId w:val="2"/>
        </w:numPr>
        <w:spacing w:after="40"/>
      </w:pPr>
      <w:r>
        <w:rPr>
          <w:rFonts w:ascii="Calibri" w:cs="Leelawadee UI" w:eastAsia="Calibri" w:hAnsi="Calibri"/>
          <w:sz w:val="20"/>
          <w:szCs w:val="20"/>
        </w:rPr>
        <w:t xml:space="preserve">Daily News — เปิดพื้นที่แข่งความรู้ด้านออร์โธปิดิคส์ "The Bone เก่งเข้ากระดูก by Siriraj": https://www.dailynews.co.th/news/4832675/</w:t>
      </w:r>
    </w:p>
    <w:p>
      <w:pPr>
        <w:pStyle w:val="ListParagraph"/>
        <w:numPr>
          <w:ilvl w:val="0"/>
          <w:numId w:val="2"/>
        </w:numPr>
        <w:spacing w:after="40"/>
      </w:pPr>
      <w:r>
        <w:rPr>
          <w:rFonts w:ascii="Calibri" w:cs="Leelawadee UI" w:eastAsia="Calibri" w:hAnsi="Calibri"/>
          <w:sz w:val="20"/>
          <w:szCs w:val="20"/>
        </w:rPr>
        <w:t xml:space="preserve">Thairath — The Bone เก่งเข้ากระดูก by ศิริราช: https://www.thairath.co.th/entertain/series/2878940</w:t>
      </w:r>
    </w:p>
    <w:p>
      <w:pPr>
        <w:spacing w:after="120"/>
      </w:pPr>
      <w:r>
        <w:rPr>
          <w:rFonts w:ascii="Calibri" w:cs="Leelawadee UI" w:eastAsia="Calibri" w:hAnsi="Calibri"/>
          <w:sz w:val="20"/>
          <w:szCs w:val="20"/>
        </w:rPr>
        <w:t xml:space="preserve">Medical content reflects standard undergraduate orthopaedic references (e.g., Apley &amp; Solomon, Miller’s Review, AAOS OrthoInfo, ATLS 10th ed., ICM 2018 PJI criteria, Thai Osteoporosis Foundation guidance). Verify numeric cut-offs against the current edition before teaching.</w:t>
      </w:r>
    </w:p>
    <w:sectPr>
      <w:footerReference w:type="default" r:id="rId6"/>
      <w:pgSz w:w="16838" w:h="11906" w:orient="landscape"/>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Leelawadee UI" w:eastAsia="Calibri" w:hAnsi="Calibri"/>
        <w:color w:val="808080"/>
        <w:sz w:val="16"/>
        <w:szCs w:val="16"/>
      </w:rPr>
      <w:t xml:space="preserve">The Bone 2026 Topic Guide · page </w:t>
    </w:r>
    <w:r>
      <w:rPr>
        <w:rFonts w:ascii="Calibri" w:cs="Leelawadee U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Leelawadee U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Bone 2026 — Tutoring Topic Guide</dc:title>
  <dc:creator>Jade</dc:creator>
  <cp:lastModifiedBy>Un-named</cp:lastModifiedBy>
  <cp:revision>1</cp:revision>
  <dcterms:created xsi:type="dcterms:W3CDTF">2026-10-07T17:40:10.040Z</dcterms:created>
  <dcterms:modified xsi:type="dcterms:W3CDTF">2026-10-07T17:40:10.041Z</dcterms:modified>
</cp:coreProperties>
</file>

<file path=docProps/custom.xml><?xml version="1.0" encoding="utf-8"?>
<Properties xmlns="http://schemas.openxmlformats.org/officeDocument/2006/custom-properties" xmlns:vt="http://schemas.openxmlformats.org/officeDocument/2006/docPropsVTypes"/>
</file>