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Leelawadee UI" w:eastAsia="Calibri" w:hAnsi="Calibri"/>
          <w:b/>
          <w:bCs/>
          <w:color w:val="1F3864"/>
          <w:sz w:val="40"/>
          <w:szCs w:val="40"/>
        </w:rPr>
        <w:t xml:space="preserve">The Bone 2026 — Arthroplasty Session</w:t>
      </w:r>
    </w:p>
    <w:p>
      <w:pPr>
        <w:spacing w:after="240"/>
        <w:jc w:val="center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Simulated questions · Explanations &amp; teaching points · High-yield spotlights · 60-minute tutorial · Version 1 (October 2026)</w:t>
      </w:r>
    </w:p>
    <w:p>
      <w:pPr>
        <w:pStyle w:val="Heading1"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60-minute session plan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510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0:00 – 0:03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Warm-up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Rapid oral quiz: "Name 4 X-ray signs of OA" / "Blood supply of femoral head?" to set the level.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0:03 – 0:12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1. Osteonecrosis of femoral head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Q1–Q3 6 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0:12 – 0:21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2. DDH with secondary hip OA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Q1–Q3 6 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0:21 – 0:31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3. Periprosthetic joint infection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Q1–Q3 7 min (scoring drill)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0:31 – 0:40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4. Periprosthetic fracture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Q1–Q3 6 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0:40 – 0:49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5. VTE prophylaxis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Q1–Q4 6 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0:49 – 0:57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6. Crystal arthropathy of the knee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Spotlight 3 min → Q1–Q4 5 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0:57 – 1:00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Rapid-fire round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15 buzzer questions, 10 seconds each (last page).</w:t>
            </w:r>
          </w:p>
        </w:tc>
      </w:tr>
    </w:tbl>
    <w:p>
      <w:pPr>
        <w:spacing w:after="60"/>
      </w:pPr>
      <w:r>
        <w:rPr>
          <w:rFonts w:ascii="Calibri" w:cs="Leelawadee UI" w:eastAsia="Calibri" w:hAnsi="Calibri"/>
          <w:sz w:val="20"/>
          <w:szCs w:val="20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Leelawadee UI" w:eastAsia="Calibri" w:hAnsi="Calibri"/>
          <w:b/>
          <w:bCs/>
          <w:color w:val="2E74B5"/>
          <w:sz w:val="24"/>
          <w:szCs w:val="24"/>
        </w:rPr>
        <w:t xml:space="preserve">How to run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Leelawadee UI" w:eastAsia="Calibri" w:hAnsi="Calibri"/>
          <w:sz w:val="20"/>
          <w:szCs w:val="20"/>
        </w:rPr>
        <w:t xml:space="preserve">Read the spotlight aloud or show it on screen (3 min), then run the simulated questions in "buzzer" style: read the scenario, give 20–30 seconds, then reveal the model answer and teaching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Leelawadee UI" w:eastAsia="Calibri" w:hAnsi="Calibri"/>
          <w:sz w:val="20"/>
          <w:szCs w:val="20"/>
        </w:rPr>
        <w:t xml:space="preserve">Students answer in pairs (the competition uses 2-person teams). Score 1 point per correct key element so they learn what examiners 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Leelawadee UI" w:eastAsia="Calibri" w:hAnsi="Calibri"/>
          <w:sz w:val="20"/>
          <w:szCs w:val="20"/>
        </w:rPr>
        <w:t xml:space="preserve">Level is final-year medical student: diagnosis, first investigation, first-line management, named signs and classifications. Operative detail stays at the "which operation and why"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Leelawadee UI" w:eastAsia="Calibri" w:hAnsi="Calibri"/>
          <w:sz w:val="20"/>
          <w:szCs w:val="20"/>
        </w:rPr>
        <w:t xml:space="preserve">Self-review: cover the Model answer and Teaching point columns, answer aloud, then check.</w:t>
      </w:r>
    </w:p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1. Osteonecrosis (Avascular Necrosis) of the Femoral Head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9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Risk factors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Corticosteroids (dose-dependent), alcohol, SLE, haemoglobinopathy (sickle cell), Caisson disease (dysbaric), Gaucher disease, HIV, radiation, and trauma (displaced femoral neck fracture, hip dislocation). Mnemonic ASEPTIC: Alcohol/AIDS, Steroids/Sickle cell/SLE, Erlenmeyer (Gaucher), Pancreatitis, Trauma, Idiopathic, Caisson.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Anatomy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Main supply = medial femoral circumflex artery → lateral epiphyseal (retinacular) branches. Artery of ligamentum teres contributes little in adults.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MRI is the most sensitive test (T2 "double-line sign"). X-ray: sclerosis → crescent sign (subchondral fracture) → flattening/collapse → OA. Disease is bilateral in up to ~50-70% → image BOTH hips.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ARCO 2019 staging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I: X-ray normal, MRI abnormal · II: X-ray sclerosis/cysts, no collapse · III: crescent sign / subchondral fracture (IIIA depression ≤ 2 mm, IIIB &gt; 2 mm) · IV: osteoarthritis.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Stop the risk factor. Pre-collapse, small/medium lesion → core decompression ± bone graft or cell therapy. Collapse or OA in symptomatic patient → total hip arthroplasty. Size and location of lesion (lateral, large) predict collapse.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32-year-old woman with SLE has taken prednisolone for 2 years. She has 6 weeks of right groin pain, worse on walking. Hip X-rays are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your next investigation, and what will you request?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MRI of BOTH hips. Expect the T2 double-line sign (ARCO stage I if X-ray normal).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X-ray is normal early. ONFH is often bilateral, so the "asymptomatic" hip must be imaged too. A small pre-collapse lesion is the window for joint-preserving surgery.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40-year-old man who drinks heavily has left hip pain. AP and frog-leg X-rays show a thin subchondral radiolucent line in the superolateral femoral head with &lt; 2 mm depression.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sign. What stage is this? Is core decompression a good option?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Crescent sign (subchondral fracture) = ARCO IIIA. Core decompression has poor results once collapse/subchondral fracture is present; symptomatic patients usually progress to THA.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Crescent sign = point of no return for most joint-preserving procedures. Frog-leg lateral shows it best.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Spot question.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artery supplies most of the adult femoral head, and which fracture threatens it most?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Medial femoral circumflex artery (lateral epiphyseal/retinacular branches). Displaced intracapsular femoral neck fracture (Garden III–IV).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Links ONFH to the trauma round: displaced femoral neck fractures in the young need urgent reduction and fixation; in the elderly → arthroplasty.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2. Developmental Dysplasia of the Hip (DDH) with Secondary OA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9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leading cause of secondary hip OA in Asian women; patients present at 20–50 years with groin pain, limp, or leg-length difference.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Adult X-ray parameters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Lateral centre-edge angle (Wiberg) &lt; 20° = dysplasia (20–25° borderline). Tönnis (acetabular roof) angle &gt; 10°. Femoral head extrusion index &gt; 25%. Broken Shenton line = subluxation.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Crowe classification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Proximal migration of the femoral head as % of head height: I &lt; 50% · II 50–75% · III 75–100% · IV &gt; 100% (high dislocation, false acetabulum).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Young, no/mild OA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Joint preservation: periacetabular osteotomy (PAO, Ganz/Bernese) for Tönnis grade 0–1 OA with a congruent joint.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THA challenges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Shallow, anterolaterally deficient acetabulum (small cup, restore TRUE hip centre, ± structural autograft). Narrow femoral canal and excessive femoral anteversion (modular/small stem). High dislocation: lengthening &gt; ~4 cm risks sciatic nerve (peroneal division) palsy → subtrochanteric shortening osteotomy.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25-year-old woman has 1 year of right groin pain. AP pelvis: lateral centre-edge angle 12°, Tönnis angle 18°, Shenton line intact, joint space well preserved (Tönnis OA grade 1).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best surgical option?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Symptomatic acetabular dysplasia (DDH) with minimal OA → periacetabular osteotomy (PAO).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PAO reorients the acetabulum to improve head coverage and delay OA. Advanced OA or incongruent joint → THA instead.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55-year-old woman with untreated DDH has a high dislocation: the femoral head articulates with a false acetabulum on the ilium (Crowe IV). She is booked for THA.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nerve is at greatest risk if the leg is lengthened? How do you avoid it?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Sciatic nerve (peroneal division most vulnerable). Avoid by placing the cup at the true acetabulum and doing a subtrochanteric femoral shortening osteotomy; limit lengthening (roughly &lt; 4 cm); check nerve function post-op.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Also expect a narrow, anteverted femur → modular or small stem. Explain to the patient that leg-length correction may be partial.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Show an AP pelvis X-ray (draw one if no image).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Draw/measure the lateral centre-edge angle. What value means dysplasia?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Angle between a vertical line through the femoral head centre and a line from the centre to the lateral edge of the acetabular sourcil. &lt; 20° = dysplasia; 20–25° borderline; &gt; 25°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Pair with paediatric DDH: Hilgenreiner, Perkin and Shenton lines; Barlow/Ortolani; ultrasound &lt; 4–6 months.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3. Periprosthetic Joint Infection (PJI)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10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ICM 2018 major criteria (either = infected)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(1) Two positive cultures of the same organism. (2) Sinus tract communicating with the prosthesis.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ICM 2018 minor score (pre-op)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Serum: CRP &gt; 1 mg/dL (2), D-dimer &gt; 860 ng/mL (2), ESR &gt; 30 mm/h (1). Synovial: WBC &gt; 3,000/µL (3), alpha-defensin positive (3), leukocyte esterase ++ (3), PMN &gt; 80% (2), synovial CRP &gt; 6.9 mg/L (1). Total ≥ 6 = infected; 2–5 = possibly infected (needs intra-op findings); 0–1 = not infected. These synovial cut-offs are for chronic PJI.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Classification by timing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Early post-operative (within ~4 weeks), acute haematogenous (&lt; 3–4 weeks of symptoms in a previously good joint), chronic (&gt; 4 weeks).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Organisms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Staphylococcus aureus and coagulase-negative staphylococci (S. epidermidis) dominate. Biofilm on implant protects bacteria → antibiotics alone cannot cure.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Acute + stable implant → DAIR (debridement, antibiotics, implant retention) with exchange of modular parts (head/liner/insert). Chronic → two-stage revision (remove, antibiotic spacer, ≥ 6 weeks antibiotics, re-implant); one-stage in selected cases. Stop antibiotics ~2 weeks before aspiration if the patient is stable.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Prevention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Cefazolin within 60 min before incision (vancomycin 120 min), chlorhexidine-alcohol skin prep, S. aureus screening/decolonisation, optimise diabetes (HbA1c), smoking cessation.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70-year-old woman, 3 years after left TKA, has 4 months of increasing knee pain. No sinus. Serum CRP 3.2 mg/dL, ESR 55 mm/h. Aspirate: WBC 6,500/µL, PMN 88%, culture pending.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Use the ICM 2018 score. Is this PJI? What is the definitive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CRP 2 + ESR 1 + WBC 3 + PMN 2 = 8 (≥ 6) → infected. Chronic PJI → two-stage revision.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Drill the scoring table: students lose marks by using acute cut-offs (e.g., WBC 10,000) for chronic infection.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Three weeks after a primary THA, a 64-year-old man has fever and purulent wound drainage. X-rays show well-fixed components. He has not received antibiotics.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your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Early post-operative PJI with stable implant → urgent DAIR: aspiration/tissue cultures (≥ 3–5 samples) BEFORE antibiotics, thorough debridement, exchange femoral head and liner, then IV antibiotics guided by culture (rifampicin-containing for staphylococci), total ~12 weeks.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DAIR works only in the early window with a stable implant. Never give empirical antibiotics before cultures in a stable patient.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Viva follow-up.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Why do two-stage revisions remove the implant instead of using long-term antibiotics alone?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Bacteria form a biofilm on the implant; organisms in biofilm are up to 1,000× more resistant and are shielded from host immunity. Removing the implant removes the biofilm.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Exception: suppressive antibiotics for patients unfit for surgery.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4. Periprosthetic Fracture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9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Vancouver (around THA femoral stem)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A: trochanteric (AG greater, AL lesser). B: around or just below stem — B1 stem well fixed; B2 stem loose, good bone; B3 stem loose, poor bone. C: well below stem tip.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Key decision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Is the stem loose? Clues: thigh "start-up" pain before the fall, subsidence, radiolucent lines, cement mantle fracture, fracture through the cement-bone interface. Many "B1" are really B2 → test stem stability in theatre.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B1 and C → ORIF (locking plate ± cables). B2 → revision to a long stem that bypasses the fracture by ≥ 2 cortical diameters. B3 → revision with allograft/augmentation or proximal femoral replacement.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Around TKA (distal femur)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Lewis-Rorabeck: I undisplaced, implant intact · II displaced, implant intact · III implant loose. Options: locking plate, retrograde nail (needs open-box/CR femoral component), distal femoral replacement for elderly comminuted or loose implant.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Risk factors &amp; prognosis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Osteoporosis, elderly women, uncemented stems, revision surgery, osteolysis, falls. Mortality is similar to hip fracture → treat as a fragility fracture (FLS, bone protection).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 82-year-old woman falls at home. She had no hip pain before the fall. X-ray shows a spiral femoral fracture at the tip of a well-cemented stem; no subsidence or radiolucency.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 and manage.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Vancouver B1 → ORIF with locking plate and cables; confirm stem stability intra-operatively.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If the stem proves loose in theatre, it is B2 → must revise. Always have revision implants available.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75-year-old man had 6 months of thigh pain on starting to walk. He now has a fracture around his uncemented stem, which has subsided 8 mm. Bone stock is good.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 and manage.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Vancouver B2 (loose stem, good bone) → revision to a long (distally fixed) stem bypassing the fracture by ≥ 2 cortical diameters ± cables.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Start-up thigh pain = loosening. Plating a loose stem fails.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78-year-old woman with a well-fixed posterior-stabilised TKA has a displaced supracondylar femur fracture.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 (Lewis-Rorabeck) and give two options.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Type II (displaced, implant intact). Locking plate; retrograde nail only if the femoral box is open; distal femoral replacement if very comminuted/osteoporotic in a low-demand patient.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Early mobilisation is the goal — same principles as hip fracture care.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5. VTE Prophylaxis after Arthroplasty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9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Risk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THA/TKA are high-risk procedures. Add-on risks: previous VTE, cancer, obesity, oestrogen, thrombophilia, immobility.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Options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Pharmacological: LMWH (enoxaparin 40 mg SC daily), DOACs (rivaroxaban 10 mg daily, apixaban 2.5 mg twice daily, dabigatran), aspirin, fondaparinux. Mechanical: early mobilisation, intermittent pneumatic compression, stockings.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NICE NG89 (2018) example regimens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THA: LMWH 10 days then aspirin 28 days, OR LMWH 28 days, OR rivaroxaban/apixaban/dabigatran. TKA: aspirin 14 days, OR LMWH 14 days, OR DOAC. Duration minimum 10–14 days; extend to ~28–35 days after THA.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Evidence to quote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EPCAT II (2018): 5 days rivaroxaban then aspirin was non-inferior to rivaroxaban alone. CRISTAL (2022): aspirin had more symptomatic VTE (mainly below-knee DVT) than enoxaparin.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Neuraxial anaesthesia (ASRA)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Prophylactic LMWH once daily: wait ≥ 12 h after a dose before spinal/epidural or catheter removal; give the next dose ≥ 4 h after catheter removal.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Diagnosis &amp; complications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DVT → compression duplex ultrasound; PE → CTPA. Provoked proximal DVT → therapeutic anticoagulation ~3 months. HIT: platelet fall &gt; 50% on day 5–10 of heparin ± thrombosis → stop all heparin, use non-heparin anticoagulant (argatroban, fondaparinux, or a DOAC), no platelet transfusion.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68-year-old woman with no extra risk factors has a primary TKA.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Give two acceptable pharmacological regimens with durations.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Aspirin for 14 days, OR LMWH for 14 days, OR a DOAC (e.g., rivaroxaban 10 mg daily ~14 days); plus early mobilisation ± IPC.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Mention mechanical methods and early mobilisation for full marks. Duration is longer after THA (~28–35 days).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After THA under spinal anaesthesia with an epidural catheter, the patient got enoxaparin 40 mg at 20:00.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When can the catheter be removed, and when is the next dose?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Remove at or after 08:00 the next morning (≥ 12 h after the dose). Next dose ≥ 4 h after removal.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The fear is a spinal epidural haematoma → monitor leg neurology after removal.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Day 7 after TKA on enoxaparin: platelets fall from 260,000 to 95,000/µL and a new calf DVT appears.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Heparin-induced thrombocytopenia with thrombosis. Calculate 4T score, stop all heparin (including flushes), start a non-heparin anticoagulant (argatroban, fondaparinux or DOAC), send PF4/HIT antibody, no platelet transfusion; delay warfarin until platelets recover.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Timing (day 5–10) and &gt; 50% fall are the clues.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Day 5 after THA: unilateral calf swelling and tenderness.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Investigation, and treatment if a femoral-vein DVT is found?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Compression duplex ultrasound. Proximal DVT → therapeutic anticoagulation (DOAC or LMWH), about 3 months for a provoked event.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D-dimer is not useful early after surgery — it is raised anyway.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6. Crystal Arthropathy of the Knee</w:t>
      </w:r>
    </w:p>
    <w:p>
      <w:pPr>
        <w:spacing w:after="10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Time allocation: 8 minutes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 (3 min)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Gout vs CPPD crystals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Gout (monosodium urate): needle-shaped, STRONGLY NEGATIVELY birefringent (yellow when parallel to the compensator axis). CPPD (calcium pyrophosphate): rhomboid/rod-shaped, WEAKLY POSITIVELY birefringent (blue when parallel).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X-ray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CPPD: chondrocalcinosis — knee menisci, wrist triangular fibrocartilage, symphysis pubis. Chronic gout: punched-out erosions with overhanging edges, tophi; DECT can show urate.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CPPD associations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Age; hyperparathyroidism, haemochromatosis, hypomagnesaemia, hypophosphatasia. Patient &lt; 60 years → screen (Ca, PTH, ferritin/transferrin saturation, Mg, ALP). Acute pseudogout is common after surgery or acute illness (e.g., after hip fracture surgery).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Never forget sepsis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Crystals and infection can coexist. Always send Gram stain and culture. Synovial WBC in crystal arthritis is usually 2,000–50,000/µL but can exceed 50,000.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Acute 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NSAID, low-dose colchicine (1.2 mg then 0.6 mg 1 h later), or corticosteroid (oral or intra-articular after infection excluded). Joint aspiration itself relieves pain.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Gout long-term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Allopurinol start low (100 mg; lower in CKD) and titrate to serum urate &lt; 6 mg/dL (&lt; 5 with tophi). Screen HLA-B*5801 in Thai/Han Chinese patients (risk of SJS/TEN/DRESS). Colchicine prophylaxis 3–6 months when starting urate-lowering therapy. Serum urate can be NORMAL during an acute attack.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76-year-old woman, 2 days after hemiarthroplasty for hip fracture, develops a hot swollen right knee and fever 38.0 °C. Knee X-ray shows meniscal calcification. Aspirate: WBC 25,000/µL, rhomboid weakly positively birefringent crystals, Gram stain negative.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Acute CPPD crystal arthritis (pseudogout) triggered by surgery. Aspirate, await culture; treat with ice/rest, colchicine or cautious NSAID; intra-articular steroid once infection is excluded.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Post-operative pseudogout is classic — but culture is mandatory because septic arthritis can look identical.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50-year-old Thai man has recurrent gout of the knee and first MTP joint; serum urate 9.5 mg/dL. You plan allopurinol.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test first, what dose start, and what target?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HLA-B*5801 genotyping (Thai national guidance / SCAR risk). Start 100 mg daily (lower in CKD), titrate to urate &lt; 6 mg/dL, with colchicine prophylaxis 3–6 months.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Allopurinol hypersensitivity can be fatal; Thailand has high HLA-B*5801 carriage.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Knee aspirate: WBC 85,000/µL with needle-shaped negatively birefringent crystals.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Can you rule out septic arthritis?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No. Treat as possible septic arthritis until culture is negative; consider washout and IV antibiotics if clinically septic.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Crystals do not exclude infection.</w:t>
            </w:r>
          </w:p>
        </w:tc>
      </w:tr>
    </w:tbl>
    <w:p>
      <w:pPr>
        <w:keepNext/>
        <w:spacing w:after="60" w:before="16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45-year-old man has polyarticular chondrocalcinosis and arthritis of the 2nd/3rd MCP joints.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metabolic disease must you screen for first?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Haemochromatosis (ferritin, transferrin saturation). Also calcium/PTH, magnesium, phosphate, ALP.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Young CPPD + MCP hook osteophytes = haemochromatosis until proven otherwise.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Rapid-fire round (3 minutes, 10 seconds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33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Most sensitive imaging for early ONFH?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MRI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Name of subchondral fracture line in ONFH on X-ray?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Crescent sign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Dysplastic value of lateral centre-edge angle?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&lt; 20°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Crowe IV means migration of…?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&gt; 100% of femoral head height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Nerve at risk when lengthening a Crowe IV hip?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Sciatic (peroneal division)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Two major ICM criteria for PJI?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Sinus tract; 2 positive cultures same organism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ICM minor score that means infected?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≥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Procedure for acute PJI with stable implant?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DAIR with modular exchange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Vancouver type: loose stem, good bone?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Revision stem should bypass the fracture by…?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≥ 2 cortical diameters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Hours between prophylactic LMWH and epidural catheter removal?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≥ 12 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Platelet fall &gt; 50% on day 5–10 of heparin?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HIT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Needle-shaped, negatively birefringent crystal?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Monosodium urate (gout)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Meniscal calcification on X-ray is called?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Chondrocalcinosis (CPPD)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Gene to test before allopurinol in Thai patients?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 w:val="false"/>
                <w:bCs w:val="false"/>
                <w:sz w:val="20"/>
                <w:szCs w:val="20"/>
              </w:rPr>
              <w:t xml:space="preserve">HLA-B*5801</w:t>
            </w:r>
          </w:p>
        </w:tc>
      </w:tr>
    </w:tbl>
    <w:p>
      <w:pPr>
        <w:spacing w:before="200"/>
      </w:pPr>
      <w:r>
        <w:rPr>
          <w:rFonts w:ascii="Calibri" w:cs="Leelawadee UI" w:eastAsia="Calibri" w:hAnsi="Calibri"/>
          <w:i/>
          <w:iCs/>
          <w:color w:val="808080"/>
          <w:sz w:val="16"/>
          <w:szCs w:val="16"/>
        </w:rPr>
        <w:t xml:space="preserve">Medical content is drawn from standard references (Apley &amp; Solomon, Miller’s Review of Orthopaedics, ICM 2018 PJI criteria, ARCO 2019, NICE NG89, ASRA guidance, ACR 2020 gout guideline, Thai HLA-B*5801 guidance). Verify cut-offs against the current edition before teaching.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Leelawadee UI" w:eastAsia="Calibri" w:hAnsi="Calibri"/>
        <w:color w:val="808080"/>
        <w:sz w:val="16"/>
        <w:szCs w:val="16"/>
      </w:rPr>
      <w:t xml:space="preserve">The Bone 2026 · Arthroplasty session · page </w:t>
    </w:r>
    <w:r>
      <w:rPr>
        <w:rFonts w:ascii="Calibri" w:cs="Leelawadee U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Leelawadee U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Bone 2026 — Arthroplasty 1-Hour Session</dc:title>
  <dc:creator>Jade</dc:creator>
  <cp:lastModifiedBy>Un-named</cp:lastModifiedBy>
  <cp:revision>1</cp:revision>
  <dcterms:created xsi:type="dcterms:W3CDTF">2026-10-07T18:29:24.325Z</dcterms:created>
  <dcterms:modified xsi:type="dcterms:W3CDTF">2026-10-07T18:29:24.326Z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