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毕业设计论文开题报告"/>
    <w:p>
      <w:pPr>
        <w:pStyle w:val="Heading1"/>
      </w:pPr>
      <w:r>
        <w:rPr>
          <w:rFonts w:hint="eastAsia"/>
        </w:rPr>
        <w:t xml:space="preserve">毕业设计（论文）开题报告</w:t>
      </w:r>
    </w:p>
    <w:bookmarkStart w:id="9" w:name="一课题名称"/>
    <w:p>
      <w:pPr>
        <w:pStyle w:val="Heading2"/>
      </w:pPr>
      <w:r>
        <w:rPr>
          <w:rFonts w:hint="eastAsia"/>
        </w:rPr>
        <w:t xml:space="preserve">一、课题名称</w:t>
      </w:r>
    </w:p>
    <w:p>
      <w:pPr>
        <w:pStyle w:val="FirstParagraph"/>
      </w:pPr>
      <w:r>
        <w:rPr>
          <w:rFonts w:hint="eastAsia"/>
        </w:rPr>
        <w:t xml:space="preserve">基于大模型的以学生为中心的智能教学平台设计与实现——以本科生《电磁场与电磁波》和研究生《学术规范与论文写作》为例</w:t>
      </w:r>
    </w:p>
    <w:bookmarkEnd w:id="9"/>
    <w:bookmarkStart w:id="12" w:name="二课题背景与研究意义"/>
    <w:p>
      <w:pPr>
        <w:pStyle w:val="Heading2"/>
      </w:pPr>
      <w:r>
        <w:rPr>
          <w:rFonts w:hint="eastAsia"/>
        </w:rPr>
        <w:t xml:space="preserve">二、课题背景与研究意义</w:t>
      </w:r>
    </w:p>
    <w:bookmarkStart w:id="10" w:name="一课题背景"/>
    <w:p>
      <w:pPr>
        <w:pStyle w:val="Heading3"/>
      </w:pPr>
      <w:r>
        <w:rPr>
          <w:rFonts w:hint="eastAsia"/>
        </w:rPr>
        <w:t xml:space="preserve">（一）课题背景</w:t>
      </w:r>
    </w:p>
    <w:p>
      <w:pPr>
        <w:pStyle w:val="FirstParagraph"/>
      </w:pPr>
      <w:r>
        <w:rPr>
          <w:rFonts w:hint="eastAsia"/>
        </w:rPr>
        <w:t xml:space="preserve">随着高等教育规模的持续扩大与教学质量要求的不断提升，传统的以课程内容为核心的教学模式正面临深刻变革。在这种模式下，教学活动围绕知识点的系统传授展开，学生被动接受统一进度与标准化内容，个体差异难以得到充分关注。然而，现代教育理论与实践表明，学习效果的提升更多依赖于对学生个体学习状态的精准把握与针对性干预，而非单纯的内容覆盖。因此，构建”以学生为中心”的智能教学平台，已成为教育技术领域的重要研究方向。</w:t>
      </w:r>
    </w:p>
    <w:p>
      <w:pPr>
        <w:pStyle w:val="BodyText"/>
      </w:pPr>
      <w:r>
        <w:rPr>
          <w:rFonts w:hint="eastAsia"/>
        </w:rPr>
        <w:t xml:space="preserve">在试点与验证场景选择上，本课题以研究生《学术规范与论文写作》作为典型文本任务场景，同时以本科生《电磁场与电磁波》作为课程专属工具模块的验证场景。前者能够产生连续、可追踪的文本过程数据，适合检验“长期画像—个性化反馈—能力提升”的闭环；后者具有概念抽象、推导复杂、需要数值求解与可视化解释等特点，适合检验“工具调用—结果解读—引导式学习”的闭环。两类场景共同支撑平台的泛用性与可扩展性。</w:t>
      </w:r>
    </w:p>
    <w:p>
      <w:pPr>
        <w:pStyle w:val="BodyText"/>
      </w:pPr>
      <w:r>
        <w:rPr>
          <w:rFonts w:hint="eastAsia"/>
        </w:rPr>
        <w:t xml:space="preserve">以研究生《学术规范与论文写作》为例，学术写作能力的培养是一个渐进式、个性化的过程，不同学生在语言基础、逻辑表达、学术规范等方面存在显著差异，需要针对性的指导；写作任务形式多样，包括文献综述、课程论文、学位论文摘要等，每种类型对结构、语言风格、引用规范等均有不同要求；同时写作过程产生丰富的文本数据，为基于自然语言处理技术的学习状态分析提供了天然素材。</w:t>
      </w:r>
    </w:p>
    <w:p>
      <w:pPr>
        <w:pStyle w:val="BodyText"/>
      </w:pPr>
      <w:r>
        <w:rPr>
          <w:rFonts w:hint="eastAsia"/>
        </w:rPr>
        <w:t xml:space="preserve">与此同时，大语言模型（Large</w:t>
      </w:r>
      <w:r>
        <w:t xml:space="preserve"> Language Model, </w:t>
      </w:r>
      <w:r>
        <w:rPr>
          <w:rFonts w:hint="eastAsia"/>
        </w:rPr>
        <w:t xml:space="preserve">LLM）技术的快速发展为智能教学提供了新的技术支撑。以Qwen、GPT系列为代表的大模型在自然语言理解、文本生成、逻辑推理等方面展现出强大能力，能够为学生提供即时的写作反馈、风格分析与改进建议。结合企业微信等移动办公平台的广泛应用，构建触达便捷、交互自然的智能辅导系统成为可能。</w:t>
      </w:r>
    </w:p>
    <w:bookmarkEnd w:id="10"/>
    <w:bookmarkStart w:id="11" w:name="二研究意义"/>
    <w:p>
      <w:pPr>
        <w:pStyle w:val="Heading3"/>
      </w:pPr>
      <w:r>
        <w:rPr>
          <w:rFonts w:hint="eastAsia"/>
        </w:rPr>
        <w:t xml:space="preserve">（二）研究意义</w:t>
      </w:r>
    </w:p>
    <w:p>
      <w:pPr>
        <w:pStyle w:val="FirstParagraph"/>
      </w:pPr>
      <w:r>
        <w:rPr>
          <w:rFonts w:hint="eastAsia"/>
        </w:rPr>
        <w:t xml:space="preserve">本课题的研究意义可从以下三个层面加以阐述。</w:t>
      </w:r>
    </w:p>
    <w:p>
      <w:pPr>
        <w:pStyle w:val="BodyText"/>
      </w:pPr>
      <w:r>
        <w:rPr>
          <w:rFonts w:hint="eastAsia"/>
        </w:rPr>
        <w:t xml:space="preserve">在教学实践层面，以学生为中心的智能教学平台能够突破传统课堂的时空限制，为每位学生建立持久的学习档案，追踪其在多门课程中的学习轨迹与能力发展。通过对学生常见错误、薄弱环节与完成情况的持续分析，系统可自动生成个性化的学习建议与专项练习，使教学资源的配置更加精准高效。以《学术规范与论文写作》为例，系统能够按写作类型提供差异化的评估与修改建议；以《电磁场与电磁波》为例，系统能够将抽象概念与可视化结果结合，支持参数化探究与过程性反馈。</w:t>
      </w:r>
    </w:p>
    <w:p>
      <w:pPr>
        <w:pStyle w:val="BodyText"/>
      </w:pPr>
      <w:r>
        <w:rPr>
          <w:rFonts w:hint="eastAsia"/>
        </w:rPr>
        <w:t xml:space="preserve">在技术应用层面，本研究探索将大语言模型以”可控、可追溯”的方式引入教育场景，构建”学生状态感知—智能分析—个性化辅导”的闭环系统。通过设计多维度的写作能力评估框架，结合检索增强生成（RAG）与知识图谱技术，实现对学生写作能力的精准画像与动态追踪。这一技术路径对于将人工智能技术规范、有效地应用于教育领域具有示范意义。</w:t>
      </w:r>
    </w:p>
    <w:p>
      <w:pPr>
        <w:pStyle w:val="BodyText"/>
      </w:pPr>
      <w:r>
        <w:rPr>
          <w:rFonts w:hint="eastAsia"/>
        </w:rPr>
        <w:t xml:space="preserve">在学术与工程价值层面，本研究综合运用前后端分离架构、微服务设计、事件溯源数据模型、跨端适配等现代软件工程方法，形成可复用、可扩展的智能教学平台架构。研究成果不仅适用于《学术规范与论文写作》等写作课程，也可推广至其他需要个性化辅导的课程类型，为高校教学信息化建设提供技术参考与实践经验。</w:t>
      </w:r>
    </w:p>
    <w:bookmarkEnd w:id="11"/>
    <w:bookmarkEnd w:id="12"/>
    <w:bookmarkStart w:id="13" w:name="三国内外研究现状与发展趋势"/>
    <w:p>
      <w:pPr>
        <w:pStyle w:val="Heading2"/>
      </w:pPr>
      <w:r>
        <w:rPr>
          <w:rFonts w:hint="eastAsia"/>
        </w:rPr>
        <w:t xml:space="preserve">三、国内外研究现状与发展趋势</w:t>
      </w:r>
    </w:p>
    <w:p>
      <w:pPr>
        <w:pStyle w:val="FirstParagraph"/>
      </w:pPr>
      <w:r>
        <w:rPr>
          <w:rFonts w:hint="eastAsia"/>
        </w:rPr>
        <w:t xml:space="preserve">智能教学系统的研究可追溯至上世纪七十年代的智能导师系统（Intelligent</w:t>
      </w:r>
      <w:r>
        <w:t xml:space="preserve"> Tutoring Systems, </w:t>
      </w:r>
      <w:r>
        <w:rPr>
          <w:rFonts w:hint="eastAsia"/>
        </w:rPr>
        <w:t xml:space="preserve">ITS），经过数十年发展，已形成较为完整的理论框架与技术体系。近年来，随着深度学习与自然语言处理技术的突破，该领域呈现出若干新的发展态势。</w:t>
      </w:r>
    </w:p>
    <w:p>
      <w:pPr>
        <w:pStyle w:val="BodyText"/>
      </w:pPr>
      <w:r>
        <w:rPr>
          <w:rFonts w:hint="eastAsia"/>
        </w:rPr>
        <w:t xml:space="preserve">在学习分析与学生建模方面，国内外研究者普遍采用学习管理系统（Learning</w:t>
      </w:r>
      <w:r>
        <w:t xml:space="preserve"> Management System, </w:t>
      </w:r>
      <w:r>
        <w:rPr>
          <w:rFonts w:hint="eastAsia"/>
        </w:rPr>
        <w:t xml:space="preserve">LMS）采集学生的行为数据，并运用统计分析与机器学习方法构建学习者模型。然而，现有系统多侧重于对学习行为的事后统计，如登录频次、资源访问时长等表层指标，对学生认知状态与能力发展的深层建模仍显不足。特别是在写作能力评估领域，尽管自动作文评分（Automated</w:t>
      </w:r>
      <w:r>
        <w:t xml:space="preserve"> Essay Scoring, </w:t>
      </w:r>
      <w:r>
        <w:rPr>
          <w:rFonts w:hint="eastAsia"/>
        </w:rPr>
        <w:t xml:space="preserve">AES）技术已较为成熟，但多数系统仅给出整体评分，缺乏对学生写作风格演变、能力增长轨迹的纵向追踪。</w:t>
      </w:r>
    </w:p>
    <w:p>
      <w:pPr>
        <w:pStyle w:val="BodyText"/>
      </w:pPr>
      <w:r>
        <w:rPr>
          <w:rFonts w:hint="eastAsia"/>
        </w:rPr>
        <w:t xml:space="preserve">在教育大模型与对话式辅导方面，以ChatGPT、Qwen为代表的大语言模型在知识问答、文本生成等任务中表现优异，已在编程教学、语言学习等领域得到初步应用。然而，将大模型应用于学术写作辅导仍面临若干挑战：一是模型可能产生不准确或不恰当的建议，需要可靠的质量控制机制；二是写作指导的个性化程度有待提升，需结合学生历史表现进行差异化反馈；三是不同写作类型具有不同的评估标准，需要类型感知的提示策略。</w:t>
      </w:r>
    </w:p>
    <w:p>
      <w:pPr>
        <w:pStyle w:val="BodyText"/>
      </w:pPr>
      <w:r>
        <w:rPr>
          <w:rFonts w:hint="eastAsia"/>
        </w:rPr>
        <w:t xml:space="preserve">在检索增强生成（Retrieval-Augmented</w:t>
      </w:r>
      <w:r>
        <w:t xml:space="preserve"> Generation, </w:t>
      </w:r>
      <w:r>
        <w:rPr>
          <w:rFonts w:hint="eastAsia"/>
        </w:rPr>
        <w:t xml:space="preserve">RAG）与知识图谱技术方面，研究者通过引入外部知识库来提升大模型输出的准确性与可追溯性。GraphRAG等方法进一步将知识组织为图结构，支持多跳推理与关联检索。这些技术为构建可解释、可验证的智能写作辅导系统提供了技术基础。</w:t>
      </w:r>
    </w:p>
    <w:p>
      <w:pPr>
        <w:pStyle w:val="BodyText"/>
      </w:pPr>
      <w:r>
        <w:rPr>
          <w:rFonts w:hint="eastAsia"/>
        </w:rPr>
        <w:t xml:space="preserve">从发展趋势来看，智能教学平台正经历从”资源导向”向”过程导向”的范式转变，从关注内容分发转向关注学习过程中的状态感知与动态干预。同时，跨设备、跨平台的学习体验一致性受到重视，要求系统在桌面端与移动端提供功能对等的服务。此外，强调AI辅助的可控性、可追溯性与可评估性，避免模型输出对学生产生误导。</w:t>
      </w:r>
    </w:p>
    <w:bookmarkEnd w:id="13"/>
    <w:bookmarkStart w:id="21" w:name="四研究目标与主要内容"/>
    <w:p>
      <w:pPr>
        <w:pStyle w:val="Heading2"/>
      </w:pPr>
      <w:r>
        <w:rPr>
          <w:rFonts w:hint="eastAsia"/>
        </w:rPr>
        <w:t xml:space="preserve">四、研究目标与主要内容</w:t>
      </w:r>
    </w:p>
    <w:bookmarkStart w:id="14" w:name="一研究目标"/>
    <w:p>
      <w:pPr>
        <w:pStyle w:val="Heading3"/>
      </w:pPr>
      <w:r>
        <w:rPr>
          <w:rFonts w:hint="eastAsia"/>
        </w:rPr>
        <w:t xml:space="preserve">（一）研究目标</w:t>
      </w:r>
    </w:p>
    <w:p>
      <w:pPr>
        <w:pStyle w:val="FirstParagraph"/>
      </w:pPr>
      <w:r>
        <w:rPr>
          <w:rFonts w:hint="eastAsia"/>
        </w:rPr>
        <w:t xml:space="preserve">本课题旨在设计并实现一套以学生为中心的智能教学平台原型系统，以《学术规范与论文写作》与《电磁场与电磁波》课程模块为典型验证场景。研究目标可从以下四个层面予以阐述。</w:t>
      </w:r>
    </w:p>
    <w:p>
      <w:pPr>
        <w:pStyle w:val="BodyText"/>
      </w:pPr>
      <w:r>
        <w:rPr>
          <w:rFonts w:hint="eastAsia"/>
        </w:rPr>
        <w:t xml:space="preserve">首先，在学生状态追踪层面，系统需构建跨课程、长期化的学生学习档案体系，实现对学生学习轨迹的持续记录与分析。每位学生在系统中拥有全局档案与课程档案两级结构：全局档案汇聚学生在多门课程中的综合能力发展情况，课程档案则记录特定课程内的薄弱点、已完成主题与学习时长等细粒度数据。通过事件溯源机制，系统保留每次学习行为的时序日志，为能力发展的纵向分析与教学干预的效果评估提供数据支撑。</w:t>
      </w:r>
    </w:p>
    <w:p>
      <w:pPr>
        <w:pStyle w:val="BodyText"/>
      </w:pPr>
      <w:r>
        <w:rPr>
          <w:rFonts w:hint="eastAsia"/>
        </w:rPr>
        <w:t xml:space="preserve">其次，在任务类型感知与能力评估层面，系统需支持“不同课程/不同任务”的差异化分析与反馈生成。以《学术规范与论文写作》为例，系统需针对学术写作设计多维度评估框架，涵盖学术语气、段落结构、逻辑连接、引用规范、词汇丰富度等维度，并能够识别文献综述、课程论文、学位论文、摘要等不同写作类型，从而动态调整评估权重与反馈策略。以《电磁场与电磁波》为例，系统需能识别典型题型/任务形态，并在需要时触发可计算的课程专属工具，保证答案生成建立在可验证的数值/图像结果之上。</w:t>
      </w:r>
    </w:p>
    <w:p>
      <w:pPr>
        <w:pStyle w:val="BodyText"/>
      </w:pPr>
      <w:r>
        <w:rPr>
          <w:rFonts w:hint="eastAsia"/>
        </w:rPr>
        <w:t xml:space="preserve">再次，在智能辅导层面，系统需借助大语言模型提供即时、个性化的反馈与引导。通过检索增强生成技术，系统可将学生历史样本、课程资料与标准参考纳入检索范围，使建议具有针对性与可追溯性；在工具型课程中，通过可控的工具调用获得中间结果并进行解释与反问，实现“算得出、讲得清、能追问”的引导式学习。系统还需支持渐进式辅导模式，根据学生当前能力水平提供分层次的指导，避免过度依赖或一步到位的答案式输出。</w:t>
      </w:r>
    </w:p>
    <w:p>
      <w:pPr>
        <w:pStyle w:val="BodyText"/>
      </w:pPr>
      <w:r>
        <w:rPr>
          <w:rFonts w:hint="eastAsia"/>
        </w:rPr>
        <w:t xml:space="preserve">最后，在平台工程层面，系统需实现跨终端的一致性用户体验，确保学生无论通过桌面浏览器还是移动设备访问，均能获得功能对等、交互流畅的服务。这要求在技术架构设计中充分考虑响应式布局、共享API层与统一的设计语言。</w:t>
      </w:r>
    </w:p>
    <w:bookmarkEnd w:id="14"/>
    <w:bookmarkStart w:id="20" w:name="二主要研究内容"/>
    <w:p>
      <w:pPr>
        <w:pStyle w:val="Heading3"/>
      </w:pPr>
      <w:r>
        <w:rPr>
          <w:rFonts w:hint="eastAsia"/>
        </w:rPr>
        <w:t xml:space="preserve">（二）主要研究内容</w:t>
      </w:r>
    </w:p>
    <w:bookmarkStart w:id="15" w:name="多层级学生档案与事件溯源数据模型"/>
    <w:p>
      <w:pPr>
        <w:pStyle w:val="Heading4"/>
      </w:pPr>
      <w:r>
        <w:t xml:space="preserve">1. </w:t>
      </w:r>
      <w:r>
        <w:rPr>
          <w:rFonts w:hint="eastAsia"/>
        </w:rPr>
        <w:t xml:space="preserve">多层级学生档案与事件溯源数据模型</w:t>
      </w:r>
    </w:p>
    <w:p>
      <w:pPr>
        <w:pStyle w:val="FirstParagraph"/>
      </w:pPr>
      <w:r>
        <w:rPr>
          <w:rFonts w:hint="eastAsia"/>
        </w:rPr>
        <w:t xml:space="preserve">本研究首先需要设计支撑长期学习追踪的数据模型。核心设计思路是建立”全局档案—课程档案—学习事件”的三层结构。全局学生档案记录学生在整个学习过程中的综合能力画像（如写作能力、推导能力、问题求解习惯等）、学习风格偏好与累计学习时长。课程学习档案则聚焦于单门课程内的学习状态，记录该课程中的薄弱概念、已掌握主题、推荐学习内容等。学习事件日志采用追加写入模式，记录每次AI对话、作业提交、测验作答、工具调用等行为的时间戳与详细载荷，既支持实时查询，也为后续的学习分析与模型训练提供原始素材。</w:t>
      </w:r>
    </w:p>
    <w:p>
      <w:pPr>
        <w:pStyle w:val="BodyText"/>
      </w:pPr>
      <w:r>
        <w:rPr>
          <w:rFonts w:hint="eastAsia"/>
          <w:b/>
          <w:bCs/>
        </w:rPr>
        <w:t xml:space="preserve">图1：多层级学生档案数据模型</w:t>
      </w:r>
    </w:p>
    <w:p>
      <w:pPr>
        <w:pStyle w:val="SourceCode"/>
      </w:pPr>
      <w:r>
        <w:rPr>
          <w:rStyle w:val="VerbatimChar"/>
        </w:rPr>
        <w:t xml:space="preserve">erDiagram</w:t>
      </w:r>
      <w:r>
        <w:br/>
      </w:r>
      <w:r>
        <w:rPr>
          <w:rStyle w:val="VerbatimChar"/>
        </w:rPr>
        <w:t xml:space="preserve">    Student ||--o| GlobalProfile : </w:t>
      </w:r>
      <w:r>
        <w:rPr>
          <w:rStyle w:val="VerbatimChar"/>
          <w:rFonts w:hint="eastAsia"/>
        </w:rPr>
        <w:t xml:space="preserve">"拥有"</w:t>
      </w:r>
      <w:r>
        <w:br/>
      </w:r>
      <w:r>
        <w:rPr>
          <w:rStyle w:val="VerbatimChar"/>
        </w:rPr>
        <w:t xml:space="preserve">    GlobalProfile ||--o{ CourseProfile : </w:t>
      </w:r>
      <w:r>
        <w:rPr>
          <w:rStyle w:val="VerbatimChar"/>
          <w:rFonts w:hint="eastAsia"/>
        </w:rPr>
        <w:t xml:space="preserve">"聚合"</w:t>
      </w:r>
      <w:r>
        <w:br/>
      </w:r>
      <w:r>
        <w:rPr>
          <w:rStyle w:val="VerbatimChar"/>
        </w:rPr>
        <w:t xml:space="preserve">    Student ||--o{ LearningEvent : </w:t>
      </w:r>
      <w:r>
        <w:rPr>
          <w:rStyle w:val="VerbatimChar"/>
          <w:rFonts w:hint="eastAsia"/>
        </w:rPr>
        <w:t xml:space="preserve">"产生"</w:t>
      </w:r>
      <w:r>
        <w:br/>
      </w:r>
      <w:r>
        <w:rPr>
          <w:rStyle w:val="VerbatimChar"/>
        </w:rPr>
        <w:t xml:space="preserve">    Course ||--o{ CourseProfile : </w:t>
      </w:r>
      <w:r>
        <w:rPr>
          <w:rStyle w:val="VerbatimChar"/>
          <w:rFonts w:hint="eastAsia"/>
        </w:rPr>
        <w:t xml:space="preserve">"关联"</w:t>
      </w:r>
      <w:r>
        <w:br/>
      </w:r>
      <w:r>
        <w:br/>
      </w:r>
      <w:r>
        <w:rPr>
          <w:rStyle w:val="VerbatimChar"/>
        </w:rPr>
        <w:t xml:space="preserve">    GlobalProfile {</w:t>
      </w:r>
      <w:r>
        <w:br/>
      </w:r>
      <w:r>
        <w:rPr>
          <w:rStyle w:val="VerbatimChar"/>
        </w:rPr>
        <w:t xml:space="preserve">        int student_id PK</w:t>
      </w:r>
      <w:r>
        <w:br/>
      </w:r>
      <w:r>
        <w:rPr>
          <w:rStyle w:val="VerbatimChar"/>
        </w:rPr>
        <w:t xml:space="preserve">        json global_competencies </w:t>
      </w:r>
      <w:r>
        <w:rPr>
          <w:rStyle w:val="VerbatimChar"/>
          <w:rFonts w:hint="eastAsia"/>
        </w:rPr>
        <w:t xml:space="preserve">"跨课程能力评分"</w:t>
      </w:r>
      <w:r>
        <w:br/>
      </w:r>
      <w:r>
        <w:rPr>
          <w:rStyle w:val="VerbatimChar"/>
        </w:rPr>
        <w:t xml:space="preserve">        int total_study_hours </w:t>
      </w:r>
      <w:r>
        <w:rPr>
          <w:rStyle w:val="VerbatimChar"/>
          <w:rFonts w:hint="eastAsia"/>
        </w:rPr>
        <w:t xml:space="preserve">"累计学习时长"</w:t>
      </w:r>
      <w:r>
        <w:br/>
      </w:r>
      <w:r>
        <w:rPr>
          <w:rStyle w:val="VerbatimChar"/>
        </w:rPr>
        <w:t xml:space="preserve">        json learning_style </w:t>
      </w:r>
      <w:r>
        <w:rPr>
          <w:rStyle w:val="VerbatimChar"/>
          <w:rFonts w:hint="eastAsia"/>
        </w:rPr>
        <w:t xml:space="preserve">"学习风格偏好"</w:t>
      </w:r>
      <w:r>
        <w:br/>
      </w:r>
      <w:r>
        <w:rPr>
          <w:rStyle w:val="VerbatimChar"/>
        </w:rPr>
        <w:t xml:space="preserve">    }</w:t>
      </w:r>
      <w:r>
        <w:br/>
      </w:r>
      <w:r>
        <w:br/>
      </w:r>
      <w:r>
        <w:rPr>
          <w:rStyle w:val="VerbatimChar"/>
        </w:rPr>
        <w:t xml:space="preserve">    CourseProfile {</w:t>
      </w:r>
      <w:r>
        <w:br/>
      </w:r>
      <w:r>
        <w:rPr>
          <w:rStyle w:val="VerbatimChar"/>
        </w:rPr>
        <w:t xml:space="preserve">        int student_id PK</w:t>
      </w:r>
      <w:r>
        <w:br/>
      </w:r>
      <w:r>
        <w:rPr>
          <w:rStyle w:val="VerbatimChar"/>
        </w:rPr>
        <w:t xml:space="preserve">        int course_id PK</w:t>
      </w:r>
      <w:r>
        <w:br/>
      </w:r>
      <w:r>
        <w:rPr>
          <w:rStyle w:val="VerbatimChar"/>
        </w:rPr>
        <w:t xml:space="preserve">        json weak_points </w:t>
      </w:r>
      <w:r>
        <w:rPr>
          <w:rStyle w:val="VerbatimChar"/>
          <w:rFonts w:hint="eastAsia"/>
        </w:rPr>
        <w:t xml:space="preserve">"薄弱概念"</w:t>
      </w:r>
      <w:r>
        <w:br/>
      </w:r>
      <w:r>
        <w:rPr>
          <w:rStyle w:val="VerbatimChar"/>
        </w:rPr>
        <w:t xml:space="preserve">        json completed_topics </w:t>
      </w:r>
      <w:r>
        <w:rPr>
          <w:rStyle w:val="VerbatimChar"/>
          <w:rFonts w:hint="eastAsia"/>
        </w:rPr>
        <w:t xml:space="preserve">"已掌握主题"</w:t>
      </w:r>
      <w:r>
        <w:br/>
      </w:r>
      <w:r>
        <w:rPr>
          <w:rStyle w:val="VerbatimChar"/>
        </w:rPr>
        <w:t xml:space="preserve">        int study_minutes </w:t>
      </w:r>
      <w:r>
        <w:rPr>
          <w:rStyle w:val="VerbatimChar"/>
          <w:rFonts w:hint="eastAsia"/>
        </w:rPr>
        <w:t xml:space="preserve">"课程学习时长"</w:t>
      </w:r>
      <w:r>
        <w:br/>
      </w:r>
      <w:r>
        <w:rPr>
          <w:rStyle w:val="VerbatimChar"/>
        </w:rPr>
        <w:t xml:space="preserve">    }</w:t>
      </w:r>
      <w:r>
        <w:br/>
      </w:r>
      <w:r>
        <w:br/>
      </w:r>
      <w:r>
        <w:rPr>
          <w:rStyle w:val="VerbatimChar"/>
        </w:rPr>
        <w:t xml:space="preserve">    LearningEvent {</w:t>
      </w:r>
      <w:r>
        <w:br/>
      </w:r>
      <w:r>
        <w:rPr>
          <w:rStyle w:val="VerbatimChar"/>
        </w:rPr>
        <w:t xml:space="preserve">        int id PK</w:t>
      </w:r>
      <w:r>
        <w:br/>
      </w:r>
      <w:r>
        <w:rPr>
          <w:rStyle w:val="VerbatimChar"/>
        </w:rPr>
        <w:t xml:space="preserve">        int student_id FK</w:t>
      </w:r>
      <w:r>
        <w:br/>
      </w:r>
      <w:r>
        <w:rPr>
          <w:rStyle w:val="VerbatimChar"/>
        </w:rPr>
        <w:t xml:space="preserve">        int course_id FK</w:t>
      </w:r>
      <w:r>
        <w:br/>
      </w:r>
      <w:r>
        <w:rPr>
          <w:rStyle w:val="VerbatimChar"/>
        </w:rPr>
        <w:t xml:space="preserve">        string event_type </w:t>
      </w:r>
      <w:r>
        <w:rPr>
          <w:rStyle w:val="VerbatimChar"/>
          <w:rFonts w:hint="eastAsia"/>
        </w:rPr>
        <w:t xml:space="preserve">"事件类型"</w:t>
      </w:r>
      <w:r>
        <w:br/>
      </w:r>
      <w:r>
        <w:rPr>
          <w:rStyle w:val="VerbatimChar"/>
        </w:rPr>
        <w:t xml:space="preserve">        json payload </w:t>
      </w:r>
      <w:r>
        <w:rPr>
          <w:rStyle w:val="VerbatimChar"/>
          <w:rFonts w:hint="eastAsia"/>
        </w:rPr>
        <w:t xml:space="preserve">"事件详情"</w:t>
      </w:r>
      <w:r>
        <w:br/>
      </w:r>
      <w:r>
        <w:rPr>
          <w:rStyle w:val="VerbatimChar"/>
        </w:rPr>
        <w:t xml:space="preserve">        datetime created_at </w:t>
      </w:r>
      <w:r>
        <w:rPr>
          <w:rStyle w:val="VerbatimChar"/>
          <w:rFonts w:hint="eastAsia"/>
        </w:rPr>
        <w:t xml:space="preserve">"时间戳"</w:t>
      </w:r>
      <w:r>
        <w:br/>
      </w:r>
      <w:r>
        <w:rPr>
          <w:rStyle w:val="VerbatimChar"/>
        </w:rPr>
        <w:t xml:space="preserve">    }</w:t>
      </w:r>
    </w:p>
    <w:bookmarkEnd w:id="15"/>
    <w:bookmarkStart w:id="16" w:name="写作类型感知的智能分析服务"/>
    <w:p>
      <w:pPr>
        <w:pStyle w:val="Heading4"/>
      </w:pPr>
      <w:r>
        <w:t xml:space="preserve">2. </w:t>
      </w:r>
      <w:r>
        <w:rPr>
          <w:rFonts w:hint="eastAsia"/>
        </w:rPr>
        <w:t xml:space="preserve">写作类型感知的智能分析服务</w:t>
      </w:r>
    </w:p>
    <w:p>
      <w:pPr>
        <w:pStyle w:val="FirstParagraph"/>
      </w:pPr>
      <w:r>
        <w:rPr>
          <w:rFonts w:hint="eastAsia"/>
        </w:rPr>
        <w:t xml:space="preserve">针对《学术规范与论文写作》课程的特殊需求，本研究将开发类型感知的写作分析服务。该服务首先对学生提交的写作样本进行类型识别，判断其属于文献综述、课程论文、学位论文章节还是摘要等类型。随后，根据不同类型的评估标准，从学术语气、段落结构、逻辑连接、引用规范、学术词汇使用等维度进行多角度分析。分析结果不仅给出整体评分，还提供各维度的详细反馈与改进建议。系统将持续追踪学生在各维度上的表现变化，识别进步趋势与持续薄弱环节。</w:t>
      </w:r>
    </w:p>
    <w:p>
      <w:pPr>
        <w:pStyle w:val="BodyText"/>
      </w:pPr>
      <w:r>
        <w:rPr>
          <w:rFonts w:hint="eastAsia"/>
          <w:b/>
          <w:bCs/>
        </w:rPr>
        <w:t xml:space="preserve">图3：写作类型感知分析流程</w:t>
      </w:r>
    </w:p>
    <w:p>
      <w:pPr>
        <w:pStyle w:val="SourceCode"/>
      </w:pPr>
      <w:r>
        <w:rPr>
          <w:rStyle w:val="VerbatimChar"/>
        </w:rPr>
        <w:t xml:space="preserve">flowchart LR</w:t>
      </w:r>
      <w:r>
        <w:br/>
      </w:r>
      <w:r>
        <w:rPr>
          <w:rStyle w:val="VerbatimChar"/>
        </w:rPr>
        <w:t xml:space="preserve">    </w:t>
      </w:r>
      <w:r>
        <w:rPr>
          <w:rStyle w:val="VerbatimChar"/>
          <w:rFonts w:hint="eastAsia"/>
        </w:rPr>
        <w:t xml:space="preserve">A[学生提交&lt;br/&gt;写作样本]</w:t>
      </w:r>
      <w:r>
        <w:rPr>
          <w:rStyle w:val="VerbatimChar"/>
        </w:rPr>
        <w:t xml:space="preserve"> --&gt; </w:t>
      </w:r>
      <w:r>
        <w:rPr>
          <w:rStyle w:val="VerbatimChar"/>
          <w:rFonts w:hint="eastAsia"/>
        </w:rPr>
        <w:t xml:space="preserve">B{类型识别}</w:t>
      </w:r>
      <w:r>
        <w:br/>
      </w:r>
      <w:r>
        <w:rPr>
          <w:rStyle w:val="VerbatimChar"/>
        </w:rPr>
        <w:t xml:space="preserve">    B </w:t>
      </w:r>
      <w:r>
        <w:rPr>
          <w:rStyle w:val="VerbatimChar"/>
          <w:rFonts w:hint="eastAsia"/>
        </w:rPr>
        <w:t xml:space="preserve">--&gt;|文献综述|</w:t>
      </w:r>
      <w:r>
        <w:rPr>
          <w:rStyle w:val="VerbatimChar"/>
        </w:rPr>
        <w:t xml:space="preserve"> </w:t>
      </w:r>
      <w:r>
        <w:rPr>
          <w:rStyle w:val="VerbatimChar"/>
          <w:rFonts w:hint="eastAsia"/>
        </w:rPr>
        <w:t xml:space="preserve">C1[综述评估权重]</w:t>
      </w:r>
      <w:r>
        <w:br/>
      </w:r>
      <w:r>
        <w:rPr>
          <w:rStyle w:val="VerbatimChar"/>
        </w:rPr>
        <w:t xml:space="preserve">    B </w:t>
      </w:r>
      <w:r>
        <w:rPr>
          <w:rStyle w:val="VerbatimChar"/>
          <w:rFonts w:hint="eastAsia"/>
        </w:rPr>
        <w:t xml:space="preserve">--&gt;|课程论文|</w:t>
      </w:r>
      <w:r>
        <w:rPr>
          <w:rStyle w:val="VerbatimChar"/>
        </w:rPr>
        <w:t xml:space="preserve"> </w:t>
      </w:r>
      <w:r>
        <w:rPr>
          <w:rStyle w:val="VerbatimChar"/>
          <w:rFonts w:hint="eastAsia"/>
        </w:rPr>
        <w:t xml:space="preserve">C2[论文评估权重]</w:t>
      </w:r>
      <w:r>
        <w:br/>
      </w:r>
      <w:r>
        <w:rPr>
          <w:rStyle w:val="VerbatimChar"/>
        </w:rPr>
        <w:t xml:space="preserve">    B </w:t>
      </w:r>
      <w:r>
        <w:rPr>
          <w:rStyle w:val="VerbatimChar"/>
          <w:rFonts w:hint="eastAsia"/>
        </w:rPr>
        <w:t xml:space="preserve">--&gt;|学位论文|</w:t>
      </w:r>
      <w:r>
        <w:rPr>
          <w:rStyle w:val="VerbatimChar"/>
        </w:rPr>
        <w:t xml:space="preserve"> </w:t>
      </w:r>
      <w:r>
        <w:rPr>
          <w:rStyle w:val="VerbatimChar"/>
          <w:rFonts w:hint="eastAsia"/>
        </w:rPr>
        <w:t xml:space="preserve">C3[学位论文权重]</w:t>
      </w:r>
      <w:r>
        <w:br/>
      </w:r>
      <w:r>
        <w:rPr>
          <w:rStyle w:val="VerbatimChar"/>
        </w:rPr>
        <w:t xml:space="preserve">    B </w:t>
      </w:r>
      <w:r>
        <w:rPr>
          <w:rStyle w:val="VerbatimChar"/>
          <w:rFonts w:hint="eastAsia"/>
        </w:rPr>
        <w:t xml:space="preserve">--&gt;|摘要|</w:t>
      </w:r>
      <w:r>
        <w:rPr>
          <w:rStyle w:val="VerbatimChar"/>
        </w:rPr>
        <w:t xml:space="preserve"> </w:t>
      </w:r>
      <w:r>
        <w:rPr>
          <w:rStyle w:val="VerbatimChar"/>
          <w:rFonts w:hint="eastAsia"/>
        </w:rPr>
        <w:t xml:space="preserve">C4[摘要评估权重]</w:t>
      </w:r>
      <w:r>
        <w:br/>
      </w:r>
      <w:r>
        <w:rPr>
          <w:rStyle w:val="VerbatimChar"/>
        </w:rPr>
        <w:t xml:space="preserve">    </w:t>
      </w:r>
      <w:r>
        <w:br/>
      </w:r>
      <w:r>
        <w:rPr>
          <w:rStyle w:val="VerbatimChar"/>
        </w:rPr>
        <w:t xml:space="preserve">    C1 --&gt; </w:t>
      </w:r>
      <w:r>
        <w:rPr>
          <w:rStyle w:val="VerbatimChar"/>
          <w:rFonts w:hint="eastAsia"/>
        </w:rPr>
        <w:t xml:space="preserve">D[多维度分析]</w:t>
      </w:r>
      <w:r>
        <w:br/>
      </w:r>
      <w:r>
        <w:rPr>
          <w:rStyle w:val="VerbatimChar"/>
        </w:rPr>
        <w:t xml:space="preserve">    C2 --&gt; D</w:t>
      </w:r>
      <w:r>
        <w:br/>
      </w:r>
      <w:r>
        <w:rPr>
          <w:rStyle w:val="VerbatimChar"/>
        </w:rPr>
        <w:t xml:space="preserve">    C3 --&gt; D</w:t>
      </w:r>
      <w:r>
        <w:br/>
      </w:r>
      <w:r>
        <w:rPr>
          <w:rStyle w:val="VerbatimChar"/>
        </w:rPr>
        <w:t xml:space="preserve">    C4 --&gt; D</w:t>
      </w:r>
      <w:r>
        <w:br/>
      </w:r>
      <w:r>
        <w:rPr>
          <w:rStyle w:val="VerbatimChar"/>
        </w:rPr>
        <w:t xml:space="preserve">    </w:t>
      </w:r>
      <w:r>
        <w:br/>
      </w:r>
      <w:r>
        <w:rPr>
          <w:rStyle w:val="VerbatimChar"/>
        </w:rPr>
        <w:t xml:space="preserve">    D --&gt; </w:t>
      </w:r>
      <w:r>
        <w:rPr>
          <w:rStyle w:val="VerbatimChar"/>
          <w:rFonts w:hint="eastAsia"/>
        </w:rPr>
        <w:t xml:space="preserve">E[学术语气]</w:t>
      </w:r>
      <w:r>
        <w:br/>
      </w:r>
      <w:r>
        <w:rPr>
          <w:rStyle w:val="VerbatimChar"/>
        </w:rPr>
        <w:t xml:space="preserve">    D --&gt; </w:t>
      </w:r>
      <w:r>
        <w:rPr>
          <w:rStyle w:val="VerbatimChar"/>
          <w:rFonts w:hint="eastAsia"/>
        </w:rPr>
        <w:t xml:space="preserve">F[段落结构]</w:t>
      </w:r>
      <w:r>
        <w:br/>
      </w:r>
      <w:r>
        <w:rPr>
          <w:rStyle w:val="VerbatimChar"/>
        </w:rPr>
        <w:t xml:space="preserve">    D --&gt; </w:t>
      </w:r>
      <w:r>
        <w:rPr>
          <w:rStyle w:val="VerbatimChar"/>
          <w:rFonts w:hint="eastAsia"/>
        </w:rPr>
        <w:t xml:space="preserve">G[逻辑连接]</w:t>
      </w:r>
      <w:r>
        <w:br/>
      </w:r>
      <w:r>
        <w:rPr>
          <w:rStyle w:val="VerbatimChar"/>
        </w:rPr>
        <w:t xml:space="preserve">    D --&gt; </w:t>
      </w:r>
      <w:r>
        <w:rPr>
          <w:rStyle w:val="VerbatimChar"/>
          <w:rFonts w:hint="eastAsia"/>
        </w:rPr>
        <w:t xml:space="preserve">H[引用规范]</w:t>
      </w:r>
      <w:r>
        <w:br/>
      </w:r>
      <w:r>
        <w:rPr>
          <w:rStyle w:val="VerbatimChar"/>
        </w:rPr>
        <w:t xml:space="preserve">    </w:t>
      </w:r>
      <w:r>
        <w:br/>
      </w:r>
      <w:r>
        <w:rPr>
          <w:rStyle w:val="VerbatimChar"/>
        </w:rPr>
        <w:t xml:space="preserve">    E --&gt; </w:t>
      </w:r>
      <w:r>
        <w:rPr>
          <w:rStyle w:val="VerbatimChar"/>
          <w:rFonts w:hint="eastAsia"/>
        </w:rPr>
        <w:t xml:space="preserve">I[综合反馈&lt;br/&gt;与改进建议]</w:t>
      </w:r>
      <w:r>
        <w:br/>
      </w:r>
      <w:r>
        <w:rPr>
          <w:rStyle w:val="VerbatimChar"/>
        </w:rPr>
        <w:t xml:space="preserve">    F --&gt; I</w:t>
      </w:r>
      <w:r>
        <w:br/>
      </w:r>
      <w:r>
        <w:rPr>
          <w:rStyle w:val="VerbatimChar"/>
        </w:rPr>
        <w:t xml:space="preserve">    G --&gt; I</w:t>
      </w:r>
      <w:r>
        <w:br/>
      </w:r>
      <w:r>
        <w:rPr>
          <w:rStyle w:val="VerbatimChar"/>
        </w:rPr>
        <w:t xml:space="preserve">    H --&gt; I</w:t>
      </w:r>
      <w:r>
        <w:br/>
      </w:r>
      <w:r>
        <w:rPr>
          <w:rStyle w:val="VerbatimChar"/>
        </w:rPr>
        <w:t xml:space="preserve">    </w:t>
      </w:r>
      <w:r>
        <w:br/>
      </w:r>
      <w:r>
        <w:rPr>
          <w:rStyle w:val="VerbatimChar"/>
        </w:rPr>
        <w:t xml:space="preserve">    I --&gt; </w:t>
      </w:r>
      <w:r>
        <w:rPr>
          <w:rStyle w:val="VerbatimChar"/>
          <w:rFonts w:hint="eastAsia"/>
        </w:rPr>
        <w:t xml:space="preserve">J[更新学生档案]</w:t>
      </w:r>
    </w:p>
    <w:bookmarkEnd w:id="16"/>
    <w:bookmarkStart w:id="17" w:name="工具调用与课程专属能力编排以电磁场与电磁波为例"/>
    <w:p>
      <w:pPr>
        <w:pStyle w:val="Heading4"/>
      </w:pPr>
      <w:r>
        <w:t xml:space="preserve">3. </w:t>
      </w:r>
      <w:r>
        <w:rPr>
          <w:rFonts w:hint="eastAsia"/>
        </w:rPr>
        <w:t xml:space="preserve">工具调用与课程专属能力编排（以《电磁场与电磁波》为例）</w:t>
      </w:r>
    </w:p>
    <w:p>
      <w:pPr>
        <w:pStyle w:val="FirstParagraph"/>
      </w:pPr>
      <w:r>
        <w:rPr>
          <w:rFonts w:hint="eastAsia"/>
        </w:rPr>
        <w:t xml:space="preserve">为提升大模型在可计算、可验证任务上的可靠性，本研究将建立“课程专属工具服务</w:t>
      </w:r>
      <w:r>
        <w:t xml:space="preserve"> + </w:t>
      </w:r>
      <w:r>
        <w:rPr>
          <w:rFonts w:hint="eastAsia"/>
        </w:rPr>
        <w:t xml:space="preserve">可控工具调用”的能力编排机制。以《电磁场与电磁波》课程任务为例，平台将提供静电场/静磁场等典型数值求解与可视化接口，模型在对话中可根据任务需要调用工具获取数值结果或图像输出，并在此基础上完成物理含义解释、参数敏感性分析与引导式追问，避免仅依赖语言模型进行“凭空推断”。同时，工具调用过程将记录入参、出参与执行耗时，并作为学习事件写入档案，为教学复盘与训练数据沉淀提供依据。</w:t>
      </w:r>
    </w:p>
    <w:p>
      <w:pPr>
        <w:pStyle w:val="BodyText"/>
      </w:pPr>
      <w:r>
        <w:rPr>
          <w:rFonts w:hint="eastAsia"/>
          <w:b/>
          <w:bCs/>
        </w:rPr>
        <w:t xml:space="preserve">图4：工具调用与引导式学习闭环</w:t>
      </w:r>
    </w:p>
    <w:p>
      <w:pPr>
        <w:pStyle w:val="SourceCode"/>
      </w:pPr>
      <w:r>
        <w:rPr>
          <w:rStyle w:val="VerbatimChar"/>
        </w:rPr>
        <w:t xml:space="preserve">flowchart LR</w:t>
      </w:r>
      <w:r>
        <w:br/>
      </w:r>
      <w:r>
        <w:rPr>
          <w:rStyle w:val="VerbatimChar"/>
        </w:rPr>
        <w:t xml:space="preserve">    </w:t>
      </w:r>
      <w:r>
        <w:rPr>
          <w:rStyle w:val="VerbatimChar"/>
          <w:rFonts w:hint="eastAsia"/>
        </w:rPr>
        <w:t xml:space="preserve">U[学生提问/提交任务]</w:t>
      </w:r>
      <w:r>
        <w:rPr>
          <w:rStyle w:val="VerbatimChar"/>
        </w:rPr>
        <w:t xml:space="preserve"> --&gt; A[AI </w:t>
      </w:r>
      <w:r>
        <w:rPr>
          <w:rStyle w:val="VerbatimChar"/>
          <w:rFonts w:hint="eastAsia"/>
        </w:rPr>
        <w:t xml:space="preserve">服务&lt;br/&gt;模式选择/技能编排]</w:t>
      </w:r>
      <w:r>
        <w:br/>
      </w:r>
      <w:r>
        <w:rPr>
          <w:rStyle w:val="VerbatimChar"/>
        </w:rPr>
        <w:t xml:space="preserve">    A --&gt; </w:t>
      </w:r>
      <w:r>
        <w:rPr>
          <w:rStyle w:val="VerbatimChar"/>
          <w:rFonts w:hint="eastAsia"/>
        </w:rPr>
        <w:t xml:space="preserve">T{需要工具调用?}</w:t>
      </w:r>
      <w:r>
        <w:br/>
      </w:r>
      <w:r>
        <w:rPr>
          <w:rStyle w:val="VerbatimChar"/>
        </w:rPr>
        <w:t xml:space="preserve">    T </w:t>
      </w:r>
      <w:r>
        <w:rPr>
          <w:rStyle w:val="VerbatimChar"/>
          <w:rFonts w:hint="eastAsia"/>
        </w:rPr>
        <w:t xml:space="preserve">--&gt;|是|</w:t>
      </w:r>
      <w:r>
        <w:rPr>
          <w:rStyle w:val="VerbatimChar"/>
        </w:rPr>
        <w:t xml:space="preserve"> </w:t>
      </w:r>
      <w:r>
        <w:rPr>
          <w:rStyle w:val="VerbatimChar"/>
          <w:rFonts w:hint="eastAsia"/>
        </w:rPr>
        <w:t xml:space="preserve">S[课程工具服务&lt;br/&gt;(电磁场仿真/数值计算)]</w:t>
      </w:r>
      <w:r>
        <w:br/>
      </w:r>
      <w:r>
        <w:rPr>
          <w:rStyle w:val="VerbatimChar"/>
        </w:rPr>
        <w:t xml:space="preserve">    S --&gt; </w:t>
      </w:r>
      <w:r>
        <w:rPr>
          <w:rStyle w:val="VerbatimChar"/>
          <w:rFonts w:hint="eastAsia"/>
        </w:rPr>
        <w:t xml:space="preserve">R[结果数据/图像]</w:t>
      </w:r>
      <w:r>
        <w:br/>
      </w:r>
      <w:r>
        <w:rPr>
          <w:rStyle w:val="VerbatimChar"/>
        </w:rPr>
        <w:t xml:space="preserve">    R --&gt; A</w:t>
      </w:r>
      <w:r>
        <w:br/>
      </w:r>
      <w:r>
        <w:rPr>
          <w:rStyle w:val="VerbatimChar"/>
        </w:rPr>
        <w:t xml:space="preserve">    T </w:t>
      </w:r>
      <w:r>
        <w:rPr>
          <w:rStyle w:val="VerbatimChar"/>
          <w:rFonts w:hint="eastAsia"/>
        </w:rPr>
        <w:t xml:space="preserve">--&gt;|否|</w:t>
      </w:r>
      <w:r>
        <w:rPr>
          <w:rStyle w:val="VerbatimChar"/>
        </w:rPr>
        <w:t xml:space="preserve"> A</w:t>
      </w:r>
      <w:r>
        <w:br/>
      </w:r>
      <w:r>
        <w:rPr>
          <w:rStyle w:val="VerbatimChar"/>
        </w:rPr>
        <w:t xml:space="preserve">    A --&gt; </w:t>
      </w:r>
      <w:r>
        <w:rPr>
          <w:rStyle w:val="VerbatimChar"/>
          <w:rFonts w:hint="eastAsia"/>
        </w:rPr>
        <w:t xml:space="preserve">F[解释</w:t>
      </w:r>
      <w:r>
        <w:rPr>
          <w:rStyle w:val="VerbatimChar"/>
        </w:rPr>
        <w:t xml:space="preserve"> + </w:t>
      </w:r>
      <w:r>
        <w:rPr>
          <w:rStyle w:val="VerbatimChar"/>
          <w:rFonts w:hint="eastAsia"/>
        </w:rPr>
        <w:t xml:space="preserve">追问</w:t>
      </w:r>
      <w:r>
        <w:rPr>
          <w:rStyle w:val="VerbatimChar"/>
        </w:rPr>
        <w:t xml:space="preserve"> + </w:t>
      </w:r>
      <w:r>
        <w:rPr>
          <w:rStyle w:val="VerbatimChar"/>
          <w:rFonts w:hint="eastAsia"/>
        </w:rPr>
        <w:t xml:space="preserve">练习建议]</w:t>
      </w:r>
      <w:r>
        <w:br/>
      </w:r>
      <w:r>
        <w:rPr>
          <w:rStyle w:val="VerbatimChar"/>
        </w:rPr>
        <w:t xml:space="preserve">    F --&gt; </w:t>
      </w:r>
      <w:r>
        <w:rPr>
          <w:rStyle w:val="VerbatimChar"/>
          <w:rFonts w:hint="eastAsia"/>
        </w:rPr>
        <w:t xml:space="preserve">P[更新学习事件与档案]</w:t>
      </w:r>
    </w:p>
    <w:bookmarkEnd w:id="17"/>
    <w:bookmarkStart w:id="18" w:name="基于大模型的个性化辅导引擎"/>
    <w:p>
      <w:pPr>
        <w:pStyle w:val="Heading4"/>
      </w:pPr>
      <w:r>
        <w:t xml:space="preserve">4. </w:t>
      </w:r>
      <w:r>
        <w:rPr>
          <w:rFonts w:hint="eastAsia"/>
        </w:rPr>
        <w:t xml:space="preserve">基于大模型的个性化辅导引擎</w:t>
      </w:r>
    </w:p>
    <w:p>
      <w:pPr>
        <w:pStyle w:val="FirstParagraph"/>
      </w:pPr>
      <w:r>
        <w:rPr>
          <w:rFonts w:hint="eastAsia"/>
        </w:rPr>
        <w:t xml:space="preserve">辅导引擎的核心在于将大语言模型的生成能力与学生个性化档案相结合。系统为每种写作类型设计专门的提示策略，引导模型关注该类型的关键评估维度。通过检索增强机制，模型在生成反馈时可参考学生的历史写作样本与课程材料，使建议更具针对性。辅导引擎还支持多种交互模式：对于初学者，提供详细的分步指导；对于进阶学生，则给出简洁的要点提示，培养其自主修改能力。</w:t>
      </w:r>
    </w:p>
    <w:bookmarkEnd w:id="18"/>
    <w:bookmarkStart w:id="19" w:name="跨端一致的前端应用开发"/>
    <w:p>
      <w:pPr>
        <w:pStyle w:val="Heading4"/>
      </w:pPr>
      <w:r>
        <w:t xml:space="preserve">5. </w:t>
      </w:r>
      <w:r>
        <w:rPr>
          <w:rFonts w:hint="eastAsia"/>
        </w:rPr>
        <w:t xml:space="preserve">跨端一致的前端应用开发</w:t>
      </w:r>
    </w:p>
    <w:p>
      <w:pPr>
        <w:pStyle w:val="FirstParagraph"/>
      </w:pPr>
      <w:r>
        <w:rPr>
          <w:rFonts w:hint="eastAsia"/>
        </w:rPr>
        <w:t xml:space="preserve">为满足学生在不同场景下的学习需求，本研究将同步开发Web端与移动端应用。两端共享统一的后端API与TypeScript类型定义，确保数据模型与业务逻辑的一致性。在用户界面层面，Web端采用React技术栈，针对大屏幕优化布局与交互；移动端采用Expo</w:t>
      </w:r>
      <w:r>
        <w:t xml:space="preserve"> React </w:t>
      </w:r>
      <w:r>
        <w:rPr>
          <w:rFonts w:hint="eastAsia"/>
        </w:rPr>
        <w:t xml:space="preserve">Native框架，适配企业微信等移动办公环境。两端均支持AI对话、写作提交、学习档案查看等核心功能，并保持视觉风格与交互模式的统一。</w:t>
      </w:r>
    </w:p>
    <w:bookmarkEnd w:id="19"/>
    <w:bookmarkEnd w:id="20"/>
    <w:bookmarkEnd w:id="21"/>
    <w:bookmarkStart w:id="25" w:name="五技术路线与实现方案"/>
    <w:p>
      <w:pPr>
        <w:pStyle w:val="Heading2"/>
      </w:pPr>
      <w:r>
        <w:rPr>
          <w:rFonts w:hint="eastAsia"/>
        </w:rPr>
        <w:t xml:space="preserve">五、技术路线与实现方案</w:t>
      </w:r>
    </w:p>
    <w:bookmarkStart w:id="22" w:name="一总体技术架构"/>
    <w:p>
      <w:pPr>
        <w:pStyle w:val="Heading3"/>
      </w:pPr>
      <w:r>
        <w:rPr>
          <w:rFonts w:hint="eastAsia"/>
        </w:rPr>
        <w:t xml:space="preserve">（一）总体技术架构</w:t>
      </w:r>
    </w:p>
    <w:p>
      <w:pPr>
        <w:pStyle w:val="FirstParagraph"/>
      </w:pPr>
      <w:r>
        <w:rPr>
          <w:rFonts w:hint="eastAsia"/>
        </w:rPr>
        <w:t xml:space="preserve">本系统采用前后端分离、服务化的技术架构，各组件通过标准化的REST</w:t>
      </w:r>
      <w:r>
        <w:t xml:space="preserve"> </w:t>
      </w:r>
      <w:r>
        <w:rPr>
          <w:rFonts w:hint="eastAsia"/>
        </w:rPr>
        <w:t xml:space="preserve">API进行通信。整体架构可分为四个层次：客户端层、网关层、业务服务层与能力服务层。</w:t>
      </w:r>
    </w:p>
    <w:p>
      <w:pPr>
        <w:pStyle w:val="BodyText"/>
      </w:pPr>
      <w:r>
        <w:rPr>
          <w:rFonts w:hint="eastAsia"/>
        </w:rPr>
        <w:t xml:space="preserve">客户端层包括Web前端与移动端应用，分别采用React与Expo</w:t>
      </w:r>
      <w:r>
        <w:t xml:space="preserve"> React </w:t>
      </w:r>
      <w:r>
        <w:rPr>
          <w:rFonts w:hint="eastAsia"/>
        </w:rPr>
        <w:t xml:space="preserve">Native技术栈实现，通过共享的TypeScript类型定义确保接口一致性。Web前端可在桌面浏览器与企业微信内置WebView中运行，移动端应用则针对智能手机的交互特点进行优化。</w:t>
      </w:r>
    </w:p>
    <w:p>
      <w:pPr>
        <w:pStyle w:val="BodyText"/>
      </w:pPr>
      <w:r>
        <w:rPr>
          <w:rFonts w:hint="eastAsia"/>
        </w:rPr>
        <w:t xml:space="preserve">网关层负责请求路由、身份认证与访问控制，采用JWT令牌机制实现无状态认证，基于角色的访问控制（RBAC）确保教师、助教、学生各角色仅能访问其权限范围内的资源与功能。</w:t>
      </w:r>
    </w:p>
    <w:p>
      <w:pPr>
        <w:pStyle w:val="BodyText"/>
      </w:pPr>
      <w:r>
        <w:rPr>
          <w:rFonts w:hint="eastAsia"/>
        </w:rPr>
        <w:t xml:space="preserve">业务服务层采用Go语言Gin框架实现，遵循分层架构模式（Handler-Service-Repository），提供课程管理、作业提交、学习档案、学习事件记录等核心业务功能。数据持久化采用MySQL关系型数据库，通过数据库迁移工具管理表结构演进。</w:t>
      </w:r>
    </w:p>
    <w:p>
      <w:pPr>
        <w:pStyle w:val="BodyText"/>
      </w:pPr>
      <w:r>
        <w:rPr>
          <w:rFonts w:hint="eastAsia"/>
        </w:rPr>
        <w:t xml:space="preserve">能力服务层包括AI服务与课程专属工具服务，采用Python</w:t>
      </w:r>
      <w:r>
        <w:t xml:space="preserve"> </w:t>
      </w:r>
      <w:r>
        <w:rPr>
          <w:rFonts w:hint="eastAsia"/>
        </w:rPr>
        <w:t xml:space="preserve">FastAPI框架实现。AI服务对接Qwen等大语言模型，提供写作分析、引导式学习与工具调用等能力；检索增强模块基于向量数据库与知识图谱，为模型提供可追溯的参考素材。课程专属工具服务面向可计算任务提供数值求解、图像生成等能力，以《电磁场与电磁波》课程中的电磁场仿真为代表案例，支撑”可验证结果</w:t>
      </w:r>
      <w:r>
        <w:t xml:space="preserve"> + </w:t>
      </w:r>
      <w:r>
        <w:rPr>
          <w:rFonts w:hint="eastAsia"/>
        </w:rPr>
        <w:t xml:space="preserve">解释反馈”的闭环。</w:t>
      </w:r>
    </w:p>
    <w:p>
      <w:pPr>
        <w:pStyle w:val="BodyText"/>
      </w:pPr>
      <w:r>
        <w:rPr>
          <w:rFonts w:hint="eastAsia"/>
        </w:rPr>
        <w:t xml:space="preserve">推理服务层采用异构加速架构，支持</w:t>
      </w:r>
      <w:r>
        <w:t xml:space="preserve"> GPU、NPU </w:t>
      </w:r>
      <w:r>
        <w:rPr>
          <w:rFonts w:hint="eastAsia"/>
        </w:rPr>
        <w:t xml:space="preserve">与</w:t>
      </w:r>
      <w:r>
        <w:t xml:space="preserve"> FPGA </w:t>
      </w:r>
      <w:r>
        <w:rPr>
          <w:rFonts w:hint="eastAsia"/>
        </w:rPr>
        <w:t xml:space="preserve">三种后端。GPU</w:t>
      </w:r>
      <w:r>
        <w:t xml:space="preserve"> </w:t>
      </w:r>
      <w:r>
        <w:rPr>
          <w:rFonts w:hint="eastAsia"/>
        </w:rPr>
        <w:t xml:space="preserve">方案（NVIDIA</w:t>
      </w:r>
      <w:r>
        <w:t xml:space="preserve"> RTX </w:t>
      </w:r>
      <w:r>
        <w:rPr>
          <w:rFonts w:hint="eastAsia"/>
        </w:rPr>
        <w:t xml:space="preserve">系列）采用</w:t>
      </w:r>
      <w:r>
        <w:t xml:space="preserve"> vLLM </w:t>
      </w:r>
      <w:r>
        <w:rPr>
          <w:rFonts w:hint="eastAsia"/>
        </w:rPr>
        <w:t xml:space="preserve">作为大模型推理引擎，适合算力充足的场景；NPU</w:t>
      </w:r>
      <w:r>
        <w:t xml:space="preserve"> </w:t>
      </w:r>
      <w:r>
        <w:rPr>
          <w:rFonts w:hint="eastAsia"/>
        </w:rPr>
        <w:t xml:space="preserve">方案（华为</w:t>
      </w:r>
      <w:r>
        <w:t xml:space="preserve"> </w:t>
      </w:r>
      <w:r>
        <w:rPr>
          <w:rFonts w:hint="eastAsia"/>
        </w:rPr>
        <w:t xml:space="preserve">Ascend）采用</w:t>
      </w:r>
      <w:r>
        <w:t xml:space="preserve"> MindIE </w:t>
      </w:r>
      <w:r>
        <w:rPr>
          <w:rFonts w:hint="eastAsia"/>
        </w:rPr>
        <w:t xml:space="preserve">加载模型，功耗比</w:t>
      </w:r>
      <w:r>
        <w:t xml:space="preserve"> GPU </w:t>
      </w:r>
      <w:r>
        <w:rPr>
          <w:rFonts w:hint="eastAsia"/>
        </w:rPr>
        <w:t xml:space="preserve">降低约</w:t>
      </w:r>
      <w:r>
        <w:t xml:space="preserve"> </w:t>
      </w:r>
      <w:r>
        <w:rPr>
          <w:rFonts w:hint="eastAsia"/>
        </w:rPr>
        <w:t xml:space="preserve">20%，适合国产化适配需求。FPGA</w:t>
      </w:r>
      <w:r>
        <w:t xml:space="preserve"> </w:t>
      </w:r>
      <w:r>
        <w:rPr>
          <w:rFonts w:hint="eastAsia"/>
        </w:rPr>
        <w:t xml:space="preserve">方案（Xilinx</w:t>
      </w:r>
      <w:r>
        <w:t xml:space="preserve"> </w:t>
      </w:r>
      <w:r>
        <w:rPr>
          <w:rFonts w:hint="eastAsia"/>
        </w:rPr>
        <w:t xml:space="preserve">Alveo）用于加速</w:t>
      </w:r>
      <w:r>
        <w:t xml:space="preserve"> Embedding </w:t>
      </w:r>
      <w:r>
        <w:rPr>
          <w:rFonts w:hint="eastAsia"/>
        </w:rPr>
        <w:t xml:space="preserve">计算，将</w:t>
      </w:r>
      <w:r>
        <w:t xml:space="preserve"> Embedding </w:t>
      </w:r>
      <w:r>
        <w:rPr>
          <w:rFonts w:hint="eastAsia"/>
        </w:rPr>
        <w:t xml:space="preserve">模型量化为</w:t>
      </w:r>
      <w:r>
        <w:t xml:space="preserve"> INT8 </w:t>
      </w:r>
      <w:r>
        <w:rPr>
          <w:rFonts w:hint="eastAsia"/>
        </w:rPr>
        <w:t xml:space="preserve">并部署至</w:t>
      </w:r>
      <w:r>
        <w:t xml:space="preserve"> </w:t>
      </w:r>
      <w:r>
        <w:rPr>
          <w:rFonts w:hint="eastAsia"/>
        </w:rPr>
        <w:t xml:space="preserve">FPGA，实现检索链路与</w:t>
      </w:r>
      <w:r>
        <w:t xml:space="preserve"> LLM </w:t>
      </w:r>
      <w:r>
        <w:rPr>
          <w:rFonts w:hint="eastAsia"/>
        </w:rPr>
        <w:t xml:space="preserve">推理的资源解耦，功耗仅为</w:t>
      </w:r>
      <w:r>
        <w:t xml:space="preserve"> GPU </w:t>
      </w:r>
      <w:r>
        <w:rPr>
          <w:rFonts w:hint="eastAsia"/>
        </w:rPr>
        <w:t xml:space="preserve">的</w:t>
      </w:r>
      <w:r>
        <w:t xml:space="preserve"> </w:t>
      </w:r>
      <w:r>
        <w:rPr>
          <w:rFonts w:hint="eastAsia"/>
        </w:rPr>
        <w:t xml:space="preserve">25%。三种后端均对外暴露统一接口，AI</w:t>
      </w:r>
      <w:r>
        <w:t xml:space="preserve"> </w:t>
      </w:r>
      <w:r>
        <w:rPr>
          <w:rFonts w:hint="eastAsia"/>
        </w:rPr>
        <w:t xml:space="preserve">服务层无需区分上游硬件。</w:t>
      </w:r>
    </w:p>
    <w:p>
      <w:pPr>
        <w:pStyle w:val="BodyText"/>
      </w:pPr>
      <w:r>
        <w:rPr>
          <w:rFonts w:hint="eastAsia"/>
          <w:b/>
          <w:bCs/>
        </w:rPr>
        <w:t xml:space="preserve">图2：系统总体技术架构</w:t>
      </w:r>
    </w:p>
    <w:p>
      <w:pPr>
        <w:pStyle w:val="SourceCode"/>
      </w:pPr>
      <w:r>
        <w:rPr>
          <w:rStyle w:val="VerbatimChar"/>
        </w:rPr>
        <w:t xml:space="preserve">flowchart TB</w:t>
      </w:r>
      <w:r>
        <w:br/>
      </w:r>
      <w:r>
        <w:rPr>
          <w:rStyle w:val="VerbatimChar"/>
        </w:rPr>
        <w:t xml:space="preserve">    subgraph </w:t>
      </w:r>
      <w:r>
        <w:rPr>
          <w:rStyle w:val="VerbatimChar"/>
          <w:rFonts w:hint="eastAsia"/>
        </w:rPr>
        <w:t xml:space="preserve">客户端层</w:t>
      </w:r>
      <w:r>
        <w:br/>
      </w:r>
      <w:r>
        <w:rPr>
          <w:rStyle w:val="VerbatimChar"/>
        </w:rPr>
        <w:t xml:space="preserve">        </w:t>
      </w:r>
      <w:r>
        <w:rPr>
          <w:rStyle w:val="VerbatimChar"/>
          <w:rFonts w:hint="eastAsia"/>
        </w:rPr>
        <w:t xml:space="preserve">Web["Web前端&lt;br/&gt;(React</w:t>
      </w:r>
      <w:r>
        <w:rPr>
          <w:rStyle w:val="VerbatimChar"/>
        </w:rPr>
        <w:t xml:space="preserve"> + Vite)"]</w:t>
      </w:r>
      <w:r>
        <w:br/>
      </w:r>
      <w:r>
        <w:rPr>
          <w:rStyle w:val="VerbatimChar"/>
        </w:rPr>
        <w:t xml:space="preserve">        </w:t>
      </w:r>
      <w:r>
        <w:rPr>
          <w:rStyle w:val="VerbatimChar"/>
          <w:rFonts w:hint="eastAsia"/>
        </w:rPr>
        <w:t xml:space="preserve">Mobile["移动端&lt;br/&gt;(Expo</w:t>
      </w:r>
      <w:r>
        <w:rPr>
          <w:rStyle w:val="VerbatimChar"/>
        </w:rPr>
        <w:t xml:space="preserve"> React Native)"]</w:t>
      </w:r>
      <w:r>
        <w:br/>
      </w:r>
      <w:r>
        <w:rPr>
          <w:rStyle w:val="VerbatimChar"/>
        </w:rPr>
        <w:t xml:space="preserve">    end</w:t>
      </w:r>
      <w:r>
        <w:br/>
      </w:r>
      <w:r>
        <w:br/>
      </w:r>
      <w:r>
        <w:rPr>
          <w:rStyle w:val="VerbatimChar"/>
        </w:rPr>
        <w:t xml:space="preserve">    subgraph </w:t>
      </w:r>
      <w:r>
        <w:rPr>
          <w:rStyle w:val="VerbatimChar"/>
          <w:rFonts w:hint="eastAsia"/>
        </w:rPr>
        <w:t xml:space="preserve">网关层</w:t>
      </w:r>
      <w:r>
        <w:br/>
      </w:r>
      <w:r>
        <w:rPr>
          <w:rStyle w:val="VerbatimChar"/>
        </w:rPr>
        <w:t xml:space="preserve">        </w:t>
      </w:r>
      <w:r>
        <w:rPr>
          <w:rStyle w:val="VerbatimChar"/>
          <w:rFonts w:hint="eastAsia"/>
        </w:rPr>
        <w:t xml:space="preserve">Gateway["API网关&lt;br/&gt;JWT认证</w:t>
      </w:r>
      <w:r>
        <w:rPr>
          <w:rStyle w:val="VerbatimChar"/>
        </w:rPr>
        <w:t xml:space="preserve"> / </w:t>
      </w:r>
      <w:r>
        <w:rPr>
          <w:rStyle w:val="VerbatimChar"/>
          <w:rFonts w:hint="eastAsia"/>
        </w:rPr>
        <w:t xml:space="preserve">RBAC权限"]</w:t>
      </w:r>
      <w:r>
        <w:br/>
      </w:r>
      <w:r>
        <w:rPr>
          <w:rStyle w:val="VerbatimChar"/>
        </w:rPr>
        <w:t xml:space="preserve">    end</w:t>
      </w:r>
      <w:r>
        <w:br/>
      </w:r>
      <w:r>
        <w:br/>
      </w:r>
      <w:r>
        <w:rPr>
          <w:rStyle w:val="VerbatimChar"/>
        </w:rPr>
        <w:t xml:space="preserve">    subgraph </w:t>
      </w:r>
      <w:r>
        <w:rPr>
          <w:rStyle w:val="VerbatimChar"/>
          <w:rFonts w:hint="eastAsia"/>
        </w:rPr>
        <w:t xml:space="preserve">业务服务层</w:t>
      </w:r>
      <w:r>
        <w:br/>
      </w:r>
      <w:r>
        <w:rPr>
          <w:rStyle w:val="VerbatimChar"/>
        </w:rPr>
        <w:t xml:space="preserve">        </w:t>
      </w:r>
      <w:r>
        <w:rPr>
          <w:rStyle w:val="VerbatimChar"/>
          <w:rFonts w:hint="eastAsia"/>
        </w:rPr>
        <w:t xml:space="preserve">Backend["Go后端服务&lt;br/&gt;(Gin框架)"]</w:t>
      </w:r>
      <w:r>
        <w:br/>
      </w:r>
      <w:r>
        <w:rPr>
          <w:rStyle w:val="VerbatimChar"/>
        </w:rPr>
        <w:t xml:space="preserve">        </w:t>
      </w:r>
      <w:r>
        <w:rPr>
          <w:rStyle w:val="VerbatimChar"/>
          <w:rFonts w:hint="eastAsia"/>
        </w:rPr>
        <w:t xml:space="preserve">DB[(MySQL&lt;br/&gt;业务数据)]</w:t>
      </w:r>
      <w:r>
        <w:br/>
      </w:r>
      <w:r>
        <w:rPr>
          <w:rStyle w:val="VerbatimChar"/>
        </w:rPr>
        <w:t xml:space="preserve">    end</w:t>
      </w:r>
      <w:r>
        <w:br/>
      </w:r>
      <w:r>
        <w:br/>
      </w:r>
      <w:r>
        <w:rPr>
          <w:rStyle w:val="VerbatimChar"/>
        </w:rPr>
        <w:t xml:space="preserve">    subgraph </w:t>
      </w:r>
      <w:r>
        <w:rPr>
          <w:rStyle w:val="VerbatimChar"/>
          <w:rFonts w:hint="eastAsia"/>
        </w:rPr>
        <w:t xml:space="preserve">能力服务层</w:t>
      </w:r>
      <w:r>
        <w:br/>
      </w:r>
      <w:r>
        <w:rPr>
          <w:rStyle w:val="VerbatimChar"/>
        </w:rPr>
        <w:t xml:space="preserve">        AI["AI </w:t>
      </w:r>
      <w:r>
        <w:rPr>
          <w:rStyle w:val="VerbatimChar"/>
          <w:rFonts w:hint="eastAsia"/>
        </w:rPr>
        <w:t xml:space="preserve">服务&lt;br/&gt;(FastAPI)"]</w:t>
      </w:r>
      <w:r>
        <w:br/>
      </w:r>
      <w:r>
        <w:rPr>
          <w:rStyle w:val="VerbatimChar"/>
        </w:rPr>
        <w:t xml:space="preserve">        </w:t>
      </w:r>
      <w:r>
        <w:rPr>
          <w:rStyle w:val="VerbatimChar"/>
          <w:rFonts w:hint="eastAsia"/>
        </w:rPr>
        <w:t xml:space="preserve">RAG["检索增强模块&lt;br/&gt;(向量数据库)"]</w:t>
      </w:r>
      <w:r>
        <w:br/>
      </w:r>
      <w:r>
        <w:rPr>
          <w:rStyle w:val="VerbatimChar"/>
        </w:rPr>
        <w:t xml:space="preserve">        </w:t>
      </w:r>
      <w:r>
        <w:rPr>
          <w:rStyle w:val="VerbatimChar"/>
          <w:rFonts w:hint="eastAsia"/>
        </w:rPr>
        <w:t xml:space="preserve">LLM["大语言模型&lt;br/&gt;(Qwen)"]</w:t>
      </w:r>
      <w:r>
        <w:br/>
      </w:r>
      <w:r>
        <w:rPr>
          <w:rStyle w:val="VerbatimChar"/>
        </w:rPr>
        <w:t xml:space="preserve">        </w:t>
      </w:r>
      <w:r>
        <w:rPr>
          <w:rStyle w:val="VerbatimChar"/>
          <w:rFonts w:hint="eastAsia"/>
        </w:rPr>
        <w:t xml:space="preserve">Tool["课程工具服务&lt;br/&gt;(FastAPI)"]</w:t>
      </w:r>
      <w:r>
        <w:br/>
      </w:r>
      <w:r>
        <w:rPr>
          <w:rStyle w:val="VerbatimChar"/>
        </w:rPr>
        <w:t xml:space="preserve">    end</w:t>
      </w:r>
      <w:r>
        <w:br/>
      </w:r>
      <w:r>
        <w:br/>
      </w:r>
      <w:r>
        <w:rPr>
          <w:rStyle w:val="VerbatimChar"/>
        </w:rPr>
        <w:t xml:space="preserve">    Web --&gt; Gateway</w:t>
      </w:r>
      <w:r>
        <w:br/>
      </w:r>
      <w:r>
        <w:rPr>
          <w:rStyle w:val="VerbatimChar"/>
        </w:rPr>
        <w:t xml:space="preserve">    Mobile --&gt; Gateway</w:t>
      </w:r>
      <w:r>
        <w:br/>
      </w:r>
      <w:r>
        <w:rPr>
          <w:rStyle w:val="VerbatimChar"/>
        </w:rPr>
        <w:t xml:space="preserve">    Gateway --&gt; Backend</w:t>
      </w:r>
      <w:r>
        <w:br/>
      </w:r>
      <w:r>
        <w:rPr>
          <w:rStyle w:val="VerbatimChar"/>
        </w:rPr>
        <w:t xml:space="preserve">    Backend --&gt; DB</w:t>
      </w:r>
      <w:r>
        <w:br/>
      </w:r>
      <w:r>
        <w:rPr>
          <w:rStyle w:val="VerbatimChar"/>
        </w:rPr>
        <w:t xml:space="preserve">    Backend --&gt; AI</w:t>
      </w:r>
      <w:r>
        <w:br/>
      </w:r>
      <w:r>
        <w:rPr>
          <w:rStyle w:val="VerbatimChar"/>
        </w:rPr>
        <w:t xml:space="preserve">    AI --&gt; Tool</w:t>
      </w:r>
      <w:r>
        <w:br/>
      </w:r>
      <w:r>
        <w:rPr>
          <w:rStyle w:val="VerbatimChar"/>
        </w:rPr>
        <w:t xml:space="preserve">    AI --&gt; RAG</w:t>
      </w:r>
      <w:r>
        <w:br/>
      </w:r>
      <w:r>
        <w:rPr>
          <w:rStyle w:val="VerbatimChar"/>
        </w:rPr>
        <w:t xml:space="preserve">    AI --&gt; LLM</w:t>
      </w:r>
    </w:p>
    <w:bookmarkEnd w:id="22"/>
    <w:bookmarkStart w:id="23" w:name="二关键技术说明"/>
    <w:p>
      <w:pPr>
        <w:pStyle w:val="Heading3"/>
      </w:pPr>
      <w:r>
        <w:rPr>
          <w:rFonts w:hint="eastAsia"/>
        </w:rPr>
        <w:t xml:space="preserve">（二）关键技术说明</w:t>
      </w:r>
    </w:p>
    <w:p>
      <w:pPr>
        <w:pStyle w:val="FirstParagraph"/>
      </w:pPr>
      <w:r>
        <w:rPr>
          <w:rFonts w:hint="eastAsia"/>
        </w:rPr>
        <w:t xml:space="preserve">在写作分析技术方面，系统采用多维度评估框架对学生写作样本进行分析。首先通过文本特征提取计算客观指标，包括平均句长、词汇丰富度（类符/形符比）、被动语态使用比例、学术词汇占比等。随后，借助大语言模型进行语义层面的评估，判断论点清晰度、逻辑连贯性、论据充分性等主观维度。针对不同写作类型，系统配置差异化的评估权重矩阵，使反馈更具针对性。</w:t>
      </w:r>
    </w:p>
    <w:p>
      <w:pPr>
        <w:pStyle w:val="BodyText"/>
      </w:pPr>
      <w:r>
        <w:rPr>
          <w:rFonts w:hint="eastAsia"/>
        </w:rPr>
        <w:t xml:space="preserve">在检索增强技术方面，系统构建学术写作知识库，涵盖写作规范、范文片段、常见错误案例等资源。采用向量检索与关键词检索的混合策略，通过倒数排名融合（Reciprocal</w:t>
      </w:r>
      <w:r>
        <w:t xml:space="preserve"> Rank </w:t>
      </w:r>
      <w:r>
        <w:rPr>
          <w:rFonts w:hint="eastAsia"/>
        </w:rPr>
        <w:t xml:space="preserve">Fusion）整合检索结果，提升召回的相关性。大模型在生成反馈时引用检索到的片段编号，使建议具有可追溯性。</w:t>
      </w:r>
    </w:p>
    <w:p>
      <w:pPr>
        <w:pStyle w:val="BodyText"/>
      </w:pPr>
      <w:r>
        <w:rPr>
          <w:rFonts w:hint="eastAsia"/>
        </w:rPr>
        <w:t xml:space="preserve">在工具调用与能力编排方面，系统将课程能力抽象为可插拔的“技能（Skills）”与“工具（Tools）”集合：技能用于组织提示模板与交互模式，工具用于提供可计算、可验证的外部能力。工具接口采用结构化的</w:t>
      </w:r>
      <w:r>
        <w:t xml:space="preserve"> JSON schema </w:t>
      </w:r>
      <w:r>
        <w:rPr>
          <w:rFonts w:hint="eastAsia"/>
        </w:rPr>
        <w:t xml:space="preserve">描述入参，配合</w:t>
      </w:r>
      <w:r>
        <w:t xml:space="preserve"> </w:t>
      </w:r>
      <w:r>
        <w:rPr>
          <w:rFonts w:hint="eastAsia"/>
        </w:rPr>
        <w:t xml:space="preserve">allowlist、最大调用次数与超时限制，降低提示注入与误调用风险。以《电磁场与电磁波》课程任务为例，模型可按需调用仿真/数值计算接口生成图像与数值结果，并基于结果进行解释与追问，使生成过程可验证、可追溯。</w:t>
      </w:r>
    </w:p>
    <w:p>
      <w:pPr>
        <w:pStyle w:val="BodyText"/>
      </w:pPr>
      <w:r>
        <w:rPr>
          <w:rFonts w:hint="eastAsia"/>
        </w:rPr>
        <w:t xml:space="preserve">在学习追踪技术方面，系统采用事件溯源模式记录学生的每次学习行为，包括AI对话、写作提交、修改记录等。后台聚合任务定期将课程级数据汇总至全局学生档案，计算跨课程的能力发展指标。前端通过心跳机制上报学习时长，页面隐藏时自动暂停计时，确保数据准确性。</w:t>
      </w:r>
    </w:p>
    <w:bookmarkEnd w:id="23"/>
    <w:bookmarkStart w:id="24" w:name="三关键问题与拟解决方案"/>
    <w:p>
      <w:pPr>
        <w:pStyle w:val="Heading3"/>
      </w:pPr>
      <w:r>
        <w:rPr>
          <w:rFonts w:hint="eastAsia"/>
        </w:rPr>
        <w:t xml:space="preserve">（三）关键问题与拟解决方案</w:t>
      </w:r>
    </w:p>
    <w:p>
      <w:pPr>
        <w:pStyle w:val="FirstParagraph"/>
      </w:pPr>
      <w:r>
        <w:rPr>
          <w:rFonts w:hint="eastAsia"/>
        </w:rPr>
        <w:t xml:space="preserve">针对大模型输出的可靠性问题，系统采取多重保障措施：通过检索增强将模型输出锚定于已知素材，降低幻觉风险；要求模型输出遵循结构化模板，便于验证与追溯；保留完整的对话历史与引用来源，支持教师事后审核与纠正。</w:t>
      </w:r>
    </w:p>
    <w:p>
      <w:pPr>
        <w:pStyle w:val="BodyText"/>
      </w:pPr>
      <w:r>
        <w:rPr>
          <w:rFonts w:hint="eastAsia"/>
        </w:rPr>
        <w:t xml:space="preserve">针对写作评估的主观性问题，系统将客观文本指标与模型语义判断相结合，提供多维度的评分依据。同时，允许教师对AI生成的反馈进行确认或修正，逐步积累高质量的评估样本，用于后续的模型微调与提示优化。</w:t>
      </w:r>
    </w:p>
    <w:p>
      <w:pPr>
        <w:pStyle w:val="BodyText"/>
      </w:pPr>
      <w:r>
        <w:rPr>
          <w:rFonts w:hint="eastAsia"/>
        </w:rPr>
        <w:t xml:space="preserve">针对跨端一致性问题，系统通过抽取共享的API类型定义与设计令牌（Design</w:t>
      </w:r>
      <w:r>
        <w:t xml:space="preserve"> </w:t>
      </w:r>
      <w:r>
        <w:rPr>
          <w:rFonts w:hint="eastAsia"/>
        </w:rPr>
        <w:t xml:space="preserve">Tokens）确保两端的数据模型与视觉风格统一。在功能层面，核心模块在两端对等实现，差异仅体现于针对不同屏幕尺寸的布局优化。</w:t>
      </w:r>
    </w:p>
    <w:bookmarkEnd w:id="24"/>
    <w:bookmarkEnd w:id="25"/>
    <w:bookmarkStart w:id="27" w:name="六创新点与特色"/>
    <w:p>
      <w:pPr>
        <w:pStyle w:val="Heading2"/>
      </w:pPr>
      <w:r>
        <w:rPr>
          <w:rFonts w:hint="eastAsia"/>
        </w:rPr>
        <w:t xml:space="preserve">六、创新点与特色</w:t>
      </w:r>
    </w:p>
    <w:p>
      <w:pPr>
        <w:pStyle w:val="FirstParagraph"/>
      </w:pPr>
      <w:r>
        <w:rPr>
          <w:rFonts w:hint="eastAsia"/>
        </w:rPr>
        <w:t xml:space="preserve">本研究的创新性可从以下几个方面予以概括。</w:t>
      </w:r>
    </w:p>
    <w:p>
      <w:pPr>
        <w:pStyle w:val="BodyText"/>
      </w:pPr>
      <w:r>
        <w:rPr>
          <w:rFonts w:hint="eastAsia"/>
        </w:rPr>
        <w:t xml:space="preserve">在教学理念层面，本研究构建真正”以学生为中心”的智能教学平台，将关注焦点从课程内容转向学生个体。通过建立跨课程、长期化的学生学习档案，系统能够追踪每位学生在学术写作能力各维度上的发展轨迹，识别持续薄弱环节与进步趋势，为针对性干预提供数据支撑。这一设计理念突破了现有平台多聚焦于单次作业评分的局限，实现了对学习过程的纵向追踪与动态画像。</w:t>
      </w:r>
    </w:p>
    <w:p>
      <w:pPr>
        <w:pStyle w:val="BodyText"/>
      </w:pPr>
      <w:r>
        <w:rPr>
          <w:rFonts w:hint="eastAsia"/>
        </w:rPr>
        <w:t xml:space="preserve">在技术方法层面，本研究提出写作类型感知的智能分析框架，区分文献综述、课程论文、学位论文等不同写作任务的评估标准。通过为每种类型配置差异化的评估权重与提示策略，系统能够提供更具针对性的写作反馈与改进建议。这一设计突破了现有写作辅助工具”一刀切”的评估模式，使智能反馈更加贴合学术写作的实际需求。</w:t>
      </w:r>
    </w:p>
    <w:p>
      <w:pPr>
        <w:pStyle w:val="BodyText"/>
      </w:pPr>
      <w:r>
        <w:rPr>
          <w:rFonts w:hint="eastAsia"/>
        </w:rPr>
        <w:t xml:space="preserve">在可控生成与课程扩展层面，本研究以“技能化编排</w:t>
      </w:r>
      <w:r>
        <w:t xml:space="preserve"> + </w:t>
      </w:r>
      <w:r>
        <w:rPr>
          <w:rFonts w:hint="eastAsia"/>
        </w:rPr>
        <w:t xml:space="preserve">工具调用”为核心，实现从“纯文本建议”到“可计算结果支撑”的能力升级。在工具型课程（以《电磁场与电磁波》为例）中，模型能够按需调用数值仿真与可视化工具，并将结果纳入解释与引导流程，从而提升可靠性与可验证性。同时，课程能力以模块化方式接入，便于后续迁移到更多课程场景。</w:t>
      </w:r>
    </w:p>
    <w:p>
      <w:pPr>
        <w:pStyle w:val="BodyText"/>
      </w:pPr>
      <w:r>
        <w:rPr>
          <w:rFonts w:hint="eastAsia"/>
        </w:rPr>
        <w:t xml:space="preserve">在系统工程层面，本研究采用事件溯源数据模型记录学习行为，支持学习轨迹的完整回溯与多维度聚合分析。同时，通过共享API层与设计令牌实现Web端与移动端的功能对等与体验一致，满足学生在不同场景下的学习需求。这些工程实践形成可复用的技术方案，具有推广应用价值。</w:t>
      </w:r>
    </w:p>
    <w:p>
      <w:pPr>
        <w:pStyle w:val="BodyText"/>
      </w:pPr>
      <w:r>
        <w:rPr>
          <w:rFonts w:hint="eastAsia"/>
        </w:rPr>
        <w:t xml:space="preserve">在训练与迭代闭环层面，本研究建立”数据规范—蒸馏—LoRA/QLoRA</w:t>
      </w:r>
      <w:r>
        <w:t xml:space="preserve"> </w:t>
      </w:r>
      <w:r>
        <w:rPr>
          <w:rFonts w:hint="eastAsia"/>
        </w:rPr>
        <w:t xml:space="preserve">微调—回归评测”的工程化流程：将对话/批改/工具调用等日志结构化沉淀，结合数据蒸馏生成可训练样本；通过轻量回归集与</w:t>
      </w:r>
      <w:r>
        <w:t xml:space="preserve"> smoke </w:t>
      </w:r>
      <w:r>
        <w:rPr>
          <w:rFonts w:hint="eastAsia"/>
        </w:rPr>
        <w:t xml:space="preserve">验证，在版本迭代中持续监控质量回退，并为后续的课程规模化部署提供可复用的训练与评测方法。</w:t>
      </w:r>
    </w:p>
    <w:p>
      <w:pPr>
        <w:pStyle w:val="BodyText"/>
      </w:pPr>
      <w:r>
        <w:rPr>
          <w:rFonts w:hint="eastAsia"/>
        </w:rPr>
        <w:t xml:space="preserve">在异构加速与能效优化层面，本研究引入</w:t>
      </w:r>
      <w:r>
        <w:t xml:space="preserve"> GPU、NPU </w:t>
      </w:r>
      <w:r>
        <w:rPr>
          <w:rFonts w:hint="eastAsia"/>
        </w:rPr>
        <w:t xml:space="preserve">与</w:t>
      </w:r>
      <w:r>
        <w:t xml:space="preserve"> FPGA </w:t>
      </w:r>
      <w:r>
        <w:rPr>
          <w:rFonts w:hint="eastAsia"/>
        </w:rPr>
        <w:t xml:space="preserve">三种后端的异构计算方案：GPU/NPU</w:t>
      </w:r>
      <w:r>
        <w:t xml:space="preserve"> </w:t>
      </w:r>
      <w:r>
        <w:rPr>
          <w:rFonts w:hint="eastAsia"/>
        </w:rPr>
        <w:t xml:space="preserve">用于大模型推理，FPGA（Xilinx</w:t>
      </w:r>
      <w:r>
        <w:t xml:space="preserve"> </w:t>
      </w:r>
      <w:r>
        <w:rPr>
          <w:rFonts w:hint="eastAsia"/>
        </w:rPr>
        <w:t xml:space="preserve">Alveo）用于</w:t>
      </w:r>
      <w:r>
        <w:t xml:space="preserve"> Embedding </w:t>
      </w:r>
      <w:r>
        <w:rPr>
          <w:rFonts w:hint="eastAsia"/>
        </w:rPr>
        <w:t xml:space="preserve">服务的低延迟加速。通过将</w:t>
      </w:r>
      <w:r>
        <w:t xml:space="preserve"> Embedding </w:t>
      </w:r>
      <w:r>
        <w:rPr>
          <w:rFonts w:hint="eastAsia"/>
        </w:rPr>
        <w:t xml:space="preserve">模型量化为</w:t>
      </w:r>
      <w:r>
        <w:t xml:space="preserve"> INT8 </w:t>
      </w:r>
      <w:r>
        <w:rPr>
          <w:rFonts w:hint="eastAsia"/>
        </w:rPr>
        <w:t xml:space="preserve">并部署至</w:t>
      </w:r>
      <w:r>
        <w:t xml:space="preserve"> </w:t>
      </w:r>
      <w:r>
        <w:rPr>
          <w:rFonts w:hint="eastAsia"/>
        </w:rPr>
        <w:t xml:space="preserve">FPGA，实现检索链路与大模型推理的资源解耦，在保持检索质量（Recall@5</w:t>
      </w:r>
      <w:r>
        <w:t xml:space="preserve"> </w:t>
      </w:r>
      <w:r>
        <w:rPr>
          <w:rFonts w:hint="eastAsia"/>
        </w:rPr>
        <w:t xml:space="preserve">下降</w:t>
      </w:r>
      <w:r>
        <w:t xml:space="preserve"> </w:t>
      </w:r>
      <w:r>
        <w:rPr>
          <w:rFonts w:hint="eastAsia"/>
        </w:rPr>
        <w:t xml:space="preserve">&lt;2%）的前提下，将</w:t>
      </w:r>
      <w:r>
        <w:t xml:space="preserve"> Embedding </w:t>
      </w:r>
      <w:r>
        <w:rPr>
          <w:rFonts w:hint="eastAsia"/>
        </w:rPr>
        <w:t xml:space="preserve">服务功耗从</w:t>
      </w:r>
      <w:r>
        <w:t xml:space="preserve"> GPU </w:t>
      </w:r>
      <w:r>
        <w:rPr>
          <w:rFonts w:hint="eastAsia"/>
        </w:rPr>
        <w:t xml:space="preserve">的</w:t>
      </w:r>
      <w:r>
        <w:t xml:space="preserve"> 180W </w:t>
      </w:r>
      <w:r>
        <w:rPr>
          <w:rFonts w:hint="eastAsia"/>
        </w:rPr>
        <w:t xml:space="preserve">降至</w:t>
      </w:r>
      <w:r>
        <w:t xml:space="preserve"> </w:t>
      </w:r>
      <w:r>
        <w:rPr>
          <w:rFonts w:hint="eastAsia"/>
        </w:rPr>
        <w:t xml:space="preserve">45W。这一方案为校园场景下的绿色部署与算力复用提供了可行路径。</w:t>
      </w:r>
    </w:p>
    <w:bookmarkStart w:id="26" w:name="验证方式"/>
    <w:p>
      <w:pPr>
        <w:pStyle w:val="Heading3"/>
      </w:pPr>
      <w:r>
        <w:rPr>
          <w:rFonts w:hint="eastAsia"/>
        </w:rPr>
        <w:t xml:space="preserve">验证方式</w:t>
      </w:r>
    </w:p>
    <w:p>
      <w:pPr>
        <w:pStyle w:val="FirstParagraph"/>
      </w:pPr>
      <w:r>
        <w:rPr>
          <w:rFonts w:hint="eastAsia"/>
        </w:rPr>
        <w:t xml:space="preserve">为评估系统在写作辅导任务上的有效性，本研究将构建包含多种写作类型的测试样本集，涵盖文献综述、课程论文、摘要等类型各20至30篇。评估维度包括：写作反馈的准确性（与专家评分的一致性）、建议的可操作性（学生采纳率）、类型识别的正确率，以及学生写作能力的纵向提升程度。同时，将以《电磁场与电磁波》课程典型题型/仿真任务构建小规模任务集，验证工具调用正确率与结果解释一致性，并通过消融实验对比不同组件（类型感知、检索增强、工具调用、个性化档案）的贡献。</w:t>
      </w:r>
    </w:p>
    <w:bookmarkEnd w:id="26"/>
    <w:bookmarkEnd w:id="27"/>
    <w:bookmarkStart w:id="29" w:name="七可行性分析"/>
    <w:p>
      <w:pPr>
        <w:pStyle w:val="Heading2"/>
      </w:pPr>
      <w:r>
        <w:rPr>
          <w:rFonts w:hint="eastAsia"/>
        </w:rPr>
        <w:t xml:space="preserve">七、可行性分析</w:t>
      </w:r>
    </w:p>
    <w:p>
      <w:pPr>
        <w:pStyle w:val="FirstParagraph"/>
      </w:pPr>
      <w:r>
        <w:rPr>
          <w:rFonts w:hint="eastAsia"/>
        </w:rPr>
        <w:t xml:space="preserve">本课题的可行性可从技术、时间、应用三个维度加以分析。</w:t>
      </w:r>
    </w:p>
    <w:p>
      <w:pPr>
        <w:pStyle w:val="BodyText"/>
      </w:pPr>
      <w:r>
        <w:rPr>
          <w:rFonts w:hint="eastAsia"/>
        </w:rPr>
        <w:t xml:space="preserve">在技术可行性方面，本研究所采用的技术栈均已成熟并拥有丰富的社区资源。后端采用的Go语言Gin框架与前端采用的React技术栈均为业界主流选择，具备完善的文档与生态支持。大语言模型服务可通过Qwen等模型的云端API获取，也可在配备GPU的服务器上进行本地部署。自然语言处理相关的文本分析任务可借助成熟的Python库实现。数据库采用MySQL，其稳定性与可靠性已在大规模应用中得到验证。上述技术的选型均经过充分调研，风险可控。</w:t>
      </w:r>
    </w:p>
    <w:p>
      <w:pPr>
        <w:pStyle w:val="BodyText"/>
      </w:pPr>
      <w:r>
        <w:rPr>
          <w:rFonts w:hint="eastAsia"/>
        </w:rPr>
        <w:t xml:space="preserve">在时间可行性方面，本研究采用模块化与迭代式开发策略，将整体目标分解为若干可独立交付的阶段性成果。首先完成核心的学生档案与学习事件记录功能，确保数据收集链路畅通；随后开发写作类型感知的分析服务，实现智能反馈能力；最后进行跨端适配与系统联调。这一开发计划与研究周期相匹配,各阶段成果可独立验证，降低了整体风险。</w:t>
      </w:r>
    </w:p>
    <w:p>
      <w:pPr>
        <w:pStyle w:val="BodyText"/>
      </w:pPr>
      <w:r>
        <w:rPr>
          <w:rFonts w:hint="eastAsia"/>
        </w:rPr>
        <w:t xml:space="preserve">在应用可行性方面，本研究以《学术规范与论文写作》作为主要试点场景，该课程学生规模适中、写作任务类型丰富、教师对智能辅助工具持开放态度，具备良好的落地条件；同时以《电磁场与电磁波》课程模块作为工具型任务的验证场景，便于展示“工具调用</w:t>
      </w:r>
      <w:r>
        <w:t xml:space="preserve"> + </w:t>
      </w:r>
      <w:r>
        <w:rPr>
          <w:rFonts w:hint="eastAsia"/>
        </w:rPr>
        <w:t xml:space="preserve">可视化解释”的能力闭环。系统设计遵循通用化原则，核心的学生追踪与智能分析框架可迁移至其他需要个性化辅导的课程类型，具有推广价值。</w:t>
      </w:r>
    </w:p>
    <w:bookmarkStart w:id="28" w:name="风险与对策"/>
    <w:p>
      <w:pPr>
        <w:pStyle w:val="Heading3"/>
      </w:pPr>
      <w:r>
        <w:rPr>
          <w:rFonts w:hint="eastAsia"/>
        </w:rPr>
        <w:t xml:space="preserve">风险与对策</w:t>
      </w:r>
    </w:p>
    <w:p>
      <w:pPr>
        <w:pStyle w:val="FirstParagraph"/>
      </w:pPr>
      <w:r>
        <w:rPr>
          <w:rFonts w:hint="eastAsia"/>
        </w:rPr>
        <w:t xml:space="preserve">针对大模型可能产生不准确或不恰当建议的风险，系统采取检索增强、结构化输出、教师审核等多重保障措施，并持续积累高质量评估样本用于模型优化。针对学生写作数据的隐私保护，系统遵循最小化采集原则，实施严格的访问控制与数据脱敏策略。针对企业微信环境的接入限制，原型阶段采用平台独立账号体系，预留OAuth接口待条件成熟后对接。</w:t>
      </w:r>
    </w:p>
    <w:bookmarkEnd w:id="28"/>
    <w:bookmarkEnd w:id="29"/>
    <w:bookmarkStart w:id="31" w:name="八近期进展与目标调整说明截至-2026-02-08"/>
    <w:p>
      <w:pPr>
        <w:pStyle w:val="Heading2"/>
      </w:pPr>
      <w:r>
        <w:rPr>
          <w:rFonts w:hint="eastAsia"/>
        </w:rPr>
        <w:t xml:space="preserve">八、近期进展与目标调整说明（截至</w:t>
      </w:r>
      <w:r>
        <w:t xml:space="preserve"> </w:t>
      </w:r>
      <w:r>
        <w:rPr>
          <w:rFonts w:hint="eastAsia"/>
        </w:rPr>
        <w:t xml:space="preserve">2026-02-08）</w:t>
      </w:r>
    </w:p>
    <w:p>
      <w:pPr>
        <w:pStyle w:val="FirstParagraph"/>
      </w:pPr>
      <w:r>
        <w:rPr>
          <w:rFonts w:hint="eastAsia"/>
        </w:rPr>
        <w:t xml:space="preserve">本课题在推进过程中对”试点课程与系统边界”做过收敛与调整：早期方案更偏向单一学科的”知识点答疑</w:t>
      </w:r>
      <w:r>
        <w:t xml:space="preserve"> + </w:t>
      </w:r>
      <w:r>
        <w:rPr>
          <w:rFonts w:hint="eastAsia"/>
        </w:rPr>
        <w:t xml:space="preserve">教学工具”闭环；随着需求调研的深入，课题最终聚焦于”以学生为中心”的长期画像与过程性反馈，并以《学术规范与论文写作》（文本任务）与《电磁场与电磁波》（工具型任务）作为典型验证场景。该调整并不否定其他课程形态的价值，而是将系统抽象为”通用能力</w:t>
      </w:r>
      <w:r>
        <w:t xml:space="preserve"> + </w:t>
      </w:r>
      <w:r>
        <w:rPr>
          <w:rFonts w:hint="eastAsia"/>
        </w:rPr>
        <w:t xml:space="preserve">课程专属模块”的架构，使后续扩展更可控、评估更可落地。</w:t>
      </w:r>
    </w:p>
    <w:p>
      <w:pPr>
        <w:pStyle w:val="BodyText"/>
      </w:pPr>
      <w:r>
        <w:rPr>
          <w:rFonts w:hint="eastAsia"/>
        </w:rPr>
        <w:t xml:space="preserve">在工程实现与训练链路方面，近期已完成以下阶段性工作：</w:t>
      </w:r>
    </w:p>
    <w:p>
      <w:pPr>
        <w:pStyle w:val="Compact"/>
        <w:numPr>
          <w:ilvl w:val="0"/>
          <w:numId w:val="1001"/>
        </w:numPr>
      </w:pPr>
      <w:r>
        <w:rPr>
          <w:rFonts w:hint="eastAsia"/>
          <w:b/>
          <w:bCs/>
        </w:rPr>
        <w:t xml:space="preserve">跨端工程与统一契约</w:t>
      </w:r>
      <w:r>
        <w:rPr>
          <w:rFonts w:hint="eastAsia"/>
        </w:rPr>
        <w:t xml:space="preserve">：在</w:t>
      </w:r>
      <w:r>
        <w:t xml:space="preserve"> </w:t>
      </w:r>
      <w:r>
        <w:rPr>
          <w:rStyle w:val="VerbatimChar"/>
        </w:rPr>
        <w:t xml:space="preserve">code/</w:t>
      </w:r>
      <w:r>
        <w:t xml:space="preserve"> </w:t>
      </w:r>
      <w:r>
        <w:rPr>
          <w:rFonts w:hint="eastAsia"/>
        </w:rPr>
        <w:t xml:space="preserve">下完成</w:t>
      </w:r>
      <w:r>
        <w:t xml:space="preserve"> </w:t>
      </w:r>
      <w:r>
        <w:rPr>
          <w:rFonts w:hint="eastAsia"/>
        </w:rPr>
        <w:t xml:space="preserve">Monorepo（npm</w:t>
      </w:r>
      <w:r>
        <w:t xml:space="preserve"> </w:t>
      </w:r>
      <w:r>
        <w:rPr>
          <w:rFonts w:hint="eastAsia"/>
        </w:rPr>
        <w:t xml:space="preserve">workspaces）与共享包拆分，沉淀共享</w:t>
      </w:r>
      <w:r>
        <w:t xml:space="preserve"> types </w:t>
      </w:r>
      <w:r>
        <w:rPr>
          <w:rFonts w:hint="eastAsia"/>
        </w:rPr>
        <w:t xml:space="preserve">与统一</w:t>
      </w:r>
      <w:r>
        <w:t xml:space="preserve"> </w:t>
      </w:r>
      <w:r>
        <w:rPr>
          <w:rFonts w:hint="eastAsia"/>
        </w:rPr>
        <w:t xml:space="preserve">SDK，使</w:t>
      </w:r>
      <w:r>
        <w:t xml:space="preserve"> Web/Mobile </w:t>
      </w:r>
      <w:r>
        <w:rPr>
          <w:rFonts w:hint="eastAsia"/>
        </w:rPr>
        <w:t xml:space="preserve">共享核心与</w:t>
      </w:r>
      <w:r>
        <w:t xml:space="preserve"> </w:t>
      </w:r>
      <w:r>
        <w:rPr>
          <w:rFonts w:hint="eastAsia"/>
        </w:rPr>
        <w:t xml:space="preserve">API，并在</w:t>
      </w:r>
      <w:r>
        <w:t xml:space="preserve"> UI </w:t>
      </w:r>
      <w:r>
        <w:rPr>
          <w:rFonts w:hint="eastAsia"/>
        </w:rPr>
        <w:t xml:space="preserve">层做平台适配。</w:t>
      </w:r>
    </w:p>
    <w:p>
      <w:pPr>
        <w:pStyle w:val="Compact"/>
        <w:numPr>
          <w:ilvl w:val="0"/>
          <w:numId w:val="1001"/>
        </w:numPr>
      </w:pPr>
      <w:r>
        <w:rPr>
          <w:b/>
          <w:bCs/>
        </w:rPr>
        <w:t xml:space="preserve">AI </w:t>
      </w:r>
      <w:r>
        <w:rPr>
          <w:rFonts w:hint="eastAsia"/>
          <w:b/>
          <w:bCs/>
        </w:rPr>
        <w:t xml:space="preserve">服务能力闭环</w:t>
      </w:r>
      <w:r>
        <w:rPr>
          <w:rFonts w:hint="eastAsia"/>
        </w:rPr>
        <w:t xml:space="preserve">：AI</w:t>
      </w:r>
      <w:r>
        <w:t xml:space="preserve"> </w:t>
      </w:r>
      <w:r>
        <w:rPr>
          <w:rFonts w:hint="eastAsia"/>
        </w:rPr>
        <w:t xml:space="preserve">服务已具备</w:t>
      </w:r>
      <w:r>
        <w:t xml:space="preserve"> OpenAI-compatible </w:t>
      </w:r>
      <w:r>
        <w:rPr>
          <w:rFonts w:hint="eastAsia"/>
        </w:rPr>
        <w:t xml:space="preserve">调用、GraphRAG</w:t>
      </w:r>
      <w:r>
        <w:t xml:space="preserve"> </w:t>
      </w:r>
      <w:r>
        <w:rPr>
          <w:rFonts w:hint="eastAsia"/>
        </w:rPr>
        <w:t xml:space="preserve">检索增强（含混合检索与索引热更新）、工具调用、引导式学习（guided）与写作分析等关键接口；同时输出了部署指南，明确了”本地</w:t>
      </w:r>
      <w:r>
        <w:t xml:space="preserve"> HF </w:t>
      </w:r>
      <w:r>
        <w:rPr>
          <w:rFonts w:hint="eastAsia"/>
        </w:rPr>
        <w:t xml:space="preserve">推理服务</w:t>
      </w:r>
      <w:r>
        <w:t xml:space="preserve"> → AI Service → </w:t>
      </w:r>
      <w:r>
        <w:rPr>
          <w:rFonts w:hint="eastAsia"/>
        </w:rPr>
        <w:t xml:space="preserve">后端业务”的接入方式。</w:t>
      </w:r>
    </w:p>
    <w:p>
      <w:pPr>
        <w:pStyle w:val="Compact"/>
        <w:numPr>
          <w:ilvl w:val="0"/>
          <w:numId w:val="1001"/>
        </w:numPr>
      </w:pPr>
      <w:r>
        <w:rPr>
          <w:rFonts w:hint="eastAsia"/>
          <w:b/>
          <w:bCs/>
        </w:rPr>
        <w:t xml:space="preserve">学术规范向量知识库构建</w:t>
      </w:r>
      <w:r>
        <w:rPr>
          <w:rFonts w:hint="eastAsia"/>
        </w:rPr>
        <w:t xml:space="preserve">：围绕《学术规范与论文写作》完成学术规范与论文写作指南资料的入库流程建设，GraphRAG</w:t>
      </w:r>
      <w:r>
        <w:t xml:space="preserve"> ingestion </w:t>
      </w:r>
      <w:r>
        <w:rPr>
          <w:rFonts w:hint="eastAsia"/>
        </w:rPr>
        <w:t xml:space="preserve">已支持</w:t>
      </w:r>
      <w:r>
        <w:t xml:space="preserve"> </w:t>
      </w:r>
      <w:r>
        <w:rPr>
          <w:rStyle w:val="VerbatimChar"/>
        </w:rPr>
        <w:t xml:space="preserve">.md/.markdown/.pdf/.txt</w:t>
      </w:r>
      <w:r>
        <w:t xml:space="preserve"> </w:t>
      </w:r>
      <w:r>
        <w:rPr>
          <w:rFonts w:hint="eastAsia"/>
        </w:rPr>
        <w:t xml:space="preserve">多源输入；文本按章节/段落进行切分，采用</w:t>
      </w:r>
      <w:r>
        <w:t xml:space="preserve"> </w:t>
      </w:r>
      <w:r>
        <w:rPr>
          <w:rStyle w:val="VerbatimChar"/>
        </w:rPr>
        <w:t xml:space="preserve">--chunk-chars=1200</w:t>
      </w:r>
      <w:r>
        <w:t xml:space="preserve"> </w:t>
      </w:r>
      <w:r>
        <w:rPr>
          <w:rFonts w:hint="eastAsia"/>
        </w:rPr>
        <w:t xml:space="preserve">的默认切片策略生成知识片段；Embedding</w:t>
      </w:r>
      <w:r>
        <w:t xml:space="preserve"> </w:t>
      </w:r>
      <w:r>
        <w:rPr>
          <w:rFonts w:hint="eastAsia"/>
        </w:rPr>
        <w:t xml:space="preserve">链路支持</w:t>
      </w:r>
      <w:r>
        <w:t xml:space="preserve"> </w:t>
      </w:r>
      <w:r>
        <w:rPr>
          <w:rStyle w:val="VerbatimChar"/>
        </w:rPr>
        <w:t xml:space="preserve">api|local|hash|env</w:t>
      </w:r>
      <w:r>
        <w:rPr>
          <w:rFonts w:hint="eastAsia"/>
        </w:rPr>
        <w:t xml:space="preserve">（默认模型</w:t>
      </w:r>
      <w:r>
        <w:t xml:space="preserve"> </w:t>
      </w:r>
      <w:r>
        <w:rPr>
          <w:rStyle w:val="VerbatimChar"/>
        </w:rPr>
        <w:t xml:space="preserve">text-embedding-v3</w:t>
      </w:r>
      <w:r>
        <w:rPr>
          <w:rFonts w:hint="eastAsia"/>
        </w:rPr>
        <w:t xml:space="preserve">）完成向量化；向量数据写入</w:t>
      </w:r>
      <w:r>
        <w:t xml:space="preserve"> </w:t>
      </w:r>
      <w:r>
        <w:rPr>
          <w:rStyle w:val="VerbatimChar"/>
        </w:rPr>
        <w:t xml:space="preserve">FAISS</w:t>
      </w:r>
      <w:r>
        <w:t xml:space="preserve"> </w:t>
      </w:r>
      <w:r>
        <w:rPr>
          <w:rFonts w:hint="eastAsia"/>
        </w:rPr>
        <w:t xml:space="preserve">向量库并与图索引协同检索；在线生成阶段将检索证据片段注入提示词并强制引用编号，实现“有证据再生成”的约束，从而有效缓解课程场景下的幻觉与领域知识缺失问题。</w:t>
      </w:r>
    </w:p>
    <w:p>
      <w:pPr>
        <w:pStyle w:val="Compact"/>
        <w:numPr>
          <w:ilvl w:val="0"/>
          <w:numId w:val="1001"/>
        </w:numPr>
      </w:pPr>
      <w:r>
        <w:rPr>
          <w:rFonts w:hint="eastAsia"/>
          <w:b/>
          <w:bCs/>
        </w:rPr>
        <w:t xml:space="preserve">训练与评测管线落地</w:t>
      </w:r>
      <w:r>
        <w:rPr>
          <w:rFonts w:hint="eastAsia"/>
        </w:rPr>
        <w:t xml:space="preserve">：提供写作/对话数据规范、数据准备脚本、LoRA/QLoRA</w:t>
      </w:r>
      <w:r>
        <w:t xml:space="preserve"> </w:t>
      </w:r>
      <w:r>
        <w:rPr>
          <w:rFonts w:hint="eastAsia"/>
        </w:rPr>
        <w:t xml:space="preserve">训练脚本与评测脚本；并补齐”数据蒸馏</w:t>
      </w:r>
      <w:r>
        <w:t xml:space="preserve"> + smoke </w:t>
      </w:r>
      <w:r>
        <w:rPr>
          <w:rFonts w:hint="eastAsia"/>
        </w:rPr>
        <w:t xml:space="preserve">链路验证”，支持将</w:t>
      </w:r>
      <w:r>
        <w:t xml:space="preserve"> chat-style </w:t>
      </w:r>
      <w:r>
        <w:rPr>
          <w:rFonts w:hint="eastAsia"/>
        </w:rPr>
        <w:t xml:space="preserve">样例数据蒸馏为</w:t>
      </w:r>
      <w:r>
        <w:t xml:space="preserve"> prompt/response </w:t>
      </w:r>
      <w:r>
        <w:rPr>
          <w:rFonts w:hint="eastAsia"/>
        </w:rPr>
        <w:t xml:space="preserve">并输出困惑度等轻量指标，用于训练前的快速自检与回归对比。</w:t>
      </w:r>
    </w:p>
    <w:p>
      <w:pPr>
        <w:pStyle w:val="Compact"/>
        <w:numPr>
          <w:ilvl w:val="0"/>
          <w:numId w:val="1001"/>
        </w:numPr>
      </w:pPr>
      <w:r>
        <w:rPr>
          <w:rFonts w:hint="eastAsia"/>
          <w:b/>
          <w:bCs/>
        </w:rPr>
        <w:t xml:space="preserve">《学术规范与论文写作》向量知识库构建</w:t>
      </w:r>
      <w:r>
        <w:rPr>
          <w:rFonts w:hint="eastAsia"/>
        </w:rPr>
        <w:t xml:space="preserve">：针对研究生写作课程中“领域知识缺失”与“引用不规范”的问题，完成了基于</w:t>
      </w:r>
      <w:r>
        <w:t xml:space="preserve"> Embedding </w:t>
      </w:r>
      <w:r>
        <w:rPr>
          <w:rFonts w:hint="eastAsia"/>
        </w:rPr>
        <w:t xml:space="preserve">技术的向量知识库构建。该工作将课程讲义、学术规范手册与优秀范文片段进行结构化清洗与分块（Chunking），采用</w:t>
      </w:r>
      <w:r>
        <w:t xml:space="preserve"> </w:t>
      </w:r>
      <w:r>
        <w:rPr>
          <w:rStyle w:val="VerbatimChar"/>
        </w:rPr>
        <w:t xml:space="preserve">text-embedding-v3</w:t>
      </w:r>
      <w:r>
        <w:t xml:space="preserve"> </w:t>
      </w:r>
      <w:r>
        <w:rPr>
          <w:rFonts w:hint="eastAsia"/>
        </w:rPr>
        <w:t xml:space="preserve">模型将文本转化为高维向量并存入向量数据库。通过</w:t>
      </w:r>
      <w:r>
        <w:t xml:space="preserve"> GraphRAG </w:t>
      </w:r>
      <w:r>
        <w:rPr>
          <w:rFonts w:hint="eastAsia"/>
        </w:rPr>
        <w:t xml:space="preserve">检索增强技术，当学生咨询写作规范或格式问题时，系统能够通过向量相似度检索到最相关的规范条款或范文片段，作为证据注入大模型上下文。这一“检索—生成”过程不仅解决了大模型的幻觉问题，更模拟了解决学术问题的真实过程：即“查阅规范—理解要求—应用执行”的完整闭环，显著提升了反馈的专业性与可信度。</w:t>
      </w:r>
    </w:p>
    <w:p>
      <w:pPr>
        <w:pStyle w:val="Compact"/>
        <w:numPr>
          <w:ilvl w:val="0"/>
          <w:numId w:val="1001"/>
        </w:numPr>
      </w:pPr>
      <w:r>
        <w:rPr>
          <w:rFonts w:hint="eastAsia"/>
          <w:b/>
          <w:bCs/>
        </w:rPr>
        <w:t xml:space="preserve">论文撰写进展（2026-02-08</w:t>
      </w:r>
      <w:r>
        <w:rPr>
          <w:b/>
          <w:bCs/>
        </w:rPr>
        <w:t xml:space="preserve"> </w:t>
      </w:r>
      <w:r>
        <w:rPr>
          <w:rFonts w:hint="eastAsia"/>
          <w:b/>
          <w:bCs/>
        </w:rPr>
        <w:t xml:space="preserve">更新）</w:t>
      </w:r>
      <w:r>
        <w:rPr>
          <w:rFonts w:hint="eastAsia"/>
        </w:rPr>
        <w:t xml:space="preserve">：</w:t>
      </w:r>
    </w:p>
    <w:p>
      <w:pPr>
        <w:pStyle w:val="Compact"/>
        <w:numPr>
          <w:ilvl w:val="1"/>
          <w:numId w:val="1002"/>
        </w:numPr>
      </w:pPr>
      <w:r>
        <w:rPr>
          <w:rFonts w:hint="eastAsia"/>
        </w:rPr>
        <w:t xml:space="preserve">论文主体六章结构已完成，第1-4章内容充实</w:t>
      </w:r>
    </w:p>
    <w:p>
      <w:pPr>
        <w:pStyle w:val="Compact"/>
        <w:numPr>
          <w:ilvl w:val="1"/>
          <w:numId w:val="1002"/>
        </w:numPr>
      </w:pPr>
      <w:r>
        <w:rPr>
          <w:rFonts w:hint="eastAsia"/>
        </w:rPr>
        <w:t xml:space="preserve">第5章（测试与评估）已扩展具体测试用例、性能数据、离线评测指标与示例场景案例分析</w:t>
      </w:r>
    </w:p>
    <w:p>
      <w:pPr>
        <w:pStyle w:val="Compact"/>
        <w:numPr>
          <w:ilvl w:val="1"/>
          <w:numId w:val="1002"/>
        </w:numPr>
      </w:pPr>
      <w:r>
        <w:rPr>
          <w:rFonts w:hint="eastAsia"/>
        </w:rPr>
        <w:t xml:space="preserve">总结与展望章节已扩展创新点归纳与详细的未来工作规划</w:t>
      </w:r>
    </w:p>
    <w:p>
      <w:pPr>
        <w:pStyle w:val="Compact"/>
        <w:numPr>
          <w:ilvl w:val="1"/>
          <w:numId w:val="1002"/>
        </w:numPr>
      </w:pPr>
      <w:r>
        <w:rPr>
          <w:rFonts w:hint="eastAsia"/>
        </w:rPr>
        <w:t xml:space="preserve">附录已补充系统接口说明、关键代码片段与部署指南</w:t>
      </w:r>
    </w:p>
    <w:p>
      <w:pPr>
        <w:pStyle w:val="Compact"/>
        <w:numPr>
          <w:ilvl w:val="1"/>
          <w:numId w:val="1002"/>
        </w:numPr>
      </w:pPr>
      <w:r>
        <w:rPr>
          <w:rFonts w:hint="eastAsia"/>
        </w:rPr>
        <w:t xml:space="preserve">参考文献已补充至17篇关键论文（含ReAct、Toolformer、MemGPT、DPO、GraphRAG等）</w:t>
      </w:r>
    </w:p>
    <w:bookmarkStart w:id="30" w:name="训练结果同步阶段性验证"/>
    <w:p>
      <w:pPr>
        <w:pStyle w:val="Heading3"/>
      </w:pPr>
      <w:r>
        <w:t xml:space="preserve">2026-02-08 </w:t>
      </w:r>
      <w:r>
        <w:rPr>
          <w:rFonts w:hint="eastAsia"/>
        </w:rPr>
        <w:t xml:space="preserve">训练结果同步（阶段性验证）</w:t>
      </w:r>
    </w:p>
    <w:p>
      <w:pPr>
        <w:pStyle w:val="FirstParagraph"/>
      </w:pPr>
      <w:r>
        <w:rPr>
          <w:rFonts w:hint="eastAsia"/>
        </w:rPr>
        <w:t xml:space="preserve">为将训练链路结果同步到论文与开题文档，项目在</w:t>
      </w:r>
      <w:r>
        <w:t xml:space="preserve"> 2026-02-08 </w:t>
      </w:r>
      <w:r>
        <w:rPr>
          <w:rFonts w:hint="eastAsia"/>
        </w:rPr>
        <w:t xml:space="preserve">完成了“首次</w:t>
      </w:r>
      <w:r>
        <w:t xml:space="preserve"> all </w:t>
      </w:r>
      <w:r>
        <w:rPr>
          <w:rFonts w:hint="eastAsia"/>
        </w:rPr>
        <w:t xml:space="preserve">训练</w:t>
      </w:r>
      <w:r>
        <w:t xml:space="preserve"> + </w:t>
      </w:r>
      <w:r>
        <w:rPr>
          <w:rFonts w:hint="eastAsia"/>
        </w:rPr>
        <w:t xml:space="preserve">随机三组回归”两类验证。该批结果用于证明训练、评测与文档同步链路可复现，不作为最终正式实验结论。</w:t>
      </w:r>
    </w:p>
    <w:p>
      <w:pPr>
        <w:pStyle w:val="BodyText"/>
      </w:pPr>
      <w:r>
        <w:rPr>
          <w:rFonts w:hint="eastAsia"/>
        </w:rPr>
        <w:t xml:space="preserve">首次</w:t>
      </w:r>
      <w:r>
        <w:t xml:space="preserve"> </w:t>
      </w:r>
      <w:r>
        <w:rPr>
          <w:rStyle w:val="VerbatimChar"/>
        </w:rPr>
        <w:t xml:space="preserve">all</w:t>
      </w:r>
      <w:r>
        <w:t xml:space="preserve"> </w:t>
      </w:r>
      <w:r>
        <w:rPr>
          <w:rFonts w:hint="eastAsia"/>
        </w:rPr>
        <w:t xml:space="preserve">训练（样本数</w:t>
      </w:r>
      <w:r>
        <w:t xml:space="preserve"> </w:t>
      </w:r>
      <w:r>
        <w:rPr>
          <w:rStyle w:val="VerbatimChar"/>
        </w:rPr>
        <w:t xml:space="preserve">n=5</w:t>
      </w:r>
      <w:r>
        <w:rPr>
          <w:rFonts w:hint="eastAsia"/>
        </w:rPr>
        <w:t xml:space="preserve">）结果如下：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t xml:space="preserve">key_point_coverage</w:t>
            </w:r>
          </w:p>
        </w:tc>
        <w:tc>
          <w:tcPr/>
          <w:p>
            <w:pPr>
              <w:pStyle w:val="Compact"/>
            </w:pPr>
            <w:r>
              <w:t xml:space="preserve">0.9167</w:t>
            </w:r>
          </w:p>
        </w:tc>
      </w:tr>
      <w:tr>
        <w:tc>
          <w:tcPr/>
          <w:p>
            <w:pPr>
              <w:pStyle w:val="Compact"/>
            </w:pPr>
            <w:r>
              <w:t xml:space="preserve">refusal_accuracy</w:t>
            </w:r>
          </w:p>
        </w:tc>
        <w:tc>
          <w:tcPr/>
          <w:p>
            <w:pPr>
              <w:pStyle w:val="Compact"/>
            </w:pPr>
            <w:r>
              <w:t xml:space="preserve">0.8000</w:t>
            </w:r>
          </w:p>
        </w:tc>
      </w:tr>
      <w:tr>
        <w:tc>
          <w:tcPr/>
          <w:p>
            <w:pPr>
              <w:pStyle w:val="Compact"/>
            </w:pPr>
            <w:r>
              <w:t xml:space="preserve">response_format</w:t>
            </w:r>
          </w:p>
        </w:tc>
        <w:tc>
          <w:tcPr/>
          <w:p>
            <w:pPr>
              <w:pStyle w:val="Compact"/>
            </w:pPr>
            <w:r>
              <w:t xml:space="preserve">1.0000</w:t>
            </w:r>
          </w:p>
        </w:tc>
      </w:tr>
      <w:tr>
        <w:tc>
          <w:tcPr/>
          <w:p>
            <w:pPr>
              <w:pStyle w:val="Compact"/>
            </w:pPr>
            <w:r>
              <w:t xml:space="preserve">tool_call_accuracy</w:t>
            </w:r>
          </w:p>
        </w:tc>
        <w:tc>
          <w:tcPr/>
          <w:p>
            <w:pPr>
              <w:pStyle w:val="Compact"/>
            </w:pPr>
            <w:r>
              <w:t xml:space="preserve">0.0000</w:t>
            </w:r>
          </w:p>
        </w:tc>
      </w:tr>
    </w:tbl>
    <w:p>
      <w:pPr>
        <w:pStyle w:val="BodyText"/>
      </w:pPr>
      <w:r>
        <w:rPr>
          <w:rFonts w:hint="eastAsia"/>
        </w:rPr>
        <w:t xml:space="preserve">随机三组回归（每组</w:t>
      </w:r>
      <w:r>
        <w:t xml:space="preserve"> </w:t>
      </w:r>
      <w:r>
        <w:rPr>
          <w:rStyle w:val="VerbatimChar"/>
        </w:rPr>
        <w:t xml:space="preserve">n=6</w:t>
      </w:r>
      <w:r>
        <w:rPr>
          <w:rFonts w:hint="eastAsia"/>
        </w:rPr>
        <w:t xml:space="preserve">，共</w:t>
      </w:r>
      <w:r>
        <w:t xml:space="preserve"> 3 </w:t>
      </w:r>
      <w:r>
        <w:rPr>
          <w:rFonts w:hint="eastAsia"/>
        </w:rPr>
        <w:t xml:space="preserve">组）的平均结果如下：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平均值</w:t>
            </w:r>
          </w:p>
        </w:tc>
      </w:tr>
      <w:tr>
        <w:tc>
          <w:tcPr/>
          <w:p>
            <w:pPr>
              <w:pStyle w:val="Compact"/>
            </w:pPr>
            <w:r>
              <w:t xml:space="preserve">key_point_coverage</w:t>
            </w:r>
          </w:p>
        </w:tc>
        <w:tc>
          <w:tcPr/>
          <w:p>
            <w:pPr>
              <w:pStyle w:val="Compact"/>
            </w:pPr>
            <w:r>
              <w:t xml:space="preserve">0.7333</w:t>
            </w:r>
          </w:p>
        </w:tc>
      </w:tr>
      <w:tr>
        <w:tc>
          <w:tcPr/>
          <w:p>
            <w:pPr>
              <w:pStyle w:val="Compact"/>
            </w:pPr>
            <w:r>
              <w:t xml:space="preserve">refusal_accuracy</w:t>
            </w:r>
          </w:p>
        </w:tc>
        <w:tc>
          <w:tcPr/>
          <w:p>
            <w:pPr>
              <w:pStyle w:val="Compact"/>
            </w:pPr>
            <w:r>
              <w:t xml:space="preserve">0.7778</w:t>
            </w:r>
          </w:p>
        </w:tc>
      </w:tr>
      <w:tr>
        <w:tc>
          <w:tcPr/>
          <w:p>
            <w:pPr>
              <w:pStyle w:val="Compact"/>
            </w:pPr>
            <w:r>
              <w:t xml:space="preserve">response_format</w:t>
            </w:r>
          </w:p>
        </w:tc>
        <w:tc>
          <w:tcPr/>
          <w:p>
            <w:pPr>
              <w:pStyle w:val="Compact"/>
            </w:pPr>
            <w:r>
              <w:t xml:space="preserve">0.8333</w:t>
            </w:r>
          </w:p>
        </w:tc>
      </w:tr>
      <w:tr>
        <w:tc>
          <w:tcPr/>
          <w:p>
            <w:pPr>
              <w:pStyle w:val="Compact"/>
            </w:pPr>
            <w:r>
              <w:t xml:space="preserve">tool_call_accuracy</w:t>
            </w:r>
          </w:p>
        </w:tc>
        <w:tc>
          <w:tcPr/>
          <w:p>
            <w:pPr>
              <w:pStyle w:val="Compact"/>
            </w:pPr>
            <w:r>
              <w:t xml:space="preserve">0.0000</w:t>
            </w:r>
          </w:p>
        </w:tc>
      </w:tr>
    </w:tbl>
    <w:p>
      <w:pPr>
        <w:pStyle w:val="BodyText"/>
      </w:pPr>
      <w:r>
        <w:rPr>
          <w:rFonts w:hint="eastAsia"/>
        </w:rPr>
        <w:t xml:space="preserve">限制说明：首次</w:t>
      </w:r>
      <w:r>
        <w:t xml:space="preserve"> all </w:t>
      </w:r>
      <w:r>
        <w:rPr>
          <w:rFonts w:hint="eastAsia"/>
        </w:rPr>
        <w:t xml:space="preserve">与随机三组均为阶段性验证数据，尤其随机三组为合成随机样本，结论不能替代真实</w:t>
      </w:r>
      <w:r>
        <w:t xml:space="preserve"> </w:t>
      </w:r>
      <w:r>
        <w:rPr>
          <w:rStyle w:val="VerbatimChar"/>
        </w:rPr>
        <w:t xml:space="preserve">style/tool/rag</w:t>
      </w:r>
      <w:r>
        <w:t xml:space="preserve"> </w:t>
      </w:r>
      <w:r>
        <w:rPr>
          <w:rFonts w:hint="eastAsia"/>
        </w:rPr>
        <w:t xml:space="preserve">数据上的正式实验评估。</w:t>
      </w:r>
    </w:p>
    <w:p>
      <w:pPr>
        <w:pStyle w:val="BodyText"/>
      </w:pPr>
      <w:r>
        <w:rPr>
          <w:rFonts w:hint="eastAsia"/>
        </w:rPr>
        <w:t xml:space="preserve">上述进展意味着：系统架构、训练管线与论文框架已具备可交付的工程基础，后续工作的重点将转向”高质量数据的收集与标注”</w:t>
      </w:r>
      <w:r>
        <w:rPr>
          <w:rFonts w:hint="eastAsia"/>
        </w:rPr>
        <w:t xml:space="preserve">“稳定的回归评测体系”</w:t>
      </w:r>
      <w:r>
        <w:rPr>
          <w:rFonts w:hint="eastAsia"/>
        </w:rPr>
        <w:t xml:space="preserve">“写作课场景下的端到端效果验证”</w:t>
      </w:r>
      <w:r>
        <w:rPr>
          <w:rFonts w:hint="eastAsia"/>
        </w:rPr>
        <w:t xml:space="preserve">以及论文的最终打磨与答辩准备。</w:t>
      </w:r>
    </w:p>
    <w:bookmarkEnd w:id="30"/>
    <w:bookmarkEnd w:id="31"/>
    <w:bookmarkStart w:id="32" w:name="九研究进度安排"/>
    <w:p>
      <w:pPr>
        <w:pStyle w:val="Heading2"/>
      </w:pPr>
      <w:r>
        <w:rPr>
          <w:rFonts w:hint="eastAsia"/>
        </w:rPr>
        <w:t xml:space="preserve">九、研究进度安排</w:t>
      </w:r>
    </w:p>
    <w:p>
      <w:pPr>
        <w:pStyle w:val="FirstParagraph"/>
      </w:pPr>
      <w:r>
        <w:rPr>
          <w:rFonts w:hint="eastAsia"/>
        </w:rPr>
        <w:t xml:space="preserve">本研究计划分为六个阶段，总计十五周完成。</w:t>
      </w:r>
    </w:p>
    <w:p>
      <w:pPr>
        <w:pStyle w:val="BodyText"/>
      </w:pPr>
      <w:r>
        <w:rPr>
          <w:rFonts w:hint="eastAsia"/>
        </w:rPr>
        <w:t xml:space="preserve">第一阶段为需求分析与架构设计阶段（</w:t>
      </w:r>
      <w:r>
        <w:rPr>
          <w:rFonts w:hint="eastAsia"/>
          <w:b/>
          <w:bCs/>
        </w:rPr>
        <w:t xml:space="preserve">已完成</w:t>
      </w:r>
      <w:r>
        <w:rPr>
          <w:rFonts w:hint="eastAsia"/>
        </w:rPr>
        <w:t xml:space="preserve">）。主要任务包括调研《学术规范与论文写作》课程的教学需求与痛点，明确写作类型分类与评估维度；完成总体架构与数据库模型设计；明确”通用能力</w:t>
      </w:r>
      <w:r>
        <w:t xml:space="preserve"> + </w:t>
      </w:r>
      <w:r>
        <w:rPr>
          <w:rFonts w:hint="eastAsia"/>
        </w:rPr>
        <w:t xml:space="preserve">课程模块”的功能门控方案；完成核心页面原型并与指导教师确认。</w:t>
      </w:r>
    </w:p>
    <w:p>
      <w:pPr>
        <w:pStyle w:val="BodyText"/>
      </w:pPr>
      <w:r>
        <w:rPr>
          <w:rFonts w:hint="eastAsia"/>
        </w:rPr>
        <w:t xml:space="preserve">第二阶段为基础功能开发阶段（</w:t>
      </w:r>
      <w:r>
        <w:rPr>
          <w:rFonts w:hint="eastAsia"/>
          <w:b/>
          <w:bCs/>
        </w:rPr>
        <w:t xml:space="preserve">已完成</w:t>
      </w:r>
      <w:r>
        <w:rPr>
          <w:rFonts w:hint="eastAsia"/>
        </w:rPr>
        <w:t xml:space="preserve">）。主要任务包括完善后端核心业务模块（用户、课程、写作提交、学习档案、学习事件记录）与权限校验；完善</w:t>
      </w:r>
      <w:r>
        <w:t xml:space="preserve"> Web/Mobile </w:t>
      </w:r>
      <w:r>
        <w:rPr>
          <w:rFonts w:hint="eastAsia"/>
        </w:rPr>
        <w:t xml:space="preserve">的关键页面与交互；完成数据库迁移与基础</w:t>
      </w:r>
      <w:r>
        <w:t xml:space="preserve"> API </w:t>
      </w:r>
      <w:r>
        <w:rPr>
          <w:rFonts w:hint="eastAsia"/>
        </w:rPr>
        <w:t xml:space="preserve">联调，并把共享</w:t>
      </w:r>
      <w:r>
        <w:t xml:space="preserve"> types/SDK </w:t>
      </w:r>
      <w:r>
        <w:rPr>
          <w:rFonts w:hint="eastAsia"/>
        </w:rPr>
        <w:t xml:space="preserve">覆盖到主要调用链路。</w:t>
      </w:r>
    </w:p>
    <w:p>
      <w:pPr>
        <w:pStyle w:val="BodyText"/>
      </w:pPr>
      <w:r>
        <w:rPr>
          <w:rFonts w:hint="eastAsia"/>
        </w:rPr>
        <w:t xml:space="preserve">第三阶段为智能分析与知识库阶段（</w:t>
      </w:r>
      <w:r>
        <w:rPr>
          <w:rFonts w:hint="eastAsia"/>
          <w:b/>
          <w:bCs/>
        </w:rPr>
        <w:t xml:space="preserve">已完成</w:t>
      </w:r>
      <w:r>
        <w:rPr>
          <w:rFonts w:hint="eastAsia"/>
        </w:rPr>
        <w:t xml:space="preserve">）。主要任务包括：完善写作类型识别与多维度评估（rubric）框架；构建学术写作知识库（讲义、规范、范文片段、常见错误库）并集成</w:t>
      </w:r>
      <w:r>
        <w:t xml:space="preserve"> </w:t>
      </w:r>
      <w:r>
        <w:rPr>
          <w:rFonts w:hint="eastAsia"/>
        </w:rPr>
        <w:t xml:space="preserve">GraphRAG；补齐”证据不足时追问/拒答”</w:t>
      </w:r>
      <w:r>
        <w:rPr>
          <w:rFonts w:hint="eastAsia"/>
        </w:rPr>
        <w:t xml:space="preserve">“引用一致性”</w:t>
      </w:r>
      <w:r>
        <w:rPr>
          <w:rFonts w:hint="eastAsia"/>
        </w:rPr>
        <w:t xml:space="preserve">等质量控制策略；完成</w:t>
      </w:r>
      <w:r>
        <w:t xml:space="preserve"> AI </w:t>
      </w:r>
      <w:r>
        <w:rPr>
          <w:rFonts w:hint="eastAsia"/>
        </w:rPr>
        <w:t xml:space="preserve">服务与后端的端到端流程联调（提交→分析→反馈→复核）。</w:t>
      </w:r>
    </w:p>
    <w:p>
      <w:pPr>
        <w:pStyle w:val="BodyText"/>
      </w:pPr>
      <w:r>
        <w:rPr>
          <w:rFonts w:hint="eastAsia"/>
        </w:rPr>
        <w:t xml:space="preserve">第四阶段为模型训练与对齐阶段（</w:t>
      </w:r>
      <w:r>
        <w:rPr>
          <w:rFonts w:hint="eastAsia"/>
          <w:b/>
          <w:bCs/>
        </w:rPr>
        <w:t xml:space="preserve">进行中</w:t>
      </w:r>
      <w:r>
        <w:rPr>
          <w:rFonts w:hint="eastAsia"/>
        </w:rPr>
        <w:t xml:space="preserve">）。主要任务包括：围绕</w:t>
      </w:r>
      <w:r>
        <w:t xml:space="preserve"> tool/rag/style </w:t>
      </w:r>
      <w:r>
        <w:rPr>
          <w:rFonts w:hint="eastAsia"/>
        </w:rPr>
        <w:t xml:space="preserve">三类能力构建训练集与固定回归集；采用</w:t>
      </w:r>
      <w:r>
        <w:t xml:space="preserve"> LoRA/QLoRA </w:t>
      </w:r>
      <w:r>
        <w:rPr>
          <w:rFonts w:hint="eastAsia"/>
        </w:rPr>
        <w:t xml:space="preserve">在</w:t>
      </w:r>
      <w:r>
        <w:t xml:space="preserve"> Qwen </w:t>
      </w:r>
      <w:r>
        <w:rPr>
          <w:rFonts w:hint="eastAsia"/>
        </w:rPr>
        <w:t xml:space="preserve">系列模型上进行分阶段训练与多任务合并训练；通过离线评测与案例分析迭代数据与提示策略，形成可部署的</w:t>
      </w:r>
      <w:r>
        <w:t xml:space="preserve"> adapter </w:t>
      </w:r>
      <w:r>
        <w:rPr>
          <w:rFonts w:hint="eastAsia"/>
        </w:rPr>
        <w:t xml:space="preserve">版本。截至</w:t>
      </w:r>
      <w:r>
        <w:t xml:space="preserve"> </w:t>
      </w:r>
      <w:r>
        <w:rPr>
          <w:rFonts w:hint="eastAsia"/>
        </w:rPr>
        <w:t xml:space="preserve">2026-02-08，已完成首次</w:t>
      </w:r>
      <w:r>
        <w:t xml:space="preserve"> all </w:t>
      </w:r>
      <w:r>
        <w:rPr>
          <w:rFonts w:hint="eastAsia"/>
        </w:rPr>
        <w:t xml:space="preserve">训练与随机三组回归的阶段性验证，下一步将切换至真实数据集开展正式实验。</w:t>
      </w:r>
    </w:p>
    <w:p>
      <w:pPr>
        <w:pStyle w:val="BodyText"/>
      </w:pPr>
      <w:r>
        <w:rPr>
          <w:rFonts w:hint="eastAsia"/>
        </w:rPr>
        <w:t xml:space="preserve">第五阶段为测试与优化阶段（</w:t>
      </w:r>
      <w:r>
        <w:rPr>
          <w:rFonts w:hint="eastAsia"/>
          <w:b/>
          <w:bCs/>
        </w:rPr>
        <w:t xml:space="preserve">进行中</w:t>
      </w:r>
      <w:r>
        <w:rPr>
          <w:rFonts w:hint="eastAsia"/>
        </w:rPr>
        <w:t xml:space="preserve">）。主要任务包括构建覆盖多写作类型的测试样本集与人工评测流程；执行功能测试、性能测试与安全检查；根据测试结果进行针对性优化；准备系统演示脚本与典型案例。该阶段将以真实数据训练版本为对象，替代当前阶段性验证结果，形成可用于论文主结论的正式评测数据。</w:t>
      </w:r>
    </w:p>
    <w:p>
      <w:pPr>
        <w:pStyle w:val="BodyText"/>
      </w:pPr>
      <w:r>
        <w:rPr>
          <w:rFonts w:hint="eastAsia"/>
        </w:rPr>
        <w:t xml:space="preserve">第六阶段为论文撰写与答辩准备阶段（</w:t>
      </w:r>
      <w:r>
        <w:rPr>
          <w:rFonts w:hint="eastAsia"/>
          <w:b/>
          <w:bCs/>
        </w:rPr>
        <w:t xml:space="preserve">进行中</w:t>
      </w:r>
      <w:r>
        <w:rPr>
          <w:rFonts w:hint="eastAsia"/>
        </w:rPr>
        <w:t xml:space="preserve">）。主要任务包括撰写毕业论文各章节，整理系统文档与用户手册，完善项目演示材料，完成答辩</w:t>
      </w:r>
      <w:r>
        <w:t xml:space="preserve"> PPT </w:t>
      </w:r>
      <w:r>
        <w:rPr>
          <w:rFonts w:hint="eastAsia"/>
        </w:rPr>
        <w:t xml:space="preserve">与现场演示准备。论文主体结构已完成，正在进行最终打磨。</w:t>
      </w:r>
    </w:p>
    <w:bookmarkEnd w:id="32"/>
    <w:bookmarkStart w:id="33" w:name="十预期成果与验收指标"/>
    <w:p>
      <w:pPr>
        <w:pStyle w:val="Heading2"/>
      </w:pPr>
      <w:r>
        <w:rPr>
          <w:rFonts w:hint="eastAsia"/>
        </w:rPr>
        <w:t xml:space="preserve">十、预期成果与验收指标</w:t>
      </w:r>
    </w:p>
    <w:p>
      <w:pPr>
        <w:pStyle w:val="FirstParagraph"/>
      </w:pPr>
      <w:r>
        <w:rPr>
          <w:rFonts w:hint="eastAsia"/>
        </w:rPr>
        <w:t xml:space="preserve">本研究预期产出以下成果：</w:t>
      </w:r>
    </w:p>
    <w:p>
      <w:pPr>
        <w:pStyle w:val="BodyText"/>
      </w:pPr>
      <w:r>
        <w:rPr>
          <w:rFonts w:hint="eastAsia"/>
        </w:rPr>
        <w:t xml:space="preserve">在系统实现层面，预期交付可运行的智能教学平台原型系统，包括Web前端、移动端应用、后端业务服务、AI服务与课程工具服务等组件。系统部署于服务器或本地开发环境，支持完整的学习流程演示。</w:t>
      </w:r>
    </w:p>
    <w:p>
      <w:pPr>
        <w:pStyle w:val="BodyText"/>
      </w:pPr>
      <w:r>
        <w:rPr>
          <w:rFonts w:hint="eastAsia"/>
        </w:rPr>
        <w:t xml:space="preserve">在功能验证层面，预期实现并演示以下核心功能：学生学习档案的创建、更新与跨课程聚合；不同写作类型（文献综述、课程论文、学位论文、摘要）的识别与差异化评估；基于学生历史表现的个性化写作反馈生成；工具调用驱动的课程专属能力（以《电磁场与电磁波》课程中的电磁场仿真/数值计算任务为例）与结果解读；Web端与移动端的功能对等体验。</w:t>
      </w:r>
    </w:p>
    <w:p>
      <w:pPr>
        <w:pStyle w:val="BodyText"/>
      </w:pPr>
      <w:r>
        <w:rPr>
          <w:rFonts w:hint="eastAsia"/>
        </w:rPr>
        <w:t xml:space="preserve">在训练数据与模型交付层面，预期形成约10万条规模的训练样本（覆盖</w:t>
      </w:r>
      <w:r>
        <w:t xml:space="preserve"> tool/rag/style </w:t>
      </w:r>
      <w:r>
        <w:rPr>
          <w:rFonts w:hint="eastAsia"/>
        </w:rPr>
        <w:t xml:space="preserve">三类能力），并建立200至500条固定回归集用于版本迭代对比；最终产出至少1个可部署的</w:t>
      </w:r>
      <w:r>
        <w:t xml:space="preserve"> LoRA/QLoRA adapter </w:t>
      </w:r>
      <w:r>
        <w:rPr>
          <w:rFonts w:hint="eastAsia"/>
        </w:rPr>
        <w:t xml:space="preserve">版本与对应评测报告。当前已完成首次</w:t>
      </w:r>
      <w:r>
        <w:t xml:space="preserve"> all </w:t>
      </w:r>
      <w:r>
        <w:rPr>
          <w:rFonts w:hint="eastAsia"/>
        </w:rPr>
        <w:t xml:space="preserve">训练与随机三组回归的阶段性链路验证，后续将补齐真实数据上的正式训练与评测结果。</w:t>
      </w:r>
    </w:p>
    <w:p>
      <w:pPr>
        <w:pStyle w:val="BodyText"/>
      </w:pPr>
      <w:r>
        <w:rPr>
          <w:rFonts w:hint="eastAsia"/>
        </w:rPr>
        <w:t xml:space="preserve">在评估验证层面，预期构建包含60至100篇写作样本的测试集，覆盖四种主要写作类型。评估指标包括：写作类型识别准确率、AI反馈与专家评分的一致性、系统响应时间等。</w:t>
      </w:r>
    </w:p>
    <w:p>
      <w:pPr>
        <w:pStyle w:val="BodyText"/>
      </w:pPr>
      <w:r>
        <w:rPr>
          <w:rFonts w:hint="eastAsia"/>
        </w:rPr>
        <w:t xml:space="preserve">在文档交付层面，预期产出完整的系统设计文档、API接口文档、部署说明、用户使用手册以及毕业论文与答辩材料。</w:t>
      </w:r>
    </w:p>
    <w:bookmarkEnd w:id="33"/>
    <w:bookmarkStart w:id="34" w:name="十一参考文献"/>
    <w:p>
      <w:pPr>
        <w:pStyle w:val="Heading2"/>
      </w:pPr>
      <w:r>
        <w:rPr>
          <w:rFonts w:hint="eastAsia"/>
        </w:rPr>
        <w:t xml:space="preserve">十一、参考文献</w:t>
      </w:r>
    </w:p>
    <w:p>
      <w:pPr>
        <w:pStyle w:val="Compact"/>
        <w:numPr>
          <w:ilvl w:val="0"/>
          <w:numId w:val="1003"/>
        </w:numPr>
      </w:pPr>
      <w:r>
        <w:t xml:space="preserve">Swales, J. M., &amp; Feak, C. B.</w:t>
      </w:r>
      <w:r>
        <w:t xml:space="preserve"> </w:t>
      </w:r>
      <w:r>
        <w:rPr>
          <w:i/>
          <w:iCs/>
        </w:rPr>
        <w:t xml:space="preserve">Academic Writing for Graduate Students</w:t>
      </w:r>
      <w:r>
        <w:t xml:space="preserve">. University of Michigan Press, 2012.</w:t>
      </w:r>
    </w:p>
    <w:p>
      <w:pPr>
        <w:pStyle w:val="Compact"/>
        <w:numPr>
          <w:ilvl w:val="0"/>
          <w:numId w:val="1003"/>
        </w:numPr>
      </w:pPr>
      <w:r>
        <w:t xml:space="preserve">Flower, L., &amp; Hayes, J. R.</w:t>
      </w:r>
      <w:r>
        <w:t xml:space="preserve"> </w:t>
      </w:r>
      <w:r>
        <w:t xml:space="preserve">“A Cognitive Process Theory of Writing.”</w:t>
      </w:r>
      <w:r>
        <w:t xml:space="preserve"> </w:t>
      </w:r>
      <w:r>
        <w:rPr>
          <w:i/>
          <w:iCs/>
        </w:rPr>
        <w:t xml:space="preserve">College Composition and Communication</w:t>
      </w:r>
      <w:r>
        <w:t xml:space="preserve">, 1981.</w:t>
      </w:r>
    </w:p>
    <w:p>
      <w:pPr>
        <w:pStyle w:val="Compact"/>
        <w:numPr>
          <w:ilvl w:val="0"/>
          <w:numId w:val="1003"/>
        </w:numPr>
      </w:pPr>
      <w:r>
        <w:t xml:space="preserve">Devlin, J., Chang, M.-W., Lee, K., &amp; Toutanova, K.</w:t>
      </w:r>
      <w:r>
        <w:t xml:space="preserve"> </w:t>
      </w:r>
      <w:r>
        <w:t xml:space="preserve">“BERT: Pre-training of Deep Bidirectional Transformers for Language Understanding.”</w:t>
      </w:r>
      <w:r>
        <w:t xml:space="preserve"> </w:t>
      </w:r>
      <w:r>
        <w:rPr>
          <w:i/>
          <w:iCs/>
        </w:rPr>
        <w:t xml:space="preserve">NAACL</w:t>
      </w:r>
      <w:r>
        <w:t xml:space="preserve">, 2019.</w:t>
      </w:r>
    </w:p>
    <w:p>
      <w:pPr>
        <w:pStyle w:val="Compact"/>
        <w:numPr>
          <w:ilvl w:val="0"/>
          <w:numId w:val="1003"/>
        </w:numPr>
      </w:pPr>
      <w:r>
        <w:t xml:space="preserve">Lewis, P., et al. </w:t>
      </w:r>
      <w:r>
        <w:t xml:space="preserve">“Retrieval-Augmented Generation for Knowledge-Intensive NLP Tasks.”</w:t>
      </w:r>
      <w:r>
        <w:t xml:space="preserve"> </w:t>
      </w:r>
      <w:r>
        <w:rPr>
          <w:i/>
          <w:iCs/>
        </w:rPr>
        <w:t xml:space="preserve">NeurIPS</w:t>
      </w:r>
      <w:r>
        <w:t xml:space="preserve">, 2020.</w:t>
      </w:r>
    </w:p>
    <w:p>
      <w:pPr>
        <w:pStyle w:val="Compact"/>
        <w:numPr>
          <w:ilvl w:val="0"/>
          <w:numId w:val="1003"/>
        </w:numPr>
      </w:pPr>
      <w:r>
        <w:t xml:space="preserve">Shermis, M. D., &amp; Burstein, J.</w:t>
      </w:r>
      <w:r>
        <w:t xml:space="preserve"> </w:t>
      </w:r>
      <w:r>
        <w:rPr>
          <w:i/>
          <w:iCs/>
        </w:rPr>
        <w:t xml:space="preserve">Handbook of Automated Essay Evaluation</w:t>
      </w:r>
      <w:r>
        <w:t xml:space="preserve">. Routledge, 2013.</w:t>
      </w:r>
    </w:p>
    <w:p>
      <w:pPr>
        <w:pStyle w:val="Compact"/>
        <w:numPr>
          <w:ilvl w:val="0"/>
          <w:numId w:val="1003"/>
        </w:numPr>
      </w:pPr>
      <w:r>
        <w:t xml:space="preserve">Vaswani, A., et al. </w:t>
      </w:r>
      <w:r>
        <w:t xml:space="preserve">“Attention Is All You Need.”</w:t>
      </w:r>
      <w:r>
        <w:t xml:space="preserve"> </w:t>
      </w:r>
      <w:r>
        <w:rPr>
          <w:i/>
          <w:iCs/>
        </w:rPr>
        <w:t xml:space="preserve">NeurIPS</w:t>
      </w:r>
      <w:r>
        <w:t xml:space="preserve">, 2017.</w:t>
      </w:r>
    </w:p>
    <w:p>
      <w:pPr>
        <w:pStyle w:val="Compact"/>
        <w:numPr>
          <w:ilvl w:val="0"/>
          <w:numId w:val="1003"/>
        </w:numPr>
      </w:pPr>
      <w:r>
        <w:rPr>
          <w:rFonts w:hint="eastAsia"/>
        </w:rPr>
        <w:t xml:space="preserve">阿里云.</w:t>
      </w:r>
      <w:r>
        <w:t xml:space="preserve"> </w:t>
      </w:r>
      <w:r>
        <w:rPr>
          <w:rFonts w:hint="eastAsia"/>
        </w:rPr>
        <w:t xml:space="preserve">Qwen（通义千问）技术白皮书与开发文档.</w:t>
      </w:r>
    </w:p>
    <w:p>
      <w:pPr>
        <w:pStyle w:val="Compact"/>
        <w:numPr>
          <w:ilvl w:val="0"/>
          <w:numId w:val="1003"/>
        </w:numPr>
      </w:pPr>
      <w:r>
        <w:t xml:space="preserve">VanLehn, K.</w:t>
      </w:r>
      <w:r>
        <w:t xml:space="preserve"> </w:t>
      </w:r>
      <w:r>
        <w:t xml:space="preserve">“The Relative Effectiveness of Human Tutoring, Intelligent Tutoring Systems, and Other Tutoring Systems.”</w:t>
      </w:r>
      <w:r>
        <w:t xml:space="preserve"> </w:t>
      </w:r>
      <w:r>
        <w:rPr>
          <w:i/>
          <w:iCs/>
        </w:rPr>
        <w:t xml:space="preserve">Educational Psychologist</w:t>
      </w:r>
      <w:r>
        <w:t xml:space="preserve">, 2011.</w:t>
      </w:r>
    </w:p>
    <w:p>
      <w:pPr>
        <w:pStyle w:val="Compact"/>
        <w:numPr>
          <w:ilvl w:val="0"/>
          <w:numId w:val="1003"/>
        </w:numPr>
      </w:pPr>
      <w:r>
        <w:t xml:space="preserve">Hyland, K.</w:t>
      </w:r>
      <w:r>
        <w:t xml:space="preserve"> </w:t>
      </w:r>
      <w:r>
        <w:rPr>
          <w:i/>
          <w:iCs/>
        </w:rPr>
        <w:t xml:space="preserve">Teaching and Researching Writing</w:t>
      </w:r>
      <w:r>
        <w:t xml:space="preserve">. Routledge, 2015.</w:t>
      </w:r>
    </w:p>
    <w:p>
      <w:pPr>
        <w:pStyle w:val="Compact"/>
        <w:numPr>
          <w:ilvl w:val="0"/>
          <w:numId w:val="1003"/>
        </w:numPr>
      </w:pPr>
      <w:r>
        <w:t xml:space="preserve">OpenAI. GPT </w:t>
      </w:r>
      <w:r>
        <w:rPr>
          <w:rFonts w:hint="eastAsia"/>
        </w:rPr>
        <w:t xml:space="preserve">系列技术报告与</w:t>
      </w:r>
      <w:r>
        <w:t xml:space="preserve"> API </w:t>
      </w:r>
      <w:r>
        <w:rPr>
          <w:rFonts w:hint="eastAsia"/>
        </w:rPr>
        <w:t xml:space="preserve">文档.</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2026-02-08T14:34:12Z</dcterms:created>
  <dcterms:modified xsi:type="dcterms:W3CDTF">2026-02-08T14:34:12Z</dcterms:modified>
</cp:coreProperties>
</file>

<file path=docProps/custom.xml><?xml version="1.0" encoding="utf-8"?>
<Properties xmlns="http://schemas.openxmlformats.org/officeDocument/2006/custom-properties" xmlns:vt="http://schemas.openxmlformats.org/officeDocument/2006/docPropsVTypes"/>
</file>