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Final Financial Audit</w:t>
      </w:r>
    </w:p>
    <w:p>
      <w:pPr>
        <w:pStyle w:val="Subtitle"/>
      </w:pPr>
      <w:r>
        <w:t xml:space="preserve">Project ID: P1048-Nishio MY PX33 TOTO</w:t>
      </w:r>
    </w:p>
    <w:p>
      <w:pPr>
        <w:pStyle w:val="Author"/>
      </w:pPr>
      <w:r>
        <w:t xml:space="preserve">Finance &amp; Project Controls</w:t>
      </w:r>
    </w:p>
    <w:p>
      <w:pPr>
        <w:pStyle w:val="Date"/>
      </w:pPr>
      <w:r>
        <w:t xml:space="preserve">22 May 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executive-summary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Executive Summary</w:t>
      </w:r>
    </w:p>
    <w:p>
      <w:pPr>
        <w:pStyle w:val="FirstParagraph"/>
      </w:pPr>
      <w:r>
        <w:t xml:space="preserve">This Final Financial Audit compares the original estimate in</w:t>
      </w:r>
      <w:r>
        <w:t xml:space="preserve"> </w:t>
      </w:r>
      <w:r>
        <w:rPr>
          <w:rStyle w:val="VerbatimChar"/>
        </w:rPr>
        <w:t xml:space="preserve">project_budget.md</w:t>
      </w:r>
      <w:r>
        <w:t xml:space="preserve"> </w:t>
      </w:r>
      <w:r>
        <w:t xml:space="preserve">against realized costs in</w:t>
      </w:r>
      <w:r>
        <w:t xml:space="preserve"> </w:t>
      </w:r>
      <w:r>
        <w:rPr>
          <w:rStyle w:val="VerbatimChar"/>
        </w:rPr>
        <w:t xml:space="preserve">actual_costs.md</w:t>
      </w:r>
      <w:r>
        <w:t xml:space="preserve"> </w:t>
      </w:r>
      <w:r>
        <w:t xml:space="preserve">for Project</w:t>
      </w:r>
      <w:r>
        <w:t xml:space="preserve"> </w:t>
      </w:r>
      <w:r>
        <w:rPr>
          <w:b/>
          <w:bCs/>
        </w:rPr>
        <w:t xml:space="preserve">P1048-Nishio MY PX33 TOTO</w:t>
      </w:r>
      <w:r>
        <w:t xml:space="preserve">.</w:t>
      </w:r>
    </w:p>
    <w:bookmarkStart w:id="9" w:name="key-result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Key Result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Budget (normalized with actual FX): RM89,777.50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Actual: RM108,656.09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Variance: +RM18,878.59 (+21.03%)</w:t>
      </w:r>
    </w:p>
    <w:bookmarkEnd w:id="9"/>
    <w:bookmarkStart w:id="10" w:name="primary-drivers-of-overrun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Primary Drivers of Overrun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Installation Labor</w:t>
      </w:r>
      <w:r>
        <w:t xml:space="preserve">: +RM16,012.50 (+500.00%)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Shipment</w:t>
      </w:r>
      <w:r>
        <w:t xml:space="preserve">: +RM3,243.00 (+300.28%)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Travel</w:t>
      </w:r>
      <w:r>
        <w:t xml:space="preserve">: +RM1,448.00 (+72.40%)</w:t>
      </w:r>
    </w:p>
    <w:bookmarkEnd w:id="10"/>
    <w:bookmarkStart w:id="11" w:name="offsets-underrun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Offsets (Underruns)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Pre-Sales</w:t>
      </w:r>
      <w:r>
        <w:t xml:space="preserve">: -RM1,255.91 (-19.32%)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Tax/Custom Duty</w:t>
      </w:r>
      <w:r>
        <w:t xml:space="preserve">: -RM644.00 (-19.88%)</w:t>
      </w:r>
    </w:p>
    <w:bookmarkEnd w:id="11"/>
    <w:bookmarkStart w:id="12" w:name="audit-opinion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Audit Opinion</w:t>
      </w:r>
    </w:p>
    <w:p>
      <w:pPr>
        <w:pStyle w:val="FirstParagraph"/>
      </w:pPr>
      <w:r>
        <w:t xml:space="preserve">Costs are arithmetically consistent with provided records and FX assumptions. The project exceeded budget primarily due to</w:t>
      </w:r>
      <w:r>
        <w:t xml:space="preserve"> </w:t>
      </w:r>
      <w:r>
        <w:rPr>
          <w:b/>
          <w:bCs/>
        </w:rPr>
        <w:t xml:space="preserve">scope/time expansion in installation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logistics underestimation</w:t>
      </w:r>
      <w:r>
        <w:t xml:space="preserve"> </w:t>
      </w:r>
      <w:r>
        <w:t xml:space="preserve">in the planning baseline.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scope-basis-and-methodology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Scope, Basis, and Methodology</w:t>
      </w:r>
    </w:p>
    <w:bookmarkStart w:id="14" w:name="scop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Scope</w:t>
      </w:r>
    </w:p>
    <w:p>
      <w:pPr>
        <w:pStyle w:val="FirstParagraph"/>
      </w:pPr>
      <w:r>
        <w:t xml:space="preserve">This audit covers all cost categories explicitly listed in: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project_budget.md</w:t>
      </w:r>
      <w:r>
        <w:t xml:space="preserve"> </w:t>
      </w:r>
      <w:r>
        <w:t xml:space="preserve">(budget estimate)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actual_costs.md</w:t>
      </w:r>
      <w:r>
        <w:t xml:space="preserve"> </w:t>
      </w:r>
      <w:r>
        <w:t xml:space="preserve">(final actuals)</w:t>
      </w:r>
    </w:p>
    <w:bookmarkEnd w:id="14"/>
    <w:bookmarkStart w:id="15" w:name="currency-and-normalization-basi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Currency and Normalization Basis</w:t>
      </w:r>
    </w:p>
    <w:p>
      <w:pPr>
        <w:pStyle w:val="Compact"/>
        <w:numPr>
          <w:ilvl w:val="0"/>
          <w:numId w:val="1005"/>
        </w:numPr>
      </w:pPr>
      <w:r>
        <w:t xml:space="preserve">Functional comparison currency:</w:t>
      </w:r>
      <w:r>
        <w:t xml:space="preserve"> </w:t>
      </w:r>
      <w:r>
        <w:rPr>
          <w:b/>
          <w:bCs/>
        </w:rPr>
        <w:t xml:space="preserve">RM</w:t>
      </w:r>
    </w:p>
    <w:p>
      <w:pPr>
        <w:pStyle w:val="Compact"/>
        <w:numPr>
          <w:ilvl w:val="0"/>
          <w:numId w:val="1005"/>
        </w:numPr>
      </w:pPr>
      <w:r>
        <w:t xml:space="preserve">Applied FX for audit normalization:</w:t>
      </w:r>
      <w:r>
        <w:t xml:space="preserve"> </w:t>
      </w:r>
      <w:r>
        <w:rPr>
          <w:b/>
          <w:bCs/>
        </w:rPr>
        <w:t xml:space="preserve">USD1 = RM4.27</w:t>
      </w:r>
      <w:r>
        <w:t xml:space="preserve"> </w:t>
      </w:r>
      <w:r>
        <w:t xml:space="preserve">(same as actual cost document, dated 22 May 2025)</w:t>
      </w:r>
    </w:p>
    <w:bookmarkEnd w:id="15"/>
    <w:bookmarkStart w:id="16" w:name="source-data-integrity-note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Source Data Integrity Notes</w:t>
      </w:r>
    </w:p>
    <w:p>
      <w:pPr>
        <w:pStyle w:val="Compact"/>
        <w:numPr>
          <w:ilvl w:val="0"/>
          <w:numId w:val="1006"/>
        </w:numPr>
      </w:pPr>
      <w:r>
        <w:t xml:space="preserve">Budget document left labor totals as</w:t>
      </w:r>
      <w:r>
        <w:t xml:space="preserve"> </w:t>
      </w:r>
      <w:r>
        <w:t xml:space="preserve">“TBD”</w:t>
      </w:r>
      <w:r>
        <w:t xml:space="preserve"> </w:t>
      </w:r>
      <w:r>
        <w:t xml:space="preserve">pending FX.</w:t>
      </w:r>
    </w:p>
    <w:p>
      <w:pPr>
        <w:pStyle w:val="Compact"/>
        <w:numPr>
          <w:ilvl w:val="0"/>
          <w:numId w:val="1006"/>
        </w:numPr>
      </w:pPr>
      <w:r>
        <w:t xml:space="preserve">Actual document provided complete RM totals and category breakdown.</w:t>
      </w:r>
    </w:p>
    <w:p>
      <w:pPr>
        <w:pStyle w:val="Compact"/>
        <w:numPr>
          <w:ilvl w:val="0"/>
          <w:numId w:val="1006"/>
        </w:numPr>
      </w:pPr>
      <w:r>
        <w:t xml:space="preserve">For comparability, labor budget values were converted using RM4.27.</w:t>
      </w:r>
    </w:p>
    <w:bookmarkEnd w:id="16"/>
    <w:bookmarkStart w:id="17" w:name="normalized-budget-labor-conversion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Normalized Budget Labor Conversion</w:t>
      </w:r>
    </w:p>
    <w:p>
      <w:pPr>
        <w:pStyle w:val="Compact"/>
        <w:numPr>
          <w:ilvl w:val="0"/>
          <w:numId w:val="1007"/>
        </w:numPr>
      </w:pPr>
      <w:r>
        <w:t xml:space="preserve">Development labor budget: USD4,500 × 4.27 =</w:t>
      </w:r>
      <w:r>
        <w:t xml:space="preserve"> </w:t>
      </w:r>
      <w:r>
        <w:rPr>
          <w:b/>
          <w:bCs/>
        </w:rPr>
        <w:t xml:space="preserve">RM19,215.00</w:t>
      </w:r>
    </w:p>
    <w:p>
      <w:pPr>
        <w:pStyle w:val="Compact"/>
        <w:numPr>
          <w:ilvl w:val="0"/>
          <w:numId w:val="1007"/>
        </w:numPr>
      </w:pPr>
      <w:r>
        <w:t xml:space="preserve">Installation labor budget: USD750 × 4.27 =</w:t>
      </w:r>
      <w:r>
        <w:t xml:space="preserve"> </w:t>
      </w:r>
      <w:r>
        <w:rPr>
          <w:b/>
          <w:bCs/>
        </w:rPr>
        <w:t xml:space="preserve">RM3,202.50</w:t>
      </w:r>
    </w:p>
    <w:bookmarkEnd w:id="17"/>
    <w:bookmarkStart w:id="18" w:name="financial-control-objective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Financial Control Objective</w:t>
      </w:r>
    </w:p>
    <w:p>
      <w:pPr>
        <w:pStyle w:val="FirstParagraph"/>
      </w:pPr>
      <w:r>
        <w:t xml:space="preserve">Assess:</w:t>
      </w:r>
    </w:p>
    <w:p>
      <w:pPr>
        <w:pStyle w:val="Compact"/>
        <w:numPr>
          <w:ilvl w:val="0"/>
          <w:numId w:val="1008"/>
        </w:numPr>
      </w:pPr>
      <w:r>
        <w:t xml:space="preserve">Arithmetic correctness</w:t>
      </w:r>
    </w:p>
    <w:p>
      <w:pPr>
        <w:pStyle w:val="Compact"/>
        <w:numPr>
          <w:ilvl w:val="0"/>
          <w:numId w:val="1008"/>
        </w:numPr>
      </w:pPr>
      <w:r>
        <w:t xml:space="preserve">Budget realism vs actual execution</w:t>
      </w:r>
    </w:p>
    <w:p>
      <w:pPr>
        <w:pStyle w:val="Compact"/>
        <w:numPr>
          <w:ilvl w:val="0"/>
          <w:numId w:val="1008"/>
        </w:numPr>
      </w:pPr>
      <w:r>
        <w:t xml:space="preserve">Variance concentration and control lessons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7b0a8e417b503285672bfed4ae8b8eb15908602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Detailed Budget vs Actual Variance Analysis</w:t>
      </w:r>
    </w:p>
    <w:bookmarkStart w:id="20" w:name="category-level-comparis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Category-Level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Budget (RM)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Actual (RM)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Variance (RM)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Variance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 &amp; Material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54,000.00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54,028.00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Labor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19,215.00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19,215.00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Installation Labor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3,202.50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19,215.00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+16,012.50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+500.00%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Pre-Sales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5,244.09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-1,255.91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-19.32%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3,448.00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+1,448.00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+72.40%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1,080.00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4,323.00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+3,243.00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+300.28%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/ Custom Duty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3,240.00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2,596.00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-644.00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-19.88%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Miscellaneous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587.00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+47.00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+8.70%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89,777.50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108,656.09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+18,878.59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+21.03%</w:t>
            </w:r>
          </w:p>
        </w:tc>
      </w:tr>
    </w:tbl>
    <w:bookmarkEnd w:id="20"/>
    <w:bookmarkStart w:id="21" w:name="concentration-of-total-overrun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Concentration of Total Overrun</w:t>
      </w:r>
    </w:p>
    <w:p>
      <w:pPr>
        <w:pStyle w:val="Compact"/>
        <w:numPr>
          <w:ilvl w:val="0"/>
          <w:numId w:val="1009"/>
        </w:numPr>
      </w:pPr>
      <w:r>
        <w:t xml:space="preserve">Installation Labor:</w:t>
      </w:r>
      <w:r>
        <w:t xml:space="preserve"> </w:t>
      </w:r>
      <w:r>
        <w:rPr>
          <w:b/>
          <w:bCs/>
        </w:rPr>
        <w:t xml:space="preserve">84.82%</w:t>
      </w:r>
      <w:r>
        <w:t xml:space="preserve"> </w:t>
      </w:r>
      <w:r>
        <w:t xml:space="preserve">of net overrun</w:t>
      </w:r>
    </w:p>
    <w:p>
      <w:pPr>
        <w:pStyle w:val="Compact"/>
        <w:numPr>
          <w:ilvl w:val="0"/>
          <w:numId w:val="1009"/>
        </w:numPr>
      </w:pPr>
      <w:r>
        <w:t xml:space="preserve">Shipment:</w:t>
      </w:r>
      <w:r>
        <w:t xml:space="preserve"> </w:t>
      </w:r>
      <w:r>
        <w:rPr>
          <w:b/>
          <w:bCs/>
        </w:rPr>
        <w:t xml:space="preserve">17.18%</w:t>
      </w:r>
    </w:p>
    <w:p>
      <w:pPr>
        <w:pStyle w:val="Compact"/>
        <w:numPr>
          <w:ilvl w:val="0"/>
          <w:numId w:val="1009"/>
        </w:numPr>
      </w:pPr>
      <w:r>
        <w:t xml:space="preserve">Travel:</w:t>
      </w:r>
      <w:r>
        <w:t xml:space="preserve"> </w:t>
      </w:r>
      <w:r>
        <w:rPr>
          <w:b/>
          <w:bCs/>
        </w:rPr>
        <w:t xml:space="preserve">7.67%</w:t>
      </w:r>
    </w:p>
    <w:p>
      <w:pPr>
        <w:pStyle w:val="Compact"/>
        <w:numPr>
          <w:ilvl w:val="0"/>
          <w:numId w:val="1009"/>
        </w:numPr>
      </w:pPr>
      <w:r>
        <w:t xml:space="preserve">Offsets from underruns (Pre-Sales, Tax) reduced net overrun by</w:t>
      </w:r>
      <w:r>
        <w:t xml:space="preserve"> </w:t>
      </w:r>
      <w:r>
        <w:rPr>
          <w:b/>
          <w:bCs/>
        </w:rPr>
        <w:t xml:space="preserve">10.63%</w:t>
      </w:r>
    </w:p>
    <w:bookmarkEnd w:id="21"/>
    <w:bookmarkStart w:id="22" w:name="cost-structure-shift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Cost Structure Shift</w:t>
      </w:r>
    </w:p>
    <w:p>
      <w:pPr>
        <w:pStyle w:val="Compact"/>
        <w:numPr>
          <w:ilvl w:val="0"/>
          <w:numId w:val="1010"/>
        </w:numPr>
      </w:pPr>
      <w:r>
        <w:t xml:space="preserve">Labor intensity increased significantly due to installation duration expansion.</w:t>
      </w:r>
    </w:p>
    <w:p>
      <w:pPr>
        <w:pStyle w:val="Compact"/>
        <w:numPr>
          <w:ilvl w:val="0"/>
          <w:numId w:val="1010"/>
        </w:numPr>
      </w:pPr>
      <w:r>
        <w:t xml:space="preserve">Logistics costs (travel + shipment) materially exceeded planning assumptions.</w:t>
      </w:r>
    </w:p>
    <w:p>
      <w:pPr>
        <w:pStyle w:val="Compact"/>
        <w:numPr>
          <w:ilvl w:val="0"/>
          <w:numId w:val="1010"/>
        </w:numPr>
      </w:pPr>
      <w:r>
        <w:t xml:space="preserve">Hardware cost remained effectively on budget, indicating stable procurement execution.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Xb973902c4f99db1cd69556871cc1e0862b2359f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Findings, Root Causes, and Control Assessment</w:t>
      </w:r>
    </w:p>
    <w:bookmarkStart w:id="24" w:name="X18691b2b68205ceebec00428b25928b3e2e24c7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Finding A — Installation Labor Underestimated</w:t>
      </w:r>
    </w:p>
    <w:p>
      <w:pPr>
        <w:pStyle w:val="Compact"/>
        <w:numPr>
          <w:ilvl w:val="0"/>
          <w:numId w:val="1011"/>
        </w:numPr>
      </w:pPr>
      <w:r>
        <w:t xml:space="preserve">Budget basis:</w:t>
      </w:r>
      <w:r>
        <w:t xml:space="preserve"> </w:t>
      </w:r>
      <w:r>
        <w:rPr>
          <w:b/>
          <w:bCs/>
        </w:rPr>
        <w:t xml:space="preserve">40 hours</w:t>
      </w:r>
      <w:r>
        <w:t xml:space="preserve"> </w:t>
      </w:r>
      <w:r>
        <w:t xml:space="preserve">(5 workdays equivalent)</w:t>
      </w:r>
    </w:p>
    <w:p>
      <w:pPr>
        <w:pStyle w:val="Compact"/>
        <w:numPr>
          <w:ilvl w:val="0"/>
          <w:numId w:val="1011"/>
        </w:numPr>
      </w:pPr>
      <w:r>
        <w:t xml:space="preserve">Actual basis:</w:t>
      </w:r>
      <w:r>
        <w:t xml:space="preserve"> </w:t>
      </w:r>
      <w:r>
        <w:rPr>
          <w:b/>
          <w:bCs/>
        </w:rPr>
        <w:t xml:space="preserve">30 calendar days</w:t>
      </w:r>
    </w:p>
    <w:p>
      <w:pPr>
        <w:pStyle w:val="Compact"/>
        <w:numPr>
          <w:ilvl w:val="0"/>
          <w:numId w:val="1011"/>
        </w:numPr>
      </w:pPr>
      <w:r>
        <w:t xml:space="preserve">Result: +RM16,012.50 variance</w:t>
      </w:r>
    </w:p>
    <w:p>
      <w:pPr>
        <w:pStyle w:val="FirstParagraph"/>
      </w:pPr>
      <w:r>
        <w:rPr>
          <w:b/>
          <w:bCs/>
        </w:rPr>
        <w:t xml:space="preserve">Assessment:</w:t>
      </w:r>
      <w:r>
        <w:t xml:space="preserve"> </w:t>
      </w:r>
      <w:r>
        <w:t xml:space="preserve">Baseline likely did not reflect realistic field installation duration and site conditions.</w:t>
      </w:r>
    </w:p>
    <w:bookmarkEnd w:id="24"/>
    <w:bookmarkStart w:id="25" w:name="X33688904b696636aeeb6323edd3e475a1c3fbb6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Finding B — Shipment Budget Formula Too Simplistic</w:t>
      </w:r>
    </w:p>
    <w:p>
      <w:pPr>
        <w:pStyle w:val="Compact"/>
        <w:numPr>
          <w:ilvl w:val="0"/>
          <w:numId w:val="1012"/>
        </w:numPr>
      </w:pPr>
      <w:r>
        <w:t xml:space="preserve">Budget basis:</w:t>
      </w:r>
      <w:r>
        <w:t xml:space="preserve"> </w:t>
      </w:r>
      <w:r>
        <w:rPr>
          <w:b/>
          <w:bCs/>
        </w:rPr>
        <w:t xml:space="preserve">2% of hardware cost = RM1,080</w:t>
      </w:r>
    </w:p>
    <w:p>
      <w:pPr>
        <w:pStyle w:val="Compact"/>
        <w:numPr>
          <w:ilvl w:val="0"/>
          <w:numId w:val="1012"/>
        </w:numPr>
      </w:pPr>
      <w:r>
        <w:t xml:space="preserve">Actual shipment:</w:t>
      </w:r>
      <w:r>
        <w:t xml:space="preserve"> </w:t>
      </w:r>
      <w:r>
        <w:rPr>
          <w:b/>
          <w:bCs/>
        </w:rPr>
        <w:t xml:space="preserve">RM4,323</w:t>
      </w:r>
    </w:p>
    <w:p>
      <w:pPr>
        <w:pStyle w:val="Compact"/>
        <w:numPr>
          <w:ilvl w:val="0"/>
          <w:numId w:val="1012"/>
        </w:numPr>
      </w:pPr>
      <w:r>
        <w:t xml:space="preserve">Result: +RM3,243.00</w:t>
      </w:r>
    </w:p>
    <w:p>
      <w:pPr>
        <w:pStyle w:val="FirstParagraph"/>
      </w:pPr>
      <w:r>
        <w:rPr>
          <w:b/>
          <w:bCs/>
        </w:rPr>
        <w:t xml:space="preserve">Assessment:</w:t>
      </w:r>
      <w:r>
        <w:t xml:space="preserve"> </w:t>
      </w:r>
      <w:r>
        <w:t xml:space="preserve">Percentage proxy did not capture freight, handling, insurance, and route/site factors.</w:t>
      </w:r>
    </w:p>
    <w:bookmarkEnd w:id="25"/>
    <w:bookmarkStart w:id="26" w:name="finding-c-travel-underestimation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Finding C — Travel Underestimation</w:t>
      </w:r>
    </w:p>
    <w:p>
      <w:pPr>
        <w:pStyle w:val="Compact"/>
        <w:numPr>
          <w:ilvl w:val="0"/>
          <w:numId w:val="1013"/>
        </w:numPr>
      </w:pPr>
      <w:r>
        <w:t xml:space="preserve">Budget: RM2,000 (4 trips × RM500)</w:t>
      </w:r>
    </w:p>
    <w:p>
      <w:pPr>
        <w:pStyle w:val="Compact"/>
        <w:numPr>
          <w:ilvl w:val="0"/>
          <w:numId w:val="1013"/>
        </w:numPr>
      </w:pPr>
      <w:r>
        <w:t xml:space="preserve">Actual: RM3,448</w:t>
      </w:r>
    </w:p>
    <w:p>
      <w:pPr>
        <w:pStyle w:val="Compact"/>
        <w:numPr>
          <w:ilvl w:val="0"/>
          <w:numId w:val="1013"/>
        </w:numPr>
      </w:pPr>
      <w:r>
        <w:t xml:space="preserve">Result: +RM1,448.00</w:t>
      </w:r>
    </w:p>
    <w:p>
      <w:pPr>
        <w:pStyle w:val="FirstParagraph"/>
      </w:pPr>
      <w:r>
        <w:rPr>
          <w:b/>
          <w:bCs/>
        </w:rPr>
        <w:t xml:space="preserve">Assessment:</w:t>
      </w:r>
      <w:r>
        <w:t xml:space="preserve"> </w:t>
      </w:r>
      <w:r>
        <w:t xml:space="preserve">Trip count and/or per-trip costs were underestimated.</w:t>
      </w:r>
    </w:p>
    <w:bookmarkEnd w:id="26"/>
    <w:bookmarkStart w:id="27" w:name="finding-d-positive-controls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Finding D — Positive Controls</w:t>
      </w:r>
    </w:p>
    <w:p>
      <w:pPr>
        <w:pStyle w:val="Compact"/>
        <w:numPr>
          <w:ilvl w:val="0"/>
          <w:numId w:val="1014"/>
        </w:numPr>
      </w:pPr>
      <w:r>
        <w:t xml:space="preserve">Hardware variance: +0.05%</w:t>
      </w:r>
    </w:p>
    <w:p>
      <w:pPr>
        <w:pStyle w:val="Compact"/>
        <w:numPr>
          <w:ilvl w:val="0"/>
          <w:numId w:val="1014"/>
        </w:numPr>
      </w:pPr>
      <w:r>
        <w:t xml:space="preserve">Development variance: 0.00%</w:t>
      </w:r>
    </w:p>
    <w:p>
      <w:pPr>
        <w:pStyle w:val="FirstParagraph"/>
      </w:pPr>
      <w:r>
        <w:rPr>
          <w:b/>
          <w:bCs/>
        </w:rPr>
        <w:t xml:space="preserve">Assessment:</w:t>
      </w:r>
      <w:r>
        <w:t xml:space="preserve"> </w:t>
      </w:r>
      <w:r>
        <w:t xml:space="preserve">Procurement and core development estimation were accurate.</w:t>
      </w:r>
    </w:p>
    <w:bookmarkEnd w:id="27"/>
    <w:bookmarkStart w:id="28" w:name="control-effectiveness-rating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Control Effectiveness Rating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Strong:</w:t>
      </w:r>
      <w:r>
        <w:t xml:space="preserve"> </w:t>
      </w:r>
      <w:r>
        <w:t xml:space="preserve">Development estimation, hardware procurement pricing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Moderate:</w:t>
      </w:r>
      <w:r>
        <w:t xml:space="preserve"> </w:t>
      </w:r>
      <w:r>
        <w:t xml:space="preserve">Tax projection, pre-sales planning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Weak:</w:t>
      </w:r>
      <w:r>
        <w:t xml:space="preserve"> </w:t>
      </w:r>
      <w:r>
        <w:t xml:space="preserve">Installation effort forecast, logistics modeling</w:t>
      </w:r>
    </w:p>
    <w:bookmarkEnd w:id="28"/>
    <w:bookmarkStart w:id="29" w:name="compliance-and-arithmetic-validation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Compliance and Arithmetic Validation</w:t>
      </w:r>
    </w:p>
    <w:p>
      <w:pPr>
        <w:pStyle w:val="FirstParagraph"/>
      </w:pPr>
      <w:r>
        <w:t xml:space="preserve">Recalculations confirm:</w:t>
      </w:r>
    </w:p>
    <w:p>
      <w:pPr>
        <w:pStyle w:val="Compact"/>
        <w:numPr>
          <w:ilvl w:val="0"/>
          <w:numId w:val="1016"/>
        </w:numPr>
      </w:pPr>
      <w:r>
        <w:t xml:space="preserve">Category totals match provided source values.</w:t>
      </w:r>
    </w:p>
    <w:p>
      <w:pPr>
        <w:pStyle w:val="Compact"/>
        <w:numPr>
          <w:ilvl w:val="0"/>
          <w:numId w:val="1016"/>
        </w:numPr>
      </w:pPr>
      <w:r>
        <w:t xml:space="preserve">FX conversion applications are consistent.</w:t>
      </w:r>
    </w:p>
    <w:p>
      <w:pPr>
        <w:pStyle w:val="Compact"/>
        <w:numPr>
          <w:ilvl w:val="0"/>
          <w:numId w:val="1016"/>
        </w:numPr>
      </w:pPr>
      <w:r>
        <w:t xml:space="preserve">Grand total RM108,656.09 is internally consistent.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recommendations-and-forward-control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Recommendations and Forward Controls</w:t>
      </w:r>
    </w:p>
    <w:bookmarkStart w:id="31" w:name="budgeting-improvements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Budgeting Improvements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Installation WBS model</w:t>
      </w:r>
      <w:r>
        <w:t xml:space="preserve"> </w:t>
      </w:r>
      <w:r>
        <w:t xml:space="preserve">(mobilization, integration, testing, standby, rework allowance)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Logistics costing model</w:t>
      </w:r>
      <w:r>
        <w:t xml:space="preserve"> </w:t>
      </w:r>
      <w:r>
        <w:t xml:space="preserve">using vendor lane quotes and insurance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Travel matrix</w:t>
      </w:r>
      <w:r>
        <w:t xml:space="preserve"> </w:t>
      </w:r>
      <w:r>
        <w:t xml:space="preserve">by role, purpose, duration, regional rates</w:t>
      </w:r>
    </w:p>
    <w:bookmarkEnd w:id="31"/>
    <w:bookmarkStart w:id="32" w:name="governance-improvements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Governance Improvements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Stage-gate reforecasting</w:t>
      </w:r>
      <w:r>
        <w:t xml:space="preserve"> </w:t>
      </w:r>
      <w:r>
        <w:t xml:space="preserve">at award, pre-installation, and midpoint execution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Variance triggers</w:t>
      </w:r>
      <w:r>
        <w:t xml:space="preserve"> </w:t>
      </w:r>
      <w:r>
        <w:t xml:space="preserve">at 15% or RM1,000 (whichever is lower)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Separated contingency pools</w:t>
      </w:r>
      <w:r>
        <w:t xml:space="preserve"> </w:t>
      </w:r>
      <w:r>
        <w:t xml:space="preserve">(labor risk vs logistics volatility)</w:t>
      </w:r>
    </w:p>
    <w:bookmarkEnd w:id="32"/>
    <w:bookmarkStart w:id="33" w:name="baseline-for-similar-future-projects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Baseline for Similar Future Projects</w:t>
      </w:r>
    </w:p>
    <w:p>
      <w:pPr>
        <w:pStyle w:val="Compact"/>
        <w:numPr>
          <w:ilvl w:val="0"/>
          <w:numId w:val="1019"/>
        </w:numPr>
      </w:pPr>
      <w:r>
        <w:t xml:space="preserve">Keep current development-rate method.</w:t>
      </w:r>
    </w:p>
    <w:p>
      <w:pPr>
        <w:pStyle w:val="Compact"/>
        <w:numPr>
          <w:ilvl w:val="0"/>
          <w:numId w:val="1019"/>
        </w:numPr>
      </w:pPr>
      <w:r>
        <w:t xml:space="preserve">Re-baseline installation using empirical duration from this project.</w:t>
      </w:r>
    </w:p>
    <w:p>
      <w:pPr>
        <w:pStyle w:val="Compact"/>
        <w:numPr>
          <w:ilvl w:val="0"/>
          <w:numId w:val="1019"/>
        </w:numPr>
      </w:pPr>
      <w:r>
        <w:t xml:space="preserve">Build logistics from actual invoices and route profiles.</w:t>
      </w:r>
    </w:p>
    <w:bookmarkEnd w:id="33"/>
    <w:bookmarkStart w:id="34" w:name="final-conclusion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Final Conclusion</w:t>
      </w:r>
    </w:p>
    <w:p>
      <w:pPr>
        <w:pStyle w:val="FirstParagraph"/>
      </w:pPr>
      <w:r>
        <w:t xml:space="preserve">Project delivery incurred a</w:t>
      </w:r>
      <w:r>
        <w:t xml:space="preserve"> </w:t>
      </w:r>
      <w:r>
        <w:rPr>
          <w:b/>
          <w:bCs/>
        </w:rPr>
        <w:t xml:space="preserve">21.03%</w:t>
      </w:r>
      <w:r>
        <w:t xml:space="preserve"> </w:t>
      </w:r>
      <w:r>
        <w:t xml:space="preserve">total cost overrun relative to normalized budget. The overrun is</w:t>
      </w:r>
      <w:r>
        <w:t xml:space="preserve"> </w:t>
      </w:r>
      <w:r>
        <w:rPr>
          <w:b/>
          <w:bCs/>
        </w:rPr>
        <w:t xml:space="preserve">primarily structural</w:t>
      </w:r>
      <w:r>
        <w:t xml:space="preserve">, driven by installation and logistics planning assumptions rather than uncontrolled procurement or development effort.</w:t>
      </w:r>
    </w:p>
    <w:bookmarkEnd w:id="34"/>
    <w:bookmarkStart w:id="35" w:name="sign-off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Finance Manager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Internal Auditor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appendix-a-calculation-detail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Appendix A — Calculation Detail</w:t>
      </w:r>
    </w:p>
    <w:bookmarkStart w:id="37" w:name="a1.-budget-total-normalized-to-rm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A1. Budget Total (Normalized to RM)</w:t>
      </w:r>
    </w:p>
    <w:p>
      <w:pPr>
        <w:pStyle w:val="Compact"/>
        <w:numPr>
          <w:ilvl w:val="0"/>
          <w:numId w:val="1020"/>
        </w:numPr>
      </w:pPr>
      <w:r>
        <w:t xml:space="preserve">Hardware: RM54,000.00</w:t>
      </w:r>
    </w:p>
    <w:p>
      <w:pPr>
        <w:pStyle w:val="Compact"/>
        <w:numPr>
          <w:ilvl w:val="0"/>
          <w:numId w:val="1020"/>
        </w:numPr>
      </w:pPr>
      <w:r>
        <w:t xml:space="preserve">Development: USD4,500 × 4.27 = RM19,215.00</w:t>
      </w:r>
    </w:p>
    <w:p>
      <w:pPr>
        <w:pStyle w:val="Compact"/>
        <w:numPr>
          <w:ilvl w:val="0"/>
          <w:numId w:val="1020"/>
        </w:numPr>
      </w:pPr>
      <w:r>
        <w:t xml:space="preserve">Installation: USD750 × 4.27 = RM3,202.50</w:t>
      </w:r>
    </w:p>
    <w:p>
      <w:pPr>
        <w:pStyle w:val="Compact"/>
        <w:numPr>
          <w:ilvl w:val="0"/>
          <w:numId w:val="1020"/>
        </w:numPr>
      </w:pPr>
      <w:r>
        <w:t xml:space="preserve">Pre-Sales: RM6,500.00</w:t>
      </w:r>
    </w:p>
    <w:p>
      <w:pPr>
        <w:pStyle w:val="Compact"/>
        <w:numPr>
          <w:ilvl w:val="0"/>
          <w:numId w:val="1020"/>
        </w:numPr>
      </w:pPr>
      <w:r>
        <w:t xml:space="preserve">Travel: RM2,000.00</w:t>
      </w:r>
    </w:p>
    <w:p>
      <w:pPr>
        <w:pStyle w:val="Compact"/>
        <w:numPr>
          <w:ilvl w:val="0"/>
          <w:numId w:val="1020"/>
        </w:numPr>
      </w:pPr>
      <w:r>
        <w:t xml:space="preserve">Shipment: RM1,080.00</w:t>
      </w:r>
    </w:p>
    <w:p>
      <w:pPr>
        <w:pStyle w:val="Compact"/>
        <w:numPr>
          <w:ilvl w:val="0"/>
          <w:numId w:val="1020"/>
        </w:numPr>
      </w:pPr>
      <w:r>
        <w:t xml:space="preserve">Tax: RM3,240.00</w:t>
      </w:r>
    </w:p>
    <w:p>
      <w:pPr>
        <w:pStyle w:val="Compact"/>
        <w:numPr>
          <w:ilvl w:val="0"/>
          <w:numId w:val="1020"/>
        </w:numPr>
      </w:pPr>
      <w:r>
        <w:t xml:space="preserve">Misc: RM540.00</w:t>
      </w:r>
    </w:p>
    <w:p>
      <w:pPr>
        <w:pStyle w:val="FirstParagraph"/>
      </w:pPr>
      <w:r>
        <w:rPr>
          <w:b/>
          <w:bCs/>
        </w:rPr>
        <w:t xml:space="preserve">Total Budget = RM89,777.50</w:t>
      </w:r>
    </w:p>
    <w:bookmarkEnd w:id="37"/>
    <w:bookmarkStart w:id="38" w:name="a2.-actual-total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A2. Actual Total</w:t>
      </w:r>
    </w:p>
    <w:p>
      <w:pPr>
        <w:pStyle w:val="FirstParagraph"/>
      </w:pPr>
      <w:r>
        <w:t xml:space="preserve">Per</w:t>
      </w:r>
      <w:r>
        <w:t xml:space="preserve"> </w:t>
      </w:r>
      <w:r>
        <w:rPr>
          <w:rStyle w:val="VerbatimChar"/>
        </w:rPr>
        <w:t xml:space="preserve">actual_costs.md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Development: RM19,215.00</w:t>
      </w:r>
    </w:p>
    <w:p>
      <w:pPr>
        <w:pStyle w:val="Compact"/>
        <w:numPr>
          <w:ilvl w:val="0"/>
          <w:numId w:val="1021"/>
        </w:numPr>
      </w:pPr>
      <w:r>
        <w:t xml:space="preserve">Installation: RM19,215.00</w:t>
      </w:r>
    </w:p>
    <w:p>
      <w:pPr>
        <w:pStyle w:val="Compact"/>
        <w:numPr>
          <w:ilvl w:val="0"/>
          <w:numId w:val="1021"/>
        </w:numPr>
      </w:pPr>
      <w:r>
        <w:t xml:space="preserve">Pre-Sales: RM5,244.09</w:t>
      </w:r>
    </w:p>
    <w:p>
      <w:pPr>
        <w:pStyle w:val="Compact"/>
        <w:numPr>
          <w:ilvl w:val="0"/>
          <w:numId w:val="1021"/>
        </w:numPr>
      </w:pPr>
      <w:r>
        <w:t xml:space="preserve">Hardware: RM54,028.00</w:t>
      </w:r>
    </w:p>
    <w:p>
      <w:pPr>
        <w:pStyle w:val="Compact"/>
        <w:numPr>
          <w:ilvl w:val="0"/>
          <w:numId w:val="1021"/>
        </w:numPr>
      </w:pPr>
      <w:r>
        <w:t xml:space="preserve">Travel: RM3,448.00</w:t>
      </w:r>
    </w:p>
    <w:p>
      <w:pPr>
        <w:pStyle w:val="Compact"/>
        <w:numPr>
          <w:ilvl w:val="0"/>
          <w:numId w:val="1021"/>
        </w:numPr>
      </w:pPr>
      <w:r>
        <w:t xml:space="preserve">Shipment: RM4,323.00</w:t>
      </w:r>
    </w:p>
    <w:p>
      <w:pPr>
        <w:pStyle w:val="Compact"/>
        <w:numPr>
          <w:ilvl w:val="0"/>
          <w:numId w:val="1021"/>
        </w:numPr>
      </w:pPr>
      <w:r>
        <w:t xml:space="preserve">Tax: RM2,596.00</w:t>
      </w:r>
    </w:p>
    <w:p>
      <w:pPr>
        <w:pStyle w:val="Compact"/>
        <w:numPr>
          <w:ilvl w:val="0"/>
          <w:numId w:val="1021"/>
        </w:numPr>
      </w:pPr>
      <w:r>
        <w:t xml:space="preserve">Misc: RM587.00</w:t>
      </w:r>
    </w:p>
    <w:p>
      <w:pPr>
        <w:pStyle w:val="FirstParagraph"/>
      </w:pPr>
      <w:r>
        <w:rPr>
          <w:b/>
          <w:bCs/>
        </w:rPr>
        <w:t xml:space="preserve">Total Actual = RM108,656.09</w:t>
      </w:r>
    </w:p>
    <w:bookmarkEnd w:id="38"/>
    <w:bookmarkStart w:id="39" w:name="a3.-net-variance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A3. Net Variance</w:t>
      </w:r>
    </w:p>
    <w:p>
      <w:pPr>
        <w:pStyle w:val="FirstParagraph"/>
      </w:pPr>
      <w:r>
        <w:rPr>
          <w:b/>
          <w:bCs/>
        </w:rPr>
        <w:t xml:space="preserve">RM108,656.09 − RM89,777.50 = RM18,878.59 (+21.03%)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Financial Audit</dc:title>
  <dc:creator>Finance &amp; Project Controls</dc:creator>
  <cp:keywords/>
  <dcterms:created xsi:type="dcterms:W3CDTF">2026-04-15T09:21:56Z</dcterms:created>
  <dcterms:modified xsi:type="dcterms:W3CDTF">2026-04-15T09:21:56Z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 May 2025</vt:lpwstr>
  </property>
  <property fmtid="{D5CDD505-2E9C-101B-9397-08002B2CF9AE}" pid="3" name="numbersections">
    <vt:lpwstr>True</vt:lpwstr>
  </property>
  <property fmtid="{D5CDD505-2E9C-101B-9397-08002B2CF9AE}" pid="4" name="subtitle">
    <vt:lpwstr>Project ID: P1048-Nishio MY PX33 TOTO</vt:lpwstr>
  </property>
  <property fmtid="{D5CDD505-2E9C-101B-9397-08002B2CF9AE}" pid="5" name="toc">
    <vt:lpwstr>True</vt:lpwstr>
  </property>
</Properties>
</file>