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332"/>
          <w:sz w:val="56"/>
          <w:szCs w:val="56"/>
        </w:rPr>
        <w:t xml:space="preserve">Hadith Graph Explorer</w:t>
      </w:r>
    </w:p>
    <w:p>
      <w:pPr>
        <w:spacing w:after="100"/>
        <w:jc w:val="center"/>
      </w:pPr>
      <w:r>
        <w:rPr>
          <w:rFonts w:ascii="Arial" w:cs="Arial" w:eastAsia="Arial" w:hAnsi="Arial"/>
          <w:color w:val="2D6A4F"/>
          <w:sz w:val="36"/>
          <w:szCs w:val="36"/>
        </w:rPr>
        <w:t xml:space="preserve">Open Scholarly Contribution System</w:t>
      </w:r>
    </w:p>
    <w:p>
      <w:pPr>
        <w:spacing w:after="600"/>
        <w:jc w:val="center"/>
      </w:pPr>
      <w:r>
        <w:rPr>
          <w:rFonts w:ascii="Arial" w:cs="Arial" w:eastAsia="Arial" w:hAnsi="Arial"/>
          <w:color w:val="40916C"/>
          <w:sz w:val="28"/>
          <w:szCs w:val="28"/>
        </w:rPr>
        <w:t xml:space="preserve">Architecture &amp; Implementation Plan</w:t>
      </w:r>
    </w:p>
    <w:p>
      <w:pPr>
        <w:pBdr>
          <w:bottom w:val="single" w:color="1B4332" w:sz="6" w:space="1"/>
        </w:pBdr>
        <w:spacing w:after="200" w:before="200"/>
      </w:pPr>
    </w:p>
    <w:p>
      <w:pPr>
        <w:spacing w:after="100"/>
        <w:jc w:val="center"/>
      </w:pPr>
      <w:r>
        <w:rPr>
          <w:rFonts w:ascii="Arial" w:cs="Arial" w:eastAsia="Arial" w:hAnsi="Arial"/>
          <w:color w:val="666666"/>
          <w:sz w:val="22"/>
          <w:szCs w:val="22"/>
        </w:rPr>
        <w:t xml:space="preserve">Version 1.0 — March 2026</w:t>
      </w:r>
    </w:p>
    <w:p>
      <w:pPr>
        <w:spacing w:after="100"/>
        <w:jc w:val="center"/>
      </w:pPr>
      <w:r>
        <w:rPr>
          <w:rFonts w:ascii="Arial" w:cs="Arial" w:eastAsia="Arial" w:hAnsi="Arial"/>
          <w:color w:val="666666"/>
          <w:sz w:val="22"/>
          <w:szCs w:val="22"/>
        </w:rPr>
        <w:t xml:space="preserve">A platform for collaborative Islamic scholarship</w:t>
      </w:r>
    </w:p>
    <w:p>
      <w:pPr>
        <w:jc w:val="center"/>
      </w:pPr>
      <w:r>
        <w:rPr>
          <w:rFonts w:ascii="Arial" w:cs="Arial" w:eastAsia="Arial" w:hAnsi="Arial"/>
          <w:color w:val="666666"/>
          <w:sz w:val="22"/>
          <w:szCs w:val="22"/>
        </w:rPr>
        <w:t xml:space="preserve">Built on Neo4j graph database with Next.js</w:t>
      </w:r>
    </w:p>
    <w:p>
      <w:r>
        <w:br w:type="page"/>
      </w:r>
    </w:p>
    <w:p>
      <w:pPr>
        <w:pStyle w:val="Heading1"/>
        <w:spacing w:after="150" w:before="300"/>
      </w:pPr>
      <w:r>
        <w:rPr>
          <w:b/>
          <w:bCs/>
        </w:rPr>
        <w:t xml:space="preserve">1. Vision &amp; Mission</w:t>
      </w:r>
    </w:p>
    <w:p>
      <w:pPr>
        <w:spacing w:after="120"/>
      </w:pPr>
      <w:r>
        <w:rPr>
          <w:rFonts w:ascii="Arial" w:cs="Arial" w:eastAsia="Arial" w:hAnsi="Arial"/>
          <w:sz w:val="22"/>
          <w:szCs w:val="22"/>
        </w:rPr>
        <w:t xml:space="preserve">The Hadith Graph Explorer aims to become the first open, graph-based platform for collaborative Islamic scholarship. Unlike existing read-only hadith databases, this system models the rich interconnections between narrators, transmission chains, historical events, geographic locations, and scholarly commentary as a living knowledge graph that the global scholarly community can contribute to, review, and build upon.</w:t>
      </w:r>
    </w:p>
    <w:p>
      <w:pPr>
        <w:spacing w:after="120"/>
      </w:pPr>
      <w:r>
        <w:rPr>
          <w:rFonts w:ascii="Arial" w:cs="Arial" w:eastAsia="Arial" w:hAnsi="Arial"/>
          <w:sz w:val="22"/>
          <w:szCs w:val="22"/>
        </w:rPr>
        <w:t xml:space="preserve">The platform honors the classical Islamic scholarly tradition of cumulative knowledge building (sharh, hashiya, ta’liq) while providing modern tools for verification, attribution, and peer review. Just as Ibn Hajar built upon al-Nawawi, who built upon earlier scholars, this system enables contemporary researchers and scholars to add their insights in a way that is properly attributed, peer-reviewed, and permanently linked to the existing body of knowledge.</w:t>
      </w:r>
    </w:p>
    <w:p>
      <w:pPr>
        <w:pStyle w:val="Heading2"/>
        <w:spacing w:after="150" w:before="300"/>
      </w:pPr>
      <w:r>
        <w:rPr>
          <w:b/>
          <w:bCs/>
        </w:rPr>
        <w:t xml:space="preserve">Core Principles</w:t>
      </w:r>
    </w:p>
    <w:p>
      <w:pPr>
        <w:pStyle w:val="ListParagraph"/>
        <w:numPr>
          <w:ilvl w:val="0"/>
          <w:numId w:val="2"/>
        </w:numPr>
        <w:spacing w:after="80"/>
      </w:pPr>
      <w:r>
        <w:rPr>
          <w:rFonts w:ascii="Arial" w:cs="Arial" w:eastAsia="Arial" w:hAnsi="Arial"/>
          <w:sz w:val="22"/>
          <w:szCs w:val="22"/>
        </w:rPr>
        <w:t xml:space="preserve">Scholarly Integrity: Every contribution is attributed, timestamped, and linked to its author’s credentials</w:t>
      </w:r>
    </w:p>
    <w:p>
      <w:pPr>
        <w:pStyle w:val="ListParagraph"/>
        <w:numPr>
          <w:ilvl w:val="0"/>
          <w:numId w:val="2"/>
        </w:numPr>
        <w:spacing w:after="80"/>
      </w:pPr>
      <w:r>
        <w:rPr>
          <w:rFonts w:ascii="Arial" w:cs="Arial" w:eastAsia="Arial" w:hAnsi="Arial"/>
          <w:sz w:val="22"/>
          <w:szCs w:val="22"/>
        </w:rPr>
        <w:t xml:space="preserve">Cumulative Knowledge: New scholarship builds on and references existing work, forming traceable chains</w:t>
      </w:r>
    </w:p>
    <w:p>
      <w:pPr>
        <w:pStyle w:val="ListParagraph"/>
        <w:numPr>
          <w:ilvl w:val="0"/>
          <w:numId w:val="2"/>
        </w:numPr>
        <w:spacing w:after="80"/>
      </w:pPr>
      <w:r>
        <w:rPr>
          <w:rFonts w:ascii="Arial" w:cs="Arial" w:eastAsia="Arial" w:hAnsi="Arial"/>
          <w:sz w:val="22"/>
          <w:szCs w:val="22"/>
        </w:rPr>
        <w:t xml:space="preserve">Open Access: The core dataset and platform remain freely accessible to all researchers</w:t>
      </w:r>
    </w:p>
    <w:p>
      <w:pPr>
        <w:pStyle w:val="ListParagraph"/>
        <w:numPr>
          <w:ilvl w:val="0"/>
          <w:numId w:val="2"/>
        </w:numPr>
        <w:spacing w:after="80"/>
      </w:pPr>
      <w:r>
        <w:rPr>
          <w:rFonts w:ascii="Arial" w:cs="Arial" w:eastAsia="Arial" w:hAnsi="Arial"/>
          <w:sz w:val="22"/>
          <w:szCs w:val="22"/>
        </w:rPr>
        <w:t xml:space="preserve">Peer Review: All contributions undergo community and editorial review before publication</w:t>
      </w:r>
    </w:p>
    <w:p>
      <w:pPr>
        <w:pStyle w:val="ListParagraph"/>
        <w:numPr>
          <w:ilvl w:val="0"/>
          <w:numId w:val="2"/>
        </w:numPr>
        <w:spacing w:after="80"/>
      </w:pPr>
      <w:r>
        <w:rPr>
          <w:rFonts w:ascii="Arial" w:cs="Arial" w:eastAsia="Arial" w:hAnsi="Arial"/>
          <w:sz w:val="22"/>
          <w:szCs w:val="22"/>
        </w:rPr>
        <w:t xml:space="preserve">Graph-Native: Relationships between entities are first-class citizens, not afterthoughts</w:t>
      </w:r>
    </w:p>
    <w:p>
      <w:pPr>
        <w:pStyle w:val="Heading1"/>
        <w:spacing w:after="150" w:before="300"/>
      </w:pPr>
      <w:r>
        <w:rPr>
          <w:b/>
          <w:bCs/>
        </w:rPr>
        <w:t xml:space="preserve">2. Current System Architecture</w:t>
      </w:r>
    </w:p>
    <w:p>
      <w:pPr>
        <w:spacing w:after="120"/>
      </w:pPr>
      <w:r>
        <w:rPr>
          <w:rFonts w:ascii="Arial" w:cs="Arial" w:eastAsia="Arial" w:hAnsi="Arial"/>
          <w:sz w:val="22"/>
          <w:szCs w:val="22"/>
        </w:rPr>
        <w:t xml:space="preserve">The existing Hadith Graph Explorer is a Next.js 16 application backed by a Neo4j graph database hosted on Railway. The current data pipeline ingests two Kaggle datasets containing approximately 34,500 hadiths from the six canonical collections and 24,300 narrator biographies with teacher-student relationships.</w:t>
      </w:r>
    </w:p>
    <w:p>
      <w:pPr>
        <w:pStyle w:val="Heading2"/>
        <w:spacing w:after="150" w:before="300"/>
      </w:pPr>
      <w:r>
        <w:rPr>
          <w:b/>
          <w:bCs/>
        </w:rPr>
        <w:t xml:space="preserve">Neo4j Graph Schema</w:t>
      </w:r>
    </w:p>
    <w:p>
      <w:pPr>
        <w:spacing w:after="120"/>
      </w:pPr>
      <w:r>
        <w:rPr>
          <w:rFonts w:ascii="Arial" w:cs="Arial" w:eastAsia="Arial" w:hAnsi="Arial"/>
          <w:sz w:val="22"/>
          <w:szCs w:val="22"/>
        </w:rPr>
        <w:t xml:space="preserve">The database contains the following node types and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c>
          <w:tcPr>
            <w:tcW w:type="dxa" w:w="2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3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Count (Post-Import)</w:t>
            </w:r>
          </w:p>
        </w:tc>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~24,300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reliability, tabaqah, bio, dates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Hadith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~34,500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chapter, text (ar/en), grade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~34,500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is_golden_chain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MatnVariation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~34,500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source_book, text (ar/en)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HistoricalEvent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 (seeded)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dates, category, significance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(seeded)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coordinates, modern_country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(ready)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source_work, author, text, type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Scholar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era, school, authority_rank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compiler, total_hadiths</w:t>
            </w:r>
          </w:p>
        </w:tc>
      </w:tr>
    </w:tbl>
    <w:p>
      <w:pPr>
        <w:spacing w:after="120"/>
      </w:pPr>
      <w:r>
        <w:rPr>
          <w:rFonts w:ascii="Arial" w:cs="Arial" w:eastAsia="Arial" w:hAnsi="Arial"/>
          <w:sz w:val="22"/>
          <w:szCs w:val="22"/>
        </w:rPr>
        <w:t xml:space="preserve">Key relationships include HEARD_FROM (narrator transmission), HAS_VARIATION, TRANSMITTED_VIA, INCLUDES (chain structure), COMMENTS_ON, DISCUSSES (commentary), INVOLVED_IN (event participation), BORN_IN/DIED_IN/RESIDED_IN (location links), and FROM_SOURCE (hadith provenance).</w:t>
      </w:r>
    </w:p>
    <w:p>
      <w:r>
        <w:br w:type="page"/>
      </w:r>
    </w:p>
    <w:p>
      <w:pPr>
        <w:pStyle w:val="Heading1"/>
        <w:spacing w:after="150" w:before="300"/>
      </w:pPr>
      <w:r>
        <w:rPr>
          <w:b/>
          <w:bCs/>
        </w:rPr>
        <w:t xml:space="preserve">3. Open Scholarly Contribution System</w:t>
      </w:r>
    </w:p>
    <w:p>
      <w:pPr>
        <w:spacing w:after="120"/>
      </w:pPr>
      <w:r>
        <w:rPr>
          <w:rFonts w:ascii="Arial" w:cs="Arial" w:eastAsia="Arial" w:hAnsi="Arial"/>
          <w:sz w:val="22"/>
          <w:szCs w:val="22"/>
        </w:rPr>
        <w:t xml:space="preserve">The contribution system is designed around four pillars: contributor identity, content types, review workflow, and quality assurance. Each pillar draws from both classical Islamic scholarly traditions and modern open-source collaboration patterns.</w:t>
      </w:r>
    </w:p>
    <w:p>
      <w:pPr>
        <w:pStyle w:val="Heading2"/>
        <w:spacing w:after="150" w:before="300"/>
      </w:pPr>
      <w:r>
        <w:rPr>
          <w:b/>
          <w:bCs/>
        </w:rPr>
        <w:t xml:space="preserve">3.1 Contributor Identity &amp; Credentials</w:t>
      </w:r>
    </w:p>
    <w:p>
      <w:pPr>
        <w:spacing w:after="120"/>
      </w:pPr>
      <w:r>
        <w:rPr>
          <w:rFonts w:ascii="Arial" w:cs="Arial" w:eastAsia="Arial" w:hAnsi="Arial"/>
          <w:sz w:val="22"/>
          <w:szCs w:val="22"/>
        </w:rPr>
        <w:t xml:space="preserve">Every contributor has a persistent scholarly profile that tracks their work, expertise, and standing within the community. This mirrors the classical concept of rijal (narrator biography) applied to modern scholars.</w:t>
      </w:r>
    </w:p>
    <w:p>
      <w:pPr>
        <w:pStyle w:val="Heading3"/>
        <w:spacing w:after="150" w:before="300"/>
      </w:pPr>
      <w:r>
        <w:rPr>
          <w:b/>
          <w:bCs/>
        </w:rPr>
        <w:t xml:space="preserve">Contributor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00"/>
        <w:gridCol w:w="2260"/>
      </w:tblGrid>
      <w:t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c>
          <w:tcPr>
            <w:tcW w:type="dxa" w:w="23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c>
          <w:tcPr>
            <w:tcW w:type="dxa" w:w="22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Review Power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all public content, bookmark, share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registration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Contributor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commentaries, suggest edits, flag issues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email + profile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Approve/reject submissions, add editorial notes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approved contributions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Vote on submissions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 approved content, manage collections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Invitation by admins + scholarly credentials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approval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management, role assignment, policy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owner/delegate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Override all</w:t>
            </w:r>
          </w:p>
        </w:tc>
      </w:tr>
    </w:tbl>
    <w:p>
      <w:pPr>
        <w:pStyle w:val="Heading3"/>
        <w:spacing w:after="150" w:before="300"/>
      </w:pPr>
      <w:r>
        <w:rPr>
          <w:b/>
          <w:bCs/>
        </w:rPr>
        <w:t xml:space="preserve">Digital Ijazah System</w:t>
      </w:r>
    </w:p>
    <w:p>
      <w:pPr>
        <w:spacing w:after="120"/>
      </w:pPr>
      <w:r>
        <w:rPr>
          <w:rFonts w:ascii="Arial" w:cs="Arial" w:eastAsia="Arial" w:hAnsi="Arial"/>
          <w:sz w:val="22"/>
          <w:szCs w:val="22"/>
        </w:rPr>
        <w:t xml:space="preserve">Inspired by the traditional ijazah (scholarly license), the platform will implement a digital credential system where established scholars can vouch for new contributors. This creates a trust chain:</w:t>
      </w:r>
    </w:p>
    <w:p>
      <w:pPr>
        <w:pStyle w:val="ListParagraph"/>
        <w:numPr>
          <w:ilvl w:val="0"/>
          <w:numId w:val="2"/>
        </w:numPr>
        <w:spacing w:after="80"/>
      </w:pPr>
      <w:r>
        <w:rPr>
          <w:rFonts w:ascii="Arial" w:cs="Arial" w:eastAsia="Arial" w:hAnsi="Arial"/>
          <w:sz w:val="22"/>
          <w:szCs w:val="22"/>
        </w:rPr>
        <w:t xml:space="preserve">A contributor can request endorsement from an Editor or established Reviewer</w:t>
      </w:r>
    </w:p>
    <w:p>
      <w:pPr>
        <w:pStyle w:val="ListParagraph"/>
        <w:numPr>
          <w:ilvl w:val="0"/>
          <w:numId w:val="2"/>
        </w:numPr>
        <w:spacing w:after="80"/>
      </w:pPr>
      <w:r>
        <w:rPr>
          <w:rFonts w:ascii="Arial" w:cs="Arial" w:eastAsia="Arial" w:hAnsi="Arial"/>
          <w:sz w:val="22"/>
          <w:szCs w:val="22"/>
        </w:rPr>
        <w:t xml:space="preserve">The endorsement is recorded as a graph relationship: (Endorser)-[:ENDORSES {field, date}]-&gt;(Contributor)</w:t>
      </w:r>
    </w:p>
    <w:p>
      <w:pPr>
        <w:pStyle w:val="ListParagraph"/>
        <w:numPr>
          <w:ilvl w:val="0"/>
          <w:numId w:val="2"/>
        </w:numPr>
        <w:spacing w:after="80"/>
      </w:pPr>
      <w:r>
        <w:rPr>
          <w:rFonts w:ascii="Arial" w:cs="Arial" w:eastAsia="Arial" w:hAnsi="Arial"/>
          <w:sz w:val="22"/>
          <w:szCs w:val="22"/>
        </w:rPr>
        <w:t xml:space="preserve">Endorsed contributors gain elevated trust scores for submissions in their endorsed field</w:t>
      </w:r>
    </w:p>
    <w:p>
      <w:pPr>
        <w:pStyle w:val="ListParagraph"/>
        <w:numPr>
          <w:ilvl w:val="0"/>
          <w:numId w:val="2"/>
        </w:numPr>
        <w:spacing w:after="80"/>
      </w:pPr>
      <w:r>
        <w:rPr>
          <w:rFonts w:ascii="Arial" w:cs="Arial" w:eastAsia="Arial" w:hAnsi="Arial"/>
          <w:sz w:val="22"/>
          <w:szCs w:val="22"/>
        </w:rPr>
        <w:t xml:space="preserve">The endorsement chain is publicly visible, mirroring the classical sanad of scholarly authority</w:t>
      </w:r>
    </w:p>
    <w:p>
      <w:pPr>
        <w:pStyle w:val="Heading2"/>
        <w:spacing w:after="150" w:before="300"/>
      </w:pPr>
      <w:r>
        <w:rPr>
          <w:b/>
          <w:bCs/>
        </w:rPr>
        <w:t xml:space="preserve">3.2 Contribution Content Types</w:t>
      </w:r>
    </w:p>
    <w:p>
      <w:pPr>
        <w:spacing w:after="120"/>
      </w:pPr>
      <w:r>
        <w:rPr>
          <w:rFonts w:ascii="Arial" w:cs="Arial" w:eastAsia="Arial" w:hAnsi="Arial"/>
          <w:sz w:val="22"/>
          <w:szCs w:val="22"/>
        </w:rPr>
        <w:t xml:space="preserve">The system accepts eight distinct types of scholarly contributions, each with specific submission requirements and review criteria:</w:t>
      </w:r>
    </w:p>
    <w:p>
      <w:pPr>
        <w:pStyle w:val="ListParagraph"/>
        <w:numPr>
          <w:ilvl w:val="0"/>
          <w:numId w:val="3"/>
        </w:numPr>
        <w:spacing w:after="80"/>
      </w:pPr>
      <w:r>
        <w:rPr>
          <w:rFonts w:ascii="Arial" w:cs="Arial" w:eastAsia="Arial" w:hAnsi="Arial"/>
          <w:sz w:val="22"/>
          <w:szCs w:val="22"/>
        </w:rPr>
        <w:t xml:space="preserve">Scholarly Commentary (Sharh): In-depth analysis of a specific hadith or narrator, following the classical sharh tradition. Must reference the primary text and cite sources.</w:t>
      </w:r>
    </w:p>
    <w:p>
      <w:pPr>
        <w:pStyle w:val="ListParagraph"/>
        <w:numPr>
          <w:ilvl w:val="0"/>
          <w:numId w:val="3"/>
        </w:numPr>
        <w:spacing w:after="80"/>
      </w:pPr>
      <w:r>
        <w:rPr>
          <w:rFonts w:ascii="Arial" w:cs="Arial" w:eastAsia="Arial" w:hAnsi="Arial"/>
          <w:sz w:val="22"/>
          <w:szCs w:val="22"/>
        </w:rPr>
        <w:t xml:space="preserve">Narrator Evaluation (Jarh wa Ta’dil): Assessment of a narrator’s reliability with evidence from biographical dictionaries. References to classical works like Tahdhib al-Kamal or Mizan al-I’tidal are expected.</w:t>
      </w:r>
    </w:p>
    <w:p>
      <w:pPr>
        <w:pStyle w:val="ListParagraph"/>
        <w:numPr>
          <w:ilvl w:val="0"/>
          <w:numId w:val="3"/>
        </w:numPr>
        <w:spacing w:after="80"/>
      </w:pPr>
      <w:r>
        <w:rPr>
          <w:rFonts w:ascii="Arial" w:cs="Arial" w:eastAsia="Arial" w:hAnsi="Arial"/>
          <w:sz w:val="22"/>
          <w:szCs w:val="22"/>
        </w:rPr>
        <w:t xml:space="preserve">Historical Context: Events, political circumstances, or social conditions that illuminate the context of a hadith’s transmission or content.</w:t>
      </w:r>
    </w:p>
    <w:p>
      <w:pPr>
        <w:pStyle w:val="ListParagraph"/>
        <w:numPr>
          <w:ilvl w:val="0"/>
          <w:numId w:val="3"/>
        </w:numPr>
        <w:spacing w:after="80"/>
      </w:pPr>
      <w:r>
        <w:rPr>
          <w:rFonts w:ascii="Arial" w:cs="Arial" w:eastAsia="Arial" w:hAnsi="Arial"/>
          <w:sz w:val="22"/>
          <w:szCs w:val="22"/>
        </w:rPr>
        <w:t xml:space="preserve">Translation: New or corrected translations of hadith text, narrator names, or commentary into any language.</w:t>
      </w:r>
    </w:p>
    <w:p>
      <w:pPr>
        <w:pStyle w:val="ListParagraph"/>
        <w:numPr>
          <w:ilvl w:val="0"/>
          <w:numId w:val="3"/>
        </w:numPr>
        <w:spacing w:after="80"/>
      </w:pPr>
      <w:r>
        <w:rPr>
          <w:rFonts w:ascii="Arial" w:cs="Arial" w:eastAsia="Arial" w:hAnsi="Arial"/>
          <w:sz w:val="22"/>
          <w:szCs w:val="22"/>
        </w:rPr>
        <w:t xml:space="preserve">Chain Analysis: Technical analysis of an isnad (transmission chain), including identification of gaps, corroborating chains, or narrator reliability patterns.</w:t>
      </w:r>
    </w:p>
    <w:p>
      <w:pPr>
        <w:pStyle w:val="ListParagraph"/>
        <w:numPr>
          <w:ilvl w:val="0"/>
          <w:numId w:val="3"/>
        </w:numPr>
        <w:spacing w:after="80"/>
      </w:pPr>
      <w:r>
        <w:rPr>
          <w:rFonts w:ascii="Arial" w:cs="Arial" w:eastAsia="Arial" w:hAnsi="Arial"/>
          <w:sz w:val="22"/>
          <w:szCs w:val="22"/>
        </w:rPr>
        <w:t xml:space="preserve">Collection Submission: An entire dataset of hadiths, narrators, or commentary from a scholarly source not yet in the system. Subject to bulk review.</w:t>
      </w:r>
    </w:p>
    <w:p>
      <w:pPr>
        <w:pStyle w:val="ListParagraph"/>
        <w:numPr>
          <w:ilvl w:val="0"/>
          <w:numId w:val="3"/>
        </w:numPr>
        <w:spacing w:after="80"/>
      </w:pPr>
      <w:r>
        <w:rPr>
          <w:rFonts w:ascii="Arial" w:cs="Arial" w:eastAsia="Arial" w:hAnsi="Arial"/>
          <w:sz w:val="22"/>
          <w:szCs w:val="22"/>
        </w:rPr>
        <w:t xml:space="preserve">Correction/Amendment: Fixes to existing data such as dates, names, transliterations, or classifications. Requires citation of correcting source.</w:t>
      </w:r>
    </w:p>
    <w:p>
      <w:pPr>
        <w:pStyle w:val="ListParagraph"/>
        <w:numPr>
          <w:ilvl w:val="0"/>
          <w:numId w:val="3"/>
        </w:numPr>
        <w:spacing w:after="80"/>
      </w:pPr>
      <w:r>
        <w:rPr>
          <w:rFonts w:ascii="Arial" w:cs="Arial" w:eastAsia="Arial" w:hAnsi="Arial"/>
          <w:sz w:val="22"/>
          <w:szCs w:val="22"/>
        </w:rPr>
        <w:t xml:space="preserve">Cross-Reference: Links between hadiths, narrators, events, or locations that add scholarly value. Must include justification.</w:t>
      </w:r>
    </w:p>
    <w:p>
      <w:r>
        <w:br w:type="page"/>
      </w:r>
    </w:p>
    <w:p>
      <w:pPr>
        <w:pStyle w:val="Heading2"/>
        <w:spacing w:after="150" w:before="300"/>
      </w:pPr>
      <w:r>
        <w:rPr>
          <w:b/>
          <w:bCs/>
        </w:rPr>
        <w:t xml:space="preserve">3.3 Submission &amp; Review Workflow</w:t>
      </w:r>
    </w:p>
    <w:p>
      <w:pPr>
        <w:spacing w:after="120"/>
      </w:pPr>
      <w:r>
        <w:rPr>
          <w:rFonts w:ascii="Arial" w:cs="Arial" w:eastAsia="Arial" w:hAnsi="Arial"/>
          <w:sz w:val="22"/>
          <w:szCs w:val="22"/>
        </w:rPr>
        <w:t xml:space="preserve">The review process is modeled on both GitHub pull request workflows and the classical Islamic scholarly review tradition, where knowledge is verified through chains of trusted authorities.</w:t>
      </w:r>
    </w:p>
    <w:p>
      <w:pPr>
        <w:pStyle w:val="Heading3"/>
        <w:spacing w:after="150" w:before="300"/>
      </w:pPr>
      <w:r>
        <w:rPr>
          <w:b/>
          <w:bCs/>
        </w:rPr>
        <w:t xml:space="preserve">Submission States</w:t>
      </w:r>
    </w:p>
    <w:p>
      <w:pPr>
        <w:spacing w:after="120"/>
      </w:pPr>
      <w:r>
        <w:rPr>
          <w:rFonts w:ascii="Arial" w:cs="Arial" w:eastAsia="Arial" w:hAnsi="Arial"/>
          <w:sz w:val="22"/>
          <w:szCs w:val="22"/>
        </w:rPr>
        <w:t xml:space="preserve">Each submission progresses through a defined lifecycle:</w:t>
      </w:r>
    </w:p>
    <w:p>
      <w:pPr>
        <w:spacing w:after="120"/>
      </w:pPr>
      <w:r>
        <w:rPr>
          <w:rFonts w:ascii="Arial" w:cs="Arial" w:eastAsia="Arial" w:hAnsi="Arial"/>
          <w:b/>
          <w:bCs/>
          <w:sz w:val="22"/>
          <w:szCs w:val="22"/>
        </w:rPr>
        <w:t xml:space="preserve">Draft → </w:t>
      </w:r>
      <w:r>
        <w:rPr>
          <w:rFonts w:ascii="Arial" w:cs="Arial" w:eastAsia="Arial" w:hAnsi="Arial"/>
          <w:sz w:val="22"/>
          <w:szCs w:val="22"/>
        </w:rPr>
        <w:t xml:space="preserve">The contributor is still working on the submission. Not visible to reviewers.</w:t>
      </w:r>
    </w:p>
    <w:p>
      <w:pPr>
        <w:spacing w:after="120"/>
      </w:pPr>
      <w:r>
        <w:rPr>
          <w:rFonts w:ascii="Arial" w:cs="Arial" w:eastAsia="Arial" w:hAnsi="Arial"/>
          <w:b/>
          <w:bCs/>
          <w:sz w:val="22"/>
          <w:szCs w:val="22"/>
        </w:rPr>
        <w:t xml:space="preserve">Submitted → </w:t>
      </w:r>
      <w:r>
        <w:rPr>
          <w:rFonts w:ascii="Arial" w:cs="Arial" w:eastAsia="Arial" w:hAnsi="Arial"/>
          <w:sz w:val="22"/>
          <w:szCs w:val="22"/>
        </w:rPr>
        <w:t xml:space="preserve">Ready for review. Visible to reviewers in the queue.</w:t>
      </w:r>
    </w:p>
    <w:p>
      <w:pPr>
        <w:spacing w:after="120"/>
      </w:pPr>
      <w:r>
        <w:rPr>
          <w:rFonts w:ascii="Arial" w:cs="Arial" w:eastAsia="Arial" w:hAnsi="Arial"/>
          <w:b/>
          <w:bCs/>
          <w:sz w:val="22"/>
          <w:szCs w:val="22"/>
        </w:rPr>
        <w:t xml:space="preserve">Under Review → </w:t>
      </w:r>
      <w:r>
        <w:rPr>
          <w:rFonts w:ascii="Arial" w:cs="Arial" w:eastAsia="Arial" w:hAnsi="Arial"/>
          <w:sz w:val="22"/>
          <w:szCs w:val="22"/>
        </w:rPr>
        <w:t xml:space="preserve">Assigned to one or more reviewers. Discussion thread is active.</w:t>
      </w:r>
    </w:p>
    <w:p>
      <w:pPr>
        <w:spacing w:after="120"/>
      </w:pPr>
      <w:r>
        <w:rPr>
          <w:rFonts w:ascii="Arial" w:cs="Arial" w:eastAsia="Arial" w:hAnsi="Arial"/>
          <w:b/>
          <w:bCs/>
          <w:sz w:val="22"/>
          <w:szCs w:val="22"/>
        </w:rPr>
        <w:t xml:space="preserve">Revision Requested → </w:t>
      </w:r>
      <w:r>
        <w:rPr>
          <w:rFonts w:ascii="Arial" w:cs="Arial" w:eastAsia="Arial" w:hAnsi="Arial"/>
          <w:sz w:val="22"/>
          <w:szCs w:val="22"/>
        </w:rPr>
        <w:t xml:space="preserve">Reviewer has requested changes. Returns to contributor.</w:t>
      </w:r>
    </w:p>
    <w:p>
      <w:pPr>
        <w:spacing w:after="120"/>
      </w:pPr>
      <w:r>
        <w:rPr>
          <w:rFonts w:ascii="Arial" w:cs="Arial" w:eastAsia="Arial" w:hAnsi="Arial"/>
          <w:b/>
          <w:bCs/>
          <w:sz w:val="22"/>
          <w:szCs w:val="22"/>
        </w:rPr>
        <w:t xml:space="preserve">Approved → </w:t>
      </w:r>
      <w:r>
        <w:rPr>
          <w:rFonts w:ascii="Arial" w:cs="Arial" w:eastAsia="Arial" w:hAnsi="Arial"/>
          <w:sz w:val="22"/>
          <w:szCs w:val="22"/>
        </w:rPr>
        <w:t xml:space="preserve">Passed review. Awaiting editor final check.</w:t>
      </w:r>
    </w:p>
    <w:p>
      <w:pPr>
        <w:spacing w:after="120"/>
      </w:pPr>
      <w:r>
        <w:rPr>
          <w:rFonts w:ascii="Arial" w:cs="Arial" w:eastAsia="Arial" w:hAnsi="Arial"/>
          <w:b/>
          <w:bCs/>
          <w:sz w:val="22"/>
          <w:szCs w:val="22"/>
        </w:rPr>
        <w:t xml:space="preserve">Published → </w:t>
      </w:r>
      <w:r>
        <w:rPr>
          <w:rFonts w:ascii="Arial" w:cs="Arial" w:eastAsia="Arial" w:hAnsi="Arial"/>
          <w:sz w:val="22"/>
          <w:szCs w:val="22"/>
        </w:rPr>
        <w:t xml:space="preserve">Live on the platform. Attributed to the contributor.</w:t>
      </w:r>
    </w:p>
    <w:p>
      <w:pPr>
        <w:spacing w:after="120"/>
      </w:pPr>
      <w:r>
        <w:rPr>
          <w:rFonts w:ascii="Arial" w:cs="Arial" w:eastAsia="Arial" w:hAnsi="Arial"/>
          <w:b/>
          <w:bCs/>
          <w:sz w:val="22"/>
          <w:szCs w:val="22"/>
        </w:rPr>
        <w:t xml:space="preserve">Rejected → </w:t>
      </w:r>
      <w:r>
        <w:rPr>
          <w:rFonts w:ascii="Arial" w:cs="Arial" w:eastAsia="Arial" w:hAnsi="Arial"/>
          <w:sz w:val="22"/>
          <w:szCs w:val="22"/>
        </w:rPr>
        <w:t xml:space="preserve">Did not meet quality standards. Feedback provided.</w:t>
      </w:r>
    </w:p>
    <w:p>
      <w:pPr>
        <w:pStyle w:val="Heading3"/>
        <w:spacing w:after="150" w:before="300"/>
      </w:pPr>
      <w:r>
        <w:rPr>
          <w:b/>
          <w:bCs/>
        </w:rPr>
        <w:t xml:space="preserve">Review Criteria</w:t>
      </w:r>
    </w:p>
    <w:p>
      <w:pPr>
        <w:spacing w:after="120"/>
      </w:pPr>
      <w:r>
        <w:rPr>
          <w:rFonts w:ascii="Arial" w:cs="Arial" w:eastAsia="Arial" w:hAnsi="Arial"/>
          <w:sz w:val="22"/>
          <w:szCs w:val="22"/>
        </w:rPr>
        <w:t xml:space="preserve">Reviewers evaluate submissions against these standards:</w:t>
      </w:r>
    </w:p>
    <w:p>
      <w:pPr>
        <w:pStyle w:val="ListParagraph"/>
        <w:numPr>
          <w:ilvl w:val="0"/>
          <w:numId w:val="2"/>
        </w:numPr>
        <w:spacing w:after="80"/>
      </w:pPr>
      <w:r>
        <w:rPr>
          <w:rFonts w:ascii="Arial" w:cs="Arial" w:eastAsia="Arial" w:hAnsi="Arial"/>
          <w:sz w:val="22"/>
          <w:szCs w:val="22"/>
        </w:rPr>
        <w:t xml:space="preserve">Source Verification: Are cited sources real, correctly referenced, and accurately represented?</w:t>
      </w:r>
    </w:p>
    <w:p>
      <w:pPr>
        <w:pStyle w:val="ListParagraph"/>
        <w:numPr>
          <w:ilvl w:val="0"/>
          <w:numId w:val="2"/>
        </w:numPr>
        <w:spacing w:after="80"/>
      </w:pPr>
      <w:r>
        <w:rPr>
          <w:rFonts w:ascii="Arial" w:cs="Arial" w:eastAsia="Arial" w:hAnsi="Arial"/>
          <w:sz w:val="22"/>
          <w:szCs w:val="22"/>
        </w:rPr>
        <w:t xml:space="preserve">Scholarly Accuracy: Does the content align with established Islamic scholarship?</w:t>
      </w:r>
    </w:p>
    <w:p>
      <w:pPr>
        <w:pStyle w:val="ListParagraph"/>
        <w:numPr>
          <w:ilvl w:val="0"/>
          <w:numId w:val="2"/>
        </w:numPr>
        <w:spacing w:after="80"/>
      </w:pPr>
      <w:r>
        <w:rPr>
          <w:rFonts w:ascii="Arial" w:cs="Arial" w:eastAsia="Arial" w:hAnsi="Arial"/>
          <w:sz w:val="22"/>
          <w:szCs w:val="22"/>
        </w:rPr>
        <w:t xml:space="preserve">Proper Attribution: Are all influences, quotes, and ideas properly credited?</w:t>
      </w:r>
    </w:p>
    <w:p>
      <w:pPr>
        <w:pStyle w:val="ListParagraph"/>
        <w:numPr>
          <w:ilvl w:val="0"/>
          <w:numId w:val="2"/>
        </w:numPr>
        <w:spacing w:after="80"/>
      </w:pPr>
      <w:r>
        <w:rPr>
          <w:rFonts w:ascii="Arial" w:cs="Arial" w:eastAsia="Arial" w:hAnsi="Arial"/>
          <w:sz w:val="22"/>
          <w:szCs w:val="22"/>
        </w:rPr>
        <w:t xml:space="preserve">Objectivity: Does the submission present evidence fairly, noting scholarly disagreements where they exist?</w:t>
      </w:r>
    </w:p>
    <w:p>
      <w:pPr>
        <w:pStyle w:val="ListParagraph"/>
        <w:numPr>
          <w:ilvl w:val="0"/>
          <w:numId w:val="2"/>
        </w:numPr>
        <w:spacing w:after="80"/>
      </w:pPr>
      <w:r>
        <w:rPr>
          <w:rFonts w:ascii="Arial" w:cs="Arial" w:eastAsia="Arial" w:hAnsi="Arial"/>
          <w:sz w:val="22"/>
          <w:szCs w:val="22"/>
        </w:rPr>
        <w:t xml:space="preserve">Completeness: Is the contribution self-contained enough to be useful?</w:t>
      </w:r>
    </w:p>
    <w:p>
      <w:pPr>
        <w:pStyle w:val="ListParagraph"/>
        <w:numPr>
          <w:ilvl w:val="0"/>
          <w:numId w:val="2"/>
        </w:numPr>
        <w:spacing w:after="80"/>
      </w:pPr>
      <w:r>
        <w:rPr>
          <w:rFonts w:ascii="Arial" w:cs="Arial" w:eastAsia="Arial" w:hAnsi="Arial"/>
          <w:sz w:val="22"/>
          <w:szCs w:val="22"/>
        </w:rPr>
        <w:t xml:space="preserve">Arabic Accuracy: For Arabic content, is the text correctly transcribed and diacritically marked?</w:t>
      </w:r>
    </w:p>
    <w:p>
      <w:pPr>
        <w:pStyle w:val="Heading3"/>
        <w:spacing w:after="150" w:before="300"/>
      </w:pPr>
      <w:r>
        <w:rPr>
          <w:b/>
          <w:bCs/>
        </w:rPr>
        <w:t xml:space="preserve">Neo4j Schema for Submissions</w:t>
      </w:r>
    </w:p>
    <w:p>
      <w:pPr>
        <w:spacing w:after="120"/>
      </w:pPr>
      <w:r>
        <w:rPr>
          <w:rFonts w:ascii="Arial" w:cs="Arial" w:eastAsia="Arial" w:hAnsi="Arial"/>
          <w:sz w:val="22"/>
          <w:szCs w:val="22"/>
        </w:rPr>
        <w:t xml:space="preserve">The contribution workflow is represented as nodes and relationships in the graph:</w:t>
      </w:r>
    </w:p>
    <w:p>
      <w:pPr>
        <w:pStyle w:val="ListParagraph"/>
        <w:numPr>
          <w:ilvl w:val="0"/>
          <w:numId w:val="2"/>
        </w:numPr>
        <w:spacing w:after="80"/>
      </w:pPr>
      <w:r>
        <w:rPr>
          <w:rFonts w:ascii="Arial" w:cs="Arial" w:eastAsia="Arial" w:hAnsi="Arial"/>
          <w:sz w:val="22"/>
          <w:szCs w:val="22"/>
        </w:rPr>
        <w:t xml:space="preserve">(Contributor)-[:SUBMITTED]-&gt;(Submission {status, created_at, updated_at})</w:t>
      </w:r>
    </w:p>
    <w:p>
      <w:pPr>
        <w:pStyle w:val="ListParagraph"/>
        <w:numPr>
          <w:ilvl w:val="0"/>
          <w:numId w:val="2"/>
        </w:numPr>
        <w:spacing w:after="80"/>
      </w:pPr>
      <w:r>
        <w:rPr>
          <w:rFonts w:ascii="Arial" w:cs="Arial" w:eastAsia="Arial" w:hAnsi="Arial"/>
          <w:sz w:val="22"/>
          <w:szCs w:val="22"/>
        </w:rPr>
        <w:t xml:space="preserve">(Submission)-[:TARGETS]-&gt;(Hadith|Narrator|Event) — what the contribution is about</w:t>
      </w:r>
    </w:p>
    <w:p>
      <w:pPr>
        <w:pStyle w:val="ListParagraph"/>
        <w:numPr>
          <w:ilvl w:val="0"/>
          <w:numId w:val="2"/>
        </w:numPr>
        <w:spacing w:after="80"/>
      </w:pPr>
      <w:r>
        <w:rPr>
          <w:rFonts w:ascii="Arial" w:cs="Arial" w:eastAsia="Arial" w:hAnsi="Arial"/>
          <w:sz w:val="22"/>
          <w:szCs w:val="22"/>
        </w:rPr>
        <w:t xml:space="preserve">(Submission)-[:CONTAINS]-&gt;(Commentary|Translation|Correction) — the content itself</w:t>
      </w:r>
    </w:p>
    <w:p>
      <w:pPr>
        <w:pStyle w:val="ListParagraph"/>
        <w:numPr>
          <w:ilvl w:val="0"/>
          <w:numId w:val="2"/>
        </w:numPr>
        <w:spacing w:after="80"/>
      </w:pPr>
      <w:r>
        <w:rPr>
          <w:rFonts w:ascii="Arial" w:cs="Arial" w:eastAsia="Arial" w:hAnsi="Arial"/>
          <w:sz w:val="22"/>
          <w:szCs w:val="22"/>
        </w:rPr>
        <w:t xml:space="preserve">(Reviewer)-[:REVIEWED {verdict, notes, date}]-&gt;(Submission)</w:t>
      </w:r>
    </w:p>
    <w:p>
      <w:pPr>
        <w:pStyle w:val="ListParagraph"/>
        <w:numPr>
          <w:ilvl w:val="0"/>
          <w:numId w:val="2"/>
        </w:numPr>
        <w:spacing w:after="80"/>
      </w:pPr>
      <w:r>
        <w:rPr>
          <w:rFonts w:ascii="Arial" w:cs="Arial" w:eastAsia="Arial" w:hAnsi="Arial"/>
          <w:sz w:val="22"/>
          <w:szCs w:val="22"/>
        </w:rPr>
        <w:t xml:space="preserve">(Editor)-[:PUBLISHED {date}]-&gt;(Submission)</w:t>
      </w:r>
    </w:p>
    <w:p>
      <w:pPr>
        <w:pStyle w:val="ListParagraph"/>
        <w:numPr>
          <w:ilvl w:val="0"/>
          <w:numId w:val="2"/>
        </w:numPr>
        <w:spacing w:after="80"/>
      </w:pPr>
      <w:r>
        <w:rPr>
          <w:rFonts w:ascii="Arial" w:cs="Arial" w:eastAsia="Arial" w:hAnsi="Arial"/>
          <w:sz w:val="22"/>
          <w:szCs w:val="22"/>
        </w:rPr>
        <w:t xml:space="preserve">(Submission)-[:SUPERSEDES]-&gt;(OlderSubmission) — version history</w:t>
      </w:r>
    </w:p>
    <w:p>
      <w:pPr>
        <w:pStyle w:val="Heading2"/>
        <w:spacing w:after="150" w:before="300"/>
      </w:pPr>
      <w:r>
        <w:rPr>
          <w:b/>
          <w:bCs/>
        </w:rPr>
        <w:t xml:space="preserve">3.4 Collection &amp; Documentation Submission</w:t>
      </w:r>
    </w:p>
    <w:p>
      <w:pPr>
        <w:spacing w:after="120"/>
      </w:pPr>
      <w:r>
        <w:rPr>
          <w:rFonts w:ascii="Arial" w:cs="Arial" w:eastAsia="Arial" w:hAnsi="Arial"/>
          <w:sz w:val="22"/>
          <w:szCs w:val="22"/>
        </w:rPr>
        <w:t xml:space="preserve">For scholars and institutions who want to contribute entire collections (new hadith compilations, narrator databases, commentary manuscripts), the system provides a bulk submission pipeline:</w:t>
      </w:r>
    </w:p>
    <w:p>
      <w:pPr>
        <w:pStyle w:val="ListParagraph"/>
        <w:numPr>
          <w:ilvl w:val="0"/>
          <w:numId w:val="4"/>
        </w:numPr>
        <w:spacing w:after="80"/>
      </w:pPr>
      <w:r>
        <w:rPr>
          <w:rFonts w:ascii="Arial" w:cs="Arial" w:eastAsia="Arial" w:hAnsi="Arial"/>
          <w:sz w:val="22"/>
          <w:szCs w:val="22"/>
        </w:rPr>
        <w:t xml:space="preserve">The contributor uploads a structured file (CSV, JSON, or XML) following a published schema specification.</w:t>
      </w:r>
    </w:p>
    <w:p>
      <w:pPr>
        <w:pStyle w:val="ListParagraph"/>
        <w:numPr>
          <w:ilvl w:val="0"/>
          <w:numId w:val="4"/>
        </w:numPr>
        <w:spacing w:after="80"/>
      </w:pPr>
      <w:r>
        <w:rPr>
          <w:rFonts w:ascii="Arial" w:cs="Arial" w:eastAsia="Arial" w:hAnsi="Arial"/>
          <w:sz w:val="22"/>
          <w:szCs w:val="22"/>
        </w:rPr>
        <w:t xml:space="preserve">The system validates the file against the schema, checking for required fields, valid references to existing entities (narrator IDs, hadith IDs), and data format compliance.</w:t>
      </w:r>
    </w:p>
    <w:p>
      <w:pPr>
        <w:pStyle w:val="ListParagraph"/>
        <w:numPr>
          <w:ilvl w:val="0"/>
          <w:numId w:val="4"/>
        </w:numPr>
        <w:spacing w:after="80"/>
      </w:pPr>
      <w:r>
        <w:rPr>
          <w:rFonts w:ascii="Arial" w:cs="Arial" w:eastAsia="Arial" w:hAnsi="Arial"/>
          <w:sz w:val="22"/>
          <w:szCs w:val="22"/>
        </w:rPr>
        <w:t xml:space="preserve">A preview is generated showing what will be added: new nodes, new relationships, and potential conflicts with existing data.</w:t>
      </w:r>
    </w:p>
    <w:p>
      <w:pPr>
        <w:pStyle w:val="ListParagraph"/>
        <w:numPr>
          <w:ilvl w:val="0"/>
          <w:numId w:val="4"/>
        </w:numPr>
        <w:spacing w:after="80"/>
      </w:pPr>
      <w:r>
        <w:rPr>
          <w:rFonts w:ascii="Arial" w:cs="Arial" w:eastAsia="Arial" w:hAnsi="Arial"/>
          <w:sz w:val="22"/>
          <w:szCs w:val="22"/>
        </w:rPr>
        <w:t xml:space="preserve">An Editor reviews the preview and the source documentation. For large collections, multiple Editors may split the review.</w:t>
      </w:r>
    </w:p>
    <w:p>
      <w:pPr>
        <w:pStyle w:val="ListParagraph"/>
        <w:numPr>
          <w:ilvl w:val="0"/>
          <w:numId w:val="4"/>
        </w:numPr>
        <w:spacing w:after="80"/>
      </w:pPr>
      <w:r>
        <w:rPr>
          <w:rFonts w:ascii="Arial" w:cs="Arial" w:eastAsia="Arial" w:hAnsi="Arial"/>
          <w:sz w:val="22"/>
          <w:szCs w:val="22"/>
        </w:rPr>
        <w:t xml:space="preserve">Upon approval, the data is imported in a transaction. Each imported entity is tagged with the submission ID for provenance tracking.</w:t>
      </w:r>
    </w:p>
    <w:p>
      <w:pPr>
        <w:pStyle w:val="ListParagraph"/>
        <w:numPr>
          <w:ilvl w:val="0"/>
          <w:numId w:val="4"/>
        </w:numPr>
        <w:spacing w:after="80"/>
      </w:pPr>
      <w:r>
        <w:rPr>
          <w:rFonts w:ascii="Arial" w:cs="Arial" w:eastAsia="Arial" w:hAnsi="Arial"/>
          <w:sz w:val="22"/>
          <w:szCs w:val="22"/>
        </w:rPr>
        <w:t xml:space="preserve">The contributor receives credit for the collection, and a Source node is created linking all imported entities to their origin.</w:t>
      </w:r>
    </w:p>
    <w:p>
      <w:pPr>
        <w:pStyle w:val="Heading3"/>
        <w:spacing w:after="150" w:before="300"/>
      </w:pPr>
      <w:r>
        <w:rPr>
          <w:b/>
          <w:bCs/>
        </w:rPr>
        <w:t xml:space="preserve">Supported Collection Types</w:t>
      </w:r>
    </w:p>
    <w:p>
      <w:pPr>
        <w:pStyle w:val="ListParagraph"/>
        <w:numPr>
          <w:ilvl w:val="0"/>
          <w:numId w:val="2"/>
        </w:numPr>
        <w:spacing w:after="80"/>
      </w:pPr>
      <w:r>
        <w:rPr>
          <w:rFonts w:ascii="Arial" w:cs="Arial" w:eastAsia="Arial" w:hAnsi="Arial"/>
          <w:sz w:val="22"/>
          <w:szCs w:val="22"/>
        </w:rPr>
        <w:t xml:space="preserve">Hadith collections from published scholarly works not yet in the system</w:t>
      </w:r>
    </w:p>
    <w:p>
      <w:pPr>
        <w:pStyle w:val="ListParagraph"/>
        <w:numPr>
          <w:ilvl w:val="0"/>
          <w:numId w:val="2"/>
        </w:numPr>
        <w:spacing w:after="80"/>
      </w:pPr>
      <w:r>
        <w:rPr>
          <w:rFonts w:ascii="Arial" w:cs="Arial" w:eastAsia="Arial" w:hAnsi="Arial"/>
          <w:sz w:val="22"/>
          <w:szCs w:val="22"/>
        </w:rPr>
        <w:t xml:space="preserve">Narrator biographical data from classical rijal works (Tahdhib al-Kamal, Siyar, etc.)</w:t>
      </w:r>
    </w:p>
    <w:p>
      <w:pPr>
        <w:pStyle w:val="ListParagraph"/>
        <w:numPr>
          <w:ilvl w:val="0"/>
          <w:numId w:val="2"/>
        </w:numPr>
        <w:spacing w:after="80"/>
      </w:pPr>
      <w:r>
        <w:rPr>
          <w:rFonts w:ascii="Arial" w:cs="Arial" w:eastAsia="Arial" w:hAnsi="Arial"/>
          <w:sz w:val="22"/>
          <w:szCs w:val="22"/>
        </w:rPr>
        <w:t xml:space="preserve">Complete sharh (commentary) works structured by hadith reference</w:t>
      </w:r>
    </w:p>
    <w:p>
      <w:pPr>
        <w:pStyle w:val="ListParagraph"/>
        <w:numPr>
          <w:ilvl w:val="0"/>
          <w:numId w:val="2"/>
        </w:numPr>
        <w:spacing w:after="80"/>
      </w:pPr>
      <w:r>
        <w:rPr>
          <w:rFonts w:ascii="Arial" w:cs="Arial" w:eastAsia="Arial" w:hAnsi="Arial"/>
          <w:sz w:val="22"/>
          <w:szCs w:val="22"/>
        </w:rPr>
        <w:t xml:space="preserve">Geographic and historical data enriching the timeline</w:t>
      </w:r>
    </w:p>
    <w:p>
      <w:pPr>
        <w:pStyle w:val="ListParagraph"/>
        <w:numPr>
          <w:ilvl w:val="0"/>
          <w:numId w:val="2"/>
        </w:numPr>
        <w:spacing w:after="80"/>
      </w:pPr>
      <w:r>
        <w:rPr>
          <w:rFonts w:ascii="Arial" w:cs="Arial" w:eastAsia="Arial" w:hAnsi="Arial"/>
          <w:sz w:val="22"/>
          <w:szCs w:val="22"/>
        </w:rPr>
        <w:t xml:space="preserve">Cross-reference datasets linking hadiths to Quranic verses or legal rulings</w:t>
      </w:r>
    </w:p>
    <w:p>
      <w:r>
        <w:br w:type="page"/>
      </w:r>
    </w:p>
    <w:p>
      <w:pPr>
        <w:pStyle w:val="Heading1"/>
        <w:spacing w:after="150" w:before="300"/>
      </w:pPr>
      <w:r>
        <w:rPr>
          <w:b/>
          <w:bCs/>
        </w:rPr>
        <w:t xml:space="preserve">4. Technical Implementation Plan</w:t>
      </w:r>
    </w:p>
    <w:p>
      <w:pPr>
        <w:pStyle w:val="Heading2"/>
        <w:spacing w:after="150" w:before="300"/>
      </w:pPr>
      <w:r>
        <w:rPr>
          <w:b/>
          <w:bCs/>
        </w:rPr>
        <w:t xml:space="preserve">Phase 1: Foundation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Authentication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NextAuth.js with email/password + OAuth (Google, GitHub). JWT sessions with role-based access.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Contributor Profiles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User nodes with bio, institution, expertise areas, contribution history.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Submission Model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Submission nodes with status lifecycle, linked to target entities and content.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Queue UI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panel page listing pending submissions, filterable by type and status.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Commentary Form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Public-facing form for submitting commentary on any hadith or narrator.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System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 in-app notifications for submission status changes.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w:t>
            </w:r>
          </w:p>
        </w:tc>
      </w:tr>
    </w:tbl>
    <w:p>
      <w:pPr>
        <w:pStyle w:val="Heading2"/>
        <w:spacing w:after="150" w:before="300"/>
      </w:pPr>
      <w:r>
        <w:rPr>
          <w:b/>
          <w:bCs/>
        </w:rPr>
        <w:t xml:space="preserve">Phase 2: Review &amp; Quality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 Review Workflow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 reviewers, track votes, manage revision cycles.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5-6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Discussion Threads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Threaded comments on submissions (reviewer-contributor dialogue).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History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all changes to submissions with full diff view.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Scoring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checks: source citations present, Arabic text validation, length requirements.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Trust/Reputation System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Points for approved submissions, reviews, and endorsements. Visible on profiles.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7-8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Ijazah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Endorsement relationships between established and new scholars.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8</w:t>
            </w:r>
          </w:p>
        </w:tc>
      </w:tr>
    </w:tbl>
    <w:p>
      <w:pPr>
        <w:pStyle w:val="Heading2"/>
        <w:spacing w:after="150" w:before="300"/>
      </w:pPr>
      <w:r>
        <w:rPr>
          <w:b/>
          <w:bCs/>
        </w:rPr>
        <w:t xml:space="preserve">Phase 3: Collection Pipeline (Weeks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Specification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Published JSON/CSV schemas for each collection type with validation rules.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&amp; Validation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upload with real-time schema validation and error reporting.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9-10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System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diff of what the import will add/change before editor approval.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10-11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Import Engine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Transactional Neo4j import with rollback on failure, tagged with submission 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Provenance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imported entity linked back to the submitting collection and contributor.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Endpoints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for programmatic collection submission (for institutional partners).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r>
    </w:tbl>
    <w:p>
      <w:pPr>
        <w:pStyle w:val="Heading2"/>
        <w:spacing w:after="150" w:before="300"/>
      </w:pPr>
      <w:r>
        <w:rPr>
          <w:b/>
          <w:bCs/>
        </w:rPr>
        <w:t xml:space="preserve">Phase 4: Enrichment &amp; Discovery (Weeks 13–16)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Visualization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timeline showing events during a narrator’s lifetime with historical context.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Geographic Explorer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view of narrator birth/death/travel locations using Location nodes.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13-14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Commentary Browser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 all commentaries on a hadith, organized by source work and scholar.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Cross-Reference Engine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Suggest related hadiths, narrators, and events based on graph proximity.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Enhancement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Full-text Arabic + English search across hadiths, commentaries, and narrator bios.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API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GraphQL API for third-party applications to query the knowledge graph.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16</w:t>
            </w:r>
          </w:p>
        </w:tc>
      </w:tr>
    </w:tbl>
    <w:p>
      <w:pPr>
        <w:pStyle w:val="Heading1"/>
        <w:spacing w:after="150" w:before="300"/>
      </w:pPr>
      <w:r>
        <w:rPr>
          <w:b/>
          <w:bCs/>
        </w:rPr>
        <w:t xml:space="preserve">5. Data Enrichment Strategy</w:t>
      </w:r>
    </w:p>
    <w:p>
      <w:pPr>
        <w:spacing w:after="120"/>
      </w:pPr>
      <w:r>
        <w:rPr>
          <w:rFonts w:ascii="Arial" w:cs="Arial" w:eastAsia="Arial" w:hAnsi="Arial"/>
          <w:sz w:val="22"/>
          <w:szCs w:val="22"/>
        </w:rPr>
        <w:t xml:space="preserve">Beyond community contributions, the platform will pursue systematic enrichment through the following sources:</w:t>
      </w:r>
    </w:p>
    <w:p>
      <w:pPr>
        <w:pStyle w:val="Heading2"/>
        <w:spacing w:after="150" w:before="300"/>
      </w:pPr>
      <w:r>
        <w:rPr>
          <w:b/>
          <w:bCs/>
        </w:rPr>
        <w:t xml:space="preserve">Classical Commentary Integration</w:t>
      </w:r>
    </w:p>
    <w:p>
      <w:pPr>
        <w:spacing w:after="120"/>
      </w:pPr>
      <w:r>
        <w:rPr>
          <w:rFonts w:ascii="Arial" w:cs="Arial" w:eastAsia="Arial" w:hAnsi="Arial"/>
          <w:sz w:val="22"/>
          <w:szCs w:val="22"/>
        </w:rPr>
        <w:t xml:space="preserve">Priority integration of major sharh works, starting with those in the public domain or with available digital editions:</w:t>
      </w:r>
    </w:p>
    <w:p>
      <w:pPr>
        <w:pStyle w:val="ListParagraph"/>
        <w:numPr>
          <w:ilvl w:val="0"/>
          <w:numId w:val="2"/>
        </w:numPr>
        <w:spacing w:after="80"/>
      </w:pPr>
      <w:r>
        <w:rPr>
          <w:rFonts w:ascii="Arial" w:cs="Arial" w:eastAsia="Arial" w:hAnsi="Arial"/>
          <w:sz w:val="22"/>
          <w:szCs w:val="22"/>
        </w:rPr>
        <w:t xml:space="preserve">Fath al-Bari by Ibn Hajar al-Asqalani (on Sahih Bukhari) — the most comprehensive hadith commentary ever written</w:t>
      </w:r>
    </w:p>
    <w:p>
      <w:pPr>
        <w:pStyle w:val="ListParagraph"/>
        <w:numPr>
          <w:ilvl w:val="0"/>
          <w:numId w:val="2"/>
        </w:numPr>
        <w:spacing w:after="80"/>
      </w:pPr>
      <w:r>
        <w:rPr>
          <w:rFonts w:ascii="Arial" w:cs="Arial" w:eastAsia="Arial" w:hAnsi="Arial"/>
          <w:sz w:val="22"/>
          <w:szCs w:val="22"/>
        </w:rPr>
        <w:t xml:space="preserve">Sharh Sahih Muslim by Imam al-Nawawi — the authoritative commentary on the second most authentic collection</w:t>
      </w:r>
    </w:p>
    <w:p>
      <w:pPr>
        <w:pStyle w:val="ListParagraph"/>
        <w:numPr>
          <w:ilvl w:val="0"/>
          <w:numId w:val="2"/>
        </w:numPr>
        <w:spacing w:after="80"/>
      </w:pPr>
      <w:r>
        <w:rPr>
          <w:rFonts w:ascii="Arial" w:cs="Arial" w:eastAsia="Arial" w:hAnsi="Arial"/>
          <w:sz w:val="22"/>
          <w:szCs w:val="22"/>
        </w:rPr>
        <w:t xml:space="preserve">Tuhfat al-Ahwadhi by al-Mubarakfuri (on Jami al-Tirmidhi)</w:t>
      </w:r>
    </w:p>
    <w:p>
      <w:pPr>
        <w:pStyle w:val="ListParagraph"/>
        <w:numPr>
          <w:ilvl w:val="0"/>
          <w:numId w:val="2"/>
        </w:numPr>
        <w:spacing w:after="80"/>
      </w:pPr>
      <w:r>
        <w:rPr>
          <w:rFonts w:ascii="Arial" w:cs="Arial" w:eastAsia="Arial" w:hAnsi="Arial"/>
          <w:sz w:val="22"/>
          <w:szCs w:val="22"/>
        </w:rPr>
        <w:t xml:space="preserve">Awn al-Ma’bud by al-Adhim Abadi (on Sunan Abu Dawud)</w:t>
      </w:r>
    </w:p>
    <w:p>
      <w:pPr>
        <w:pStyle w:val="ListParagraph"/>
        <w:numPr>
          <w:ilvl w:val="0"/>
          <w:numId w:val="2"/>
        </w:numPr>
        <w:spacing w:after="80"/>
      </w:pPr>
      <w:r>
        <w:rPr>
          <w:rFonts w:ascii="Arial" w:cs="Arial" w:eastAsia="Arial" w:hAnsi="Arial"/>
          <w:sz w:val="22"/>
          <w:szCs w:val="22"/>
        </w:rPr>
        <w:t xml:space="preserve">Sharh Sunan an-Nasa’i by al-Suyuti and al-Sindi</w:t>
      </w:r>
    </w:p>
    <w:p>
      <w:pPr>
        <w:pStyle w:val="ListParagraph"/>
        <w:numPr>
          <w:ilvl w:val="0"/>
          <w:numId w:val="2"/>
        </w:numPr>
        <w:spacing w:after="80"/>
      </w:pPr>
      <w:r>
        <w:rPr>
          <w:rFonts w:ascii="Arial" w:cs="Arial" w:eastAsia="Arial" w:hAnsi="Arial"/>
          <w:sz w:val="22"/>
          <w:szCs w:val="22"/>
        </w:rPr>
        <w:t xml:space="preserve">Tahdhib al-Kamal by al-Mizzi — the foundational narrator biographical dictionary</w:t>
      </w:r>
    </w:p>
    <w:p>
      <w:pPr>
        <w:pStyle w:val="ListParagraph"/>
        <w:numPr>
          <w:ilvl w:val="0"/>
          <w:numId w:val="2"/>
        </w:numPr>
        <w:spacing w:after="80"/>
      </w:pPr>
      <w:r>
        <w:rPr>
          <w:rFonts w:ascii="Arial" w:cs="Arial" w:eastAsia="Arial" w:hAnsi="Arial"/>
          <w:sz w:val="22"/>
          <w:szCs w:val="22"/>
        </w:rPr>
        <w:t xml:space="preserve">Siyar A’lam al-Nubala by al-Dhahabi — comprehensive biographical history</w:t>
      </w:r>
    </w:p>
    <w:p>
      <w:pPr>
        <w:pStyle w:val="Heading2"/>
        <w:spacing w:after="150" w:before="300"/>
      </w:pPr>
      <w:r>
        <w:rPr>
          <w:b/>
          <w:bCs/>
        </w:rPr>
        <w:t xml:space="preserve">Narrator Biography Enrichment</w:t>
      </w:r>
    </w:p>
    <w:p>
      <w:pPr>
        <w:spacing w:after="120"/>
      </w:pPr>
      <w:r>
        <w:rPr>
          <w:rFonts w:ascii="Arial" w:cs="Arial" w:eastAsia="Arial" w:hAnsi="Arial"/>
          <w:sz w:val="22"/>
          <w:szCs w:val="22"/>
        </w:rPr>
        <w:t xml:space="preserve">The current dataset contains basic biographical data. Enrichment will add:</w:t>
      </w:r>
    </w:p>
    <w:p>
      <w:pPr>
        <w:pStyle w:val="ListParagraph"/>
        <w:numPr>
          <w:ilvl w:val="0"/>
          <w:numId w:val="2"/>
        </w:numPr>
        <w:spacing w:after="80"/>
      </w:pPr>
      <w:r>
        <w:rPr>
          <w:rFonts w:ascii="Arial" w:cs="Arial" w:eastAsia="Arial" w:hAnsi="Arial"/>
          <w:sz w:val="22"/>
          <w:szCs w:val="22"/>
        </w:rPr>
        <w:t xml:space="preserve">Full biographical narratives from classical sources</w:t>
      </w:r>
    </w:p>
    <w:p>
      <w:pPr>
        <w:pStyle w:val="ListParagraph"/>
        <w:numPr>
          <w:ilvl w:val="0"/>
          <w:numId w:val="2"/>
        </w:numPr>
        <w:spacing w:after="80"/>
      </w:pPr>
      <w:r>
        <w:rPr>
          <w:rFonts w:ascii="Arial" w:cs="Arial" w:eastAsia="Arial" w:hAnsi="Arial"/>
          <w:sz w:val="22"/>
          <w:szCs w:val="22"/>
        </w:rPr>
        <w:t xml:space="preserve">Scholarly assessments from multiple rijal scholars (not just a single grade)</w:t>
      </w:r>
    </w:p>
    <w:p>
      <w:pPr>
        <w:pStyle w:val="ListParagraph"/>
        <w:numPr>
          <w:ilvl w:val="0"/>
          <w:numId w:val="2"/>
        </w:numPr>
        <w:spacing w:after="80"/>
      </w:pPr>
      <w:r>
        <w:rPr>
          <w:rFonts w:ascii="Arial" w:cs="Arial" w:eastAsia="Arial" w:hAnsi="Arial"/>
          <w:sz w:val="22"/>
          <w:szCs w:val="22"/>
        </w:rPr>
        <w:t xml:space="preserve">Family relationships (the dataset already has parent/spouse/children data to parse)</w:t>
      </w:r>
    </w:p>
    <w:p>
      <w:pPr>
        <w:pStyle w:val="ListParagraph"/>
        <w:numPr>
          <w:ilvl w:val="0"/>
          <w:numId w:val="2"/>
        </w:numPr>
        <w:spacing w:after="80"/>
      </w:pPr>
      <w:r>
        <w:rPr>
          <w:rFonts w:ascii="Arial" w:cs="Arial" w:eastAsia="Arial" w:hAnsi="Arial"/>
          <w:sz w:val="22"/>
          <w:szCs w:val="22"/>
        </w:rPr>
        <w:t xml:space="preserve">Precise geographic data (birth city, travel routes, places of study, death location)</w:t>
      </w:r>
    </w:p>
    <w:p>
      <w:pPr>
        <w:pStyle w:val="ListParagraph"/>
        <w:numPr>
          <w:ilvl w:val="0"/>
          <w:numId w:val="2"/>
        </w:numPr>
        <w:spacing w:after="80"/>
      </w:pPr>
      <w:r>
        <w:rPr>
          <w:rFonts w:ascii="Arial" w:cs="Arial" w:eastAsia="Arial" w:hAnsi="Arial"/>
          <w:sz w:val="22"/>
          <w:szCs w:val="22"/>
        </w:rPr>
        <w:t xml:space="preserve">Notable hadiths each narrator is most famous for transmitting</w:t>
      </w:r>
    </w:p>
    <w:p>
      <w:pPr>
        <w:pStyle w:val="ListParagraph"/>
        <w:numPr>
          <w:ilvl w:val="0"/>
          <w:numId w:val="2"/>
        </w:numPr>
        <w:spacing w:after="80"/>
      </w:pPr>
      <w:r>
        <w:rPr>
          <w:rFonts w:ascii="Arial" w:cs="Arial" w:eastAsia="Arial" w:hAnsi="Arial"/>
          <w:sz w:val="22"/>
          <w:szCs w:val="22"/>
        </w:rPr>
        <w:t xml:space="preserve">The narrator’s specific contributions to Islamic sciences</w:t>
      </w:r>
    </w:p>
    <w:p>
      <w:pPr>
        <w:pStyle w:val="Heading2"/>
        <w:spacing w:after="150" w:before="300"/>
      </w:pPr>
      <w:r>
        <w:rPr>
          <w:b/>
          <w:bCs/>
        </w:rPr>
        <w:t xml:space="preserve">Historical Timeline Enrichment</w:t>
      </w:r>
    </w:p>
    <w:p>
      <w:pPr>
        <w:spacing w:after="120"/>
      </w:pPr>
      <w:r>
        <w:rPr>
          <w:rFonts w:ascii="Arial" w:cs="Arial" w:eastAsia="Arial" w:hAnsi="Arial"/>
          <w:sz w:val="22"/>
          <w:szCs w:val="22"/>
        </w:rPr>
        <w:t xml:space="preserve">The 54 seeded events will be expanded through community contributions and systematic enrichment to cover:</w:t>
      </w:r>
    </w:p>
    <w:p>
      <w:pPr>
        <w:pStyle w:val="ListParagraph"/>
        <w:numPr>
          <w:ilvl w:val="0"/>
          <w:numId w:val="2"/>
        </w:numPr>
        <w:spacing w:after="80"/>
      </w:pPr>
      <w:r>
        <w:rPr>
          <w:rFonts w:ascii="Arial" w:cs="Arial" w:eastAsia="Arial" w:hAnsi="Arial"/>
          <w:sz w:val="22"/>
          <w:szCs w:val="22"/>
        </w:rPr>
        <w:t xml:space="preserve">Regional events in each major Islamic city (Makkah, Medina, Baghdad, Damascus, Kufa, Basra, Cairo, etc.)</w:t>
      </w:r>
    </w:p>
    <w:p>
      <w:pPr>
        <w:pStyle w:val="ListParagraph"/>
        <w:numPr>
          <w:ilvl w:val="0"/>
          <w:numId w:val="2"/>
        </w:numPr>
        <w:spacing w:after="80"/>
      </w:pPr>
      <w:r>
        <w:rPr>
          <w:rFonts w:ascii="Arial" w:cs="Arial" w:eastAsia="Arial" w:hAnsi="Arial"/>
          <w:sz w:val="22"/>
          <w:szCs w:val="22"/>
        </w:rPr>
        <w:t xml:space="preserve">The establishment and growth of the four Sunni schools of jurisprudence</w:t>
      </w:r>
    </w:p>
    <w:p>
      <w:pPr>
        <w:pStyle w:val="ListParagraph"/>
        <w:numPr>
          <w:ilvl w:val="0"/>
          <w:numId w:val="2"/>
        </w:numPr>
        <w:spacing w:after="80"/>
      </w:pPr>
      <w:r>
        <w:rPr>
          <w:rFonts w:ascii="Arial" w:cs="Arial" w:eastAsia="Arial" w:hAnsi="Arial"/>
          <w:sz w:val="22"/>
          <w:szCs w:val="22"/>
        </w:rPr>
        <w:t xml:space="preserve">Political transitions affecting hadith scholarship (patronage, persecution, migration)</w:t>
      </w:r>
    </w:p>
    <w:p>
      <w:pPr>
        <w:pStyle w:val="ListParagraph"/>
        <w:numPr>
          <w:ilvl w:val="0"/>
          <w:numId w:val="2"/>
        </w:numPr>
        <w:spacing w:after="80"/>
      </w:pPr>
      <w:r>
        <w:rPr>
          <w:rFonts w:ascii="Arial" w:cs="Arial" w:eastAsia="Arial" w:hAnsi="Arial"/>
          <w:sz w:val="22"/>
          <w:szCs w:val="22"/>
        </w:rPr>
        <w:t xml:space="preserve">Major scholarly debates and their resolution</w:t>
      </w:r>
    </w:p>
    <w:p>
      <w:pPr>
        <w:pStyle w:val="ListParagraph"/>
        <w:numPr>
          <w:ilvl w:val="0"/>
          <w:numId w:val="2"/>
        </w:numPr>
        <w:spacing w:after="80"/>
      </w:pPr>
      <w:r>
        <w:rPr>
          <w:rFonts w:ascii="Arial" w:cs="Arial" w:eastAsia="Arial" w:hAnsi="Arial"/>
          <w:sz w:val="22"/>
          <w:szCs w:val="22"/>
        </w:rPr>
        <w:t xml:space="preserve">The development of hadith methodology (usul al-hadith) as a science</w:t>
      </w:r>
    </w:p>
    <w:p>
      <w:r>
        <w:br w:type="page"/>
      </w:r>
    </w:p>
    <w:p>
      <w:pPr>
        <w:pStyle w:val="Heading1"/>
        <w:spacing w:after="150" w:before="300"/>
      </w:pPr>
      <w:r>
        <w:rPr>
          <w:b/>
          <w:bCs/>
        </w:rPr>
        <w:t xml:space="preserve">6. Integration with Existing Open-Source Projects</w:t>
      </w:r>
    </w:p>
    <w:p>
      <w:pPr>
        <w:spacing w:after="120"/>
      </w:pPr>
      <w:r>
        <w:rPr>
          <w:rFonts w:ascii="Arial" w:cs="Arial" w:eastAsia="Arial" w:hAnsi="Arial"/>
          <w:sz w:val="22"/>
          <w:szCs w:val="22"/>
        </w:rPr>
        <w:t xml:space="preserve">The platform will not operate in isolation. Integration with existing open-source Islamic projects multiplies the value of the knowledge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Integration Point</w:t>
            </w:r>
          </w:p>
        </w:tc>
        <w:tc>
          <w:tcPr>
            <w:tcW w:type="dxa" w:w="3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Value Added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Sunnah.com API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Cross-reference hadiths by source and number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 to verified translations, provide deep links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hadith-json (GitHub)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additional collections and translations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 beyond the six canonical collections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SemanticHadith Ontology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data model with RDF/OWL ontology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Interoperability with Linked Data ecosystem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Sanadset 650K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additional chain data (650K records)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Much richer chain network for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Open-Hadith-Data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Cross-validate and fill gaps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quality improvement through comparison</w:t>
            </w:r>
          </w:p>
        </w:tc>
      </w:tr>
    </w:tbl>
    <w:p>
      <w:pPr>
        <w:pStyle w:val="Heading1"/>
        <w:spacing w:after="150" w:before="300"/>
      </w:pPr>
      <w:r>
        <w:rPr>
          <w:b/>
          <w:bCs/>
        </w:rPr>
        <w:t xml:space="preserve">7. Public API &amp; Data Export</w:t>
      </w:r>
    </w:p>
    <w:p>
      <w:pPr>
        <w:spacing w:after="120"/>
      </w:pPr>
      <w:r>
        <w:rPr>
          <w:rFonts w:ascii="Arial" w:cs="Arial" w:eastAsia="Arial" w:hAnsi="Arial"/>
          <w:sz w:val="22"/>
          <w:szCs w:val="22"/>
        </w:rPr>
        <w:t xml:space="preserve">As an open scholarly contribution system, all published data will be accessible through a public API:</w:t>
      </w:r>
    </w:p>
    <w:p>
      <w:pPr>
        <w:pStyle w:val="Heading2"/>
        <w:spacing w:after="150" w:before="300"/>
      </w:pPr>
      <w:r>
        <w:rPr>
          <w:b/>
          <w:bCs/>
        </w:rPr>
        <w:t xml:space="preserve">GraphQL API</w:t>
      </w:r>
    </w:p>
    <w:p>
      <w:pPr>
        <w:pStyle w:val="ListParagraph"/>
        <w:numPr>
          <w:ilvl w:val="0"/>
          <w:numId w:val="2"/>
        </w:numPr>
        <w:spacing w:after="80"/>
      </w:pPr>
      <w:r>
        <w:rPr>
          <w:rFonts w:ascii="Arial" w:cs="Arial" w:eastAsia="Arial" w:hAnsi="Arial"/>
          <w:sz w:val="22"/>
          <w:szCs w:val="22"/>
        </w:rPr>
        <w:t xml:space="preserve">Query hadiths by source, grade, topic, narrator, or keyword</w:t>
      </w:r>
    </w:p>
    <w:p>
      <w:pPr>
        <w:pStyle w:val="ListParagraph"/>
        <w:numPr>
          <w:ilvl w:val="0"/>
          <w:numId w:val="2"/>
        </w:numPr>
        <w:spacing w:after="80"/>
      </w:pPr>
      <w:r>
        <w:rPr>
          <w:rFonts w:ascii="Arial" w:cs="Arial" w:eastAsia="Arial" w:hAnsi="Arial"/>
          <w:sz w:val="22"/>
          <w:szCs w:val="22"/>
        </w:rPr>
        <w:t xml:space="preserve">Traverse narrator networks (teachers, students, chains)</w:t>
      </w:r>
    </w:p>
    <w:p>
      <w:pPr>
        <w:pStyle w:val="ListParagraph"/>
        <w:numPr>
          <w:ilvl w:val="0"/>
          <w:numId w:val="2"/>
        </w:numPr>
        <w:spacing w:after="80"/>
      </w:pPr>
      <w:r>
        <w:rPr>
          <w:rFonts w:ascii="Arial" w:cs="Arial" w:eastAsia="Arial" w:hAnsi="Arial"/>
          <w:sz w:val="22"/>
          <w:szCs w:val="22"/>
        </w:rPr>
        <w:t xml:space="preserve">Retrieve commentaries filtered by source work, author, or type</w:t>
      </w:r>
    </w:p>
    <w:p>
      <w:pPr>
        <w:pStyle w:val="ListParagraph"/>
        <w:numPr>
          <w:ilvl w:val="0"/>
          <w:numId w:val="2"/>
        </w:numPr>
        <w:spacing w:after="80"/>
      </w:pPr>
      <w:r>
        <w:rPr>
          <w:rFonts w:ascii="Arial" w:cs="Arial" w:eastAsia="Arial" w:hAnsi="Arial"/>
          <w:sz w:val="22"/>
          <w:szCs w:val="22"/>
        </w:rPr>
        <w:t xml:space="preserve">Access historical events filtered by era, category, or location</w:t>
      </w:r>
    </w:p>
    <w:p>
      <w:pPr>
        <w:pStyle w:val="ListParagraph"/>
        <w:numPr>
          <w:ilvl w:val="0"/>
          <w:numId w:val="2"/>
        </w:numPr>
        <w:spacing w:after="80"/>
      </w:pPr>
      <w:r>
        <w:rPr>
          <w:rFonts w:ascii="Arial" w:cs="Arial" w:eastAsia="Arial" w:hAnsi="Arial"/>
          <w:sz w:val="22"/>
          <w:szCs w:val="22"/>
        </w:rPr>
        <w:t xml:space="preserve">Explore geographic data for mapping applications</w:t>
      </w:r>
    </w:p>
    <w:p>
      <w:pPr>
        <w:pStyle w:val="Heading2"/>
        <w:spacing w:after="150" w:before="300"/>
      </w:pPr>
      <w:r>
        <w:rPr>
          <w:b/>
          <w:bCs/>
        </w:rPr>
        <w:t xml:space="preserve">Data Export</w:t>
      </w:r>
    </w:p>
    <w:p>
      <w:pPr>
        <w:pStyle w:val="ListParagraph"/>
        <w:numPr>
          <w:ilvl w:val="0"/>
          <w:numId w:val="2"/>
        </w:numPr>
        <w:spacing w:after="80"/>
      </w:pPr>
      <w:r>
        <w:rPr>
          <w:rFonts w:ascii="Arial" w:cs="Arial" w:eastAsia="Arial" w:hAnsi="Arial"/>
          <w:sz w:val="22"/>
          <w:szCs w:val="22"/>
        </w:rPr>
        <w:t xml:space="preserve">Full dataset export in JSON, CSV, and RDF/Turtle formats</w:t>
      </w:r>
    </w:p>
    <w:p>
      <w:pPr>
        <w:pStyle w:val="ListParagraph"/>
        <w:numPr>
          <w:ilvl w:val="0"/>
          <w:numId w:val="2"/>
        </w:numPr>
        <w:spacing w:after="80"/>
      </w:pPr>
      <w:r>
        <w:rPr>
          <w:rFonts w:ascii="Arial" w:cs="Arial" w:eastAsia="Arial" w:hAnsi="Arial"/>
          <w:sz w:val="22"/>
          <w:szCs w:val="22"/>
        </w:rPr>
        <w:t xml:space="preserve">Neo4j dump files for researchers who want to run their own graph database</w:t>
      </w:r>
    </w:p>
    <w:p>
      <w:pPr>
        <w:pStyle w:val="ListParagraph"/>
        <w:numPr>
          <w:ilvl w:val="0"/>
          <w:numId w:val="2"/>
        </w:numPr>
        <w:spacing w:after="80"/>
      </w:pPr>
      <w:r>
        <w:rPr>
          <w:rFonts w:ascii="Arial" w:cs="Arial" w:eastAsia="Arial" w:hAnsi="Arial"/>
          <w:sz w:val="22"/>
          <w:szCs w:val="22"/>
        </w:rPr>
        <w:t xml:space="preserve">Periodic snapshots published to data repositories (Zenodo, Kaggle)</w:t>
      </w:r>
    </w:p>
    <w:p>
      <w:pPr>
        <w:pStyle w:val="ListParagraph"/>
        <w:numPr>
          <w:ilvl w:val="0"/>
          <w:numId w:val="2"/>
        </w:numPr>
        <w:spacing w:after="80"/>
      </w:pPr>
      <w:r>
        <w:rPr>
          <w:rFonts w:ascii="Arial" w:cs="Arial" w:eastAsia="Arial" w:hAnsi="Arial"/>
          <w:sz w:val="22"/>
          <w:szCs w:val="22"/>
        </w:rPr>
        <w:t xml:space="preserve">Attribution metadata included in all exports (who contributed what)</w:t>
      </w:r>
    </w:p>
    <w:p>
      <w:pPr>
        <w:pStyle w:val="Heading1"/>
        <w:spacing w:after="150" w:before="300"/>
      </w:pPr>
      <w:r>
        <w:rPr>
          <w:b/>
          <w:bCs/>
        </w:rPr>
        <w:t xml:space="preserve">8. Community Governance</w:t>
      </w:r>
    </w:p>
    <w:p>
      <w:pPr>
        <w:spacing w:after="120"/>
      </w:pPr>
      <w:r>
        <w:rPr>
          <w:rFonts w:ascii="Arial" w:cs="Arial" w:eastAsia="Arial" w:hAnsi="Arial"/>
          <w:sz w:val="22"/>
          <w:szCs w:val="22"/>
        </w:rPr>
        <w:t xml:space="preserve">The platform’s scholarly integrity depends on clear governance:</w:t>
      </w:r>
    </w:p>
    <w:p>
      <w:pPr>
        <w:pStyle w:val="ListParagraph"/>
        <w:numPr>
          <w:ilvl w:val="0"/>
          <w:numId w:val="2"/>
        </w:numPr>
        <w:spacing w:after="80"/>
      </w:pPr>
      <w:r>
        <w:rPr>
          <w:rFonts w:ascii="Arial" w:cs="Arial" w:eastAsia="Arial" w:hAnsi="Arial"/>
          <w:sz w:val="22"/>
          <w:szCs w:val="22"/>
        </w:rPr>
        <w:t xml:space="preserve">An Editorial Board of established Islamic scholars oversees content quality and policy</w:t>
      </w:r>
    </w:p>
    <w:p>
      <w:pPr>
        <w:pStyle w:val="ListParagraph"/>
        <w:numPr>
          <w:ilvl w:val="0"/>
          <w:numId w:val="2"/>
        </w:numPr>
        <w:spacing w:after="80"/>
      </w:pPr>
      <w:r>
        <w:rPr>
          <w:rFonts w:ascii="Arial" w:cs="Arial" w:eastAsia="Arial" w:hAnsi="Arial"/>
          <w:sz w:val="22"/>
          <w:szCs w:val="22"/>
        </w:rPr>
        <w:t xml:space="preserve">A Code of Conduct emphasizing adab (Islamic scholarly etiquette) governs all interactions</w:t>
      </w:r>
    </w:p>
    <w:p>
      <w:pPr>
        <w:pStyle w:val="ListParagraph"/>
        <w:numPr>
          <w:ilvl w:val="0"/>
          <w:numId w:val="2"/>
        </w:numPr>
        <w:spacing w:after="80"/>
      </w:pPr>
      <w:r>
        <w:rPr>
          <w:rFonts w:ascii="Arial" w:cs="Arial" w:eastAsia="Arial" w:hAnsi="Arial"/>
          <w:sz w:val="22"/>
          <w:szCs w:val="22"/>
        </w:rPr>
        <w:t xml:space="preserve">Contributor disputes are resolved through a structured mediation process</w:t>
      </w:r>
    </w:p>
    <w:p>
      <w:pPr>
        <w:pStyle w:val="ListParagraph"/>
        <w:numPr>
          <w:ilvl w:val="0"/>
          <w:numId w:val="2"/>
        </w:numPr>
        <w:spacing w:after="80"/>
      </w:pPr>
      <w:r>
        <w:rPr>
          <w:rFonts w:ascii="Arial" w:cs="Arial" w:eastAsia="Arial" w:hAnsi="Arial"/>
          <w:sz w:val="22"/>
          <w:szCs w:val="22"/>
        </w:rPr>
        <w:t xml:space="preserve">All editorial decisions are logged and auditable through the graph</w:t>
      </w:r>
    </w:p>
    <w:p>
      <w:pPr>
        <w:pStyle w:val="ListParagraph"/>
        <w:numPr>
          <w:ilvl w:val="0"/>
          <w:numId w:val="2"/>
        </w:numPr>
        <w:spacing w:after="80"/>
      </w:pPr>
      <w:r>
        <w:rPr>
          <w:rFonts w:ascii="Arial" w:cs="Arial" w:eastAsia="Arial" w:hAnsi="Arial"/>
          <w:sz w:val="22"/>
          <w:szCs w:val="22"/>
        </w:rPr>
        <w:t xml:space="preserve">The platform operates under an open-source license (code) and Creative Commons (data)</w:t>
      </w:r>
    </w:p>
    <w:p>
      <w:pPr>
        <w:pStyle w:val="Heading1"/>
        <w:spacing w:after="150" w:before="300"/>
      </w:pPr>
      <w:r>
        <w:rPr>
          <w:b/>
          <w:bCs/>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Year 1 Target</w:t>
            </w:r>
          </w:p>
        </w:tc>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Year 3 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Registered Contributors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Published Commentaries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Narrator Bios Enriched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 (of 24K)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Events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Scholarly Endorsements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Consumers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apps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apps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 Submissions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collections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collections</w:t>
            </w:r>
          </w:p>
        </w:tc>
      </w:tr>
    </w:tbl>
    <w:p>
      <w:pPr>
        <w:spacing w:before="400"/>
      </w:pPr>
    </w:p>
    <w:p>
      <w:pPr>
        <w:pBdr>
          <w:bottom w:val="single" w:color="1B4332" w:sz="6" w:space="1"/>
        </w:pBdr>
        <w:spacing w:after="200" w:before="200"/>
      </w:pPr>
    </w:p>
    <w:p>
      <w:pPr>
        <w:spacing w:before="200"/>
        <w:jc w:val="center"/>
      </w:pPr>
      <w:r>
        <w:rPr>
          <w:rFonts w:ascii="Arial" w:cs="Arial" w:eastAsia="Arial" w:hAnsi="Arial"/>
          <w:i/>
          <w:iCs/>
          <w:color w:val="999999"/>
          <w:sz w:val="20"/>
          <w:szCs w:val="20"/>
        </w:rPr>
        <w:t xml:space="preserve">This document is a living plan. It will be updated as the system evolves.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8"/>
        <w:szCs w:val="18"/>
      </w:rPr>
      <w:t xml:space="preserve">Hadith Graph Explorer</w:t>
    </w:r>
    <w:r>
      <w:rPr>
        <w:rFonts w:ascii="Arial" w:cs="Arial" w:eastAsia="Arial" w:hAnsi="Arial"/>
        <w:i/>
        <w:iCs/>
        <w:color w:val="999999"/>
        <w:sz w:val="18"/>
        <w:szCs w:val="18"/>
      </w:rPr>
      <w:t xml:space="preserve">	Open Scholarly Contribution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2026-03-16T12:28:54.485Z</dcterms:created>
  <dcterms:modified xsi:type="dcterms:W3CDTF">2026-03-16T12:28:54.485Z</dcterms:modified>
</cp:coreProperties>
</file>

<file path=docProps/custom.xml><?xml version="1.0" encoding="utf-8"?>
<Properties xmlns="http://schemas.openxmlformats.org/officeDocument/2006/custom-properties" xmlns:vt="http://schemas.openxmlformats.org/officeDocument/2006/docPropsVTypes"/>
</file>