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E2761"/>
          <w:sz w:val="72"/>
          <w:szCs w:val="72"/>
        </w:rPr>
        <w:t xml:space="preserve">LEX NOVA</w:t>
      </w:r>
    </w:p>
    <w:p>
      <w:pPr>
        <w:spacing w:before="0" w:after="120"/>
        <w:jc w:val="center"/>
      </w:pPr>
      <w:r>
        <w:rPr>
          <w:rFonts w:ascii="Arial" w:cs="Arial" w:eastAsia="Arial" w:hAnsi="Arial"/>
          <w:i/>
          <w:iCs/>
          <w:color w:val="C9A84C"/>
          <w:sz w:val="32"/>
          <w:szCs w:val="32"/>
        </w:rPr>
        <w:t xml:space="preserve">Progressive Legal Services Platform</w:t>
      </w:r>
    </w:p>
    <w:p>
      <w:pPr>
        <w:pBdr>
          <w:bottom w:val="single" w:color="C9A84C" w:sz="8" w:space="4"/>
        </w:pBdr>
        <w:spacing w:before="0" w:after="600"/>
        <w:jc w:val="center"/>
      </w:pPr>
      <w:r>
        <w:rPr>
          <w:rFonts w:ascii="Arial" w:cs="Arial" w:eastAsia="Arial" w:hAnsi="Arial"/>
          <w:sz w:val="10"/>
          <w:szCs w:val="10"/>
        </w:rPr>
        <w:t xml:space="preserve"/>
      </w:r>
    </w:p>
    <w:p>
      <w:pPr>
        <w:spacing w:before="300" w:after="0"/>
      </w:pPr>
      <w:r>
        <w:t xml:space="preserve"/>
      </w:r>
    </w:p>
    <w:p>
      <w:pPr>
        <w:spacing w:before="0" w:after="120"/>
        <w:jc w:val="center"/>
      </w:pPr>
      <w:r>
        <w:rPr>
          <w:rFonts w:ascii="Arial" w:cs="Arial" w:eastAsia="Arial" w:hAnsi="Arial"/>
          <w:b/>
          <w:bCs/>
          <w:color w:val="555555"/>
          <w:sz w:val="26"/>
          <w:szCs w:val="26"/>
        </w:rPr>
        <w:t xml:space="preserve">COMPREHENSIVE BUSINESS PLAN</w:t>
      </w:r>
    </w:p>
    <w:p>
      <w:pPr>
        <w:spacing w:before="0" w:after="120"/>
        <w:jc w:val="center"/>
      </w:pPr>
      <w:r>
        <w:rPr>
          <w:rFonts w:ascii="Arial" w:cs="Arial" w:eastAsia="Arial" w:hAnsi="Arial"/>
          <w:i/>
          <w:iCs/>
          <w:color w:val="C9A84C"/>
          <w:sz w:val="24"/>
          <w:szCs w:val="24"/>
        </w:rPr>
        <w:t xml:space="preserve">Transparency · Technology · Justice</w:t>
      </w:r>
    </w:p>
    <w:p>
      <w:pPr>
        <w:spacing w:before="600" w:after="0"/>
      </w:pPr>
      <w:r>
        <w:t xml:space="preserve"/>
      </w:r>
    </w:p>
    <w:p>
      <w:pPr>
        <w:spacing w:before="0" w:after="60"/>
        <w:jc w:val="center"/>
      </w:pPr>
      <w:r>
        <w:rPr>
          <w:rFonts w:ascii="Arial" w:cs="Arial" w:eastAsia="Arial" w:hAnsi="Arial"/>
          <w:color w:val="555555"/>
          <w:sz w:val="22"/>
          <w:szCs w:val="22"/>
        </w:rPr>
        <w:t xml:space="preserve">Prepared by: Prashanth</w:t>
      </w:r>
    </w:p>
    <w:p>
      <w:pPr>
        <w:spacing w:before="0" w:after="60"/>
        <w:jc w:val="center"/>
      </w:pPr>
      <w:r>
        <w:rPr>
          <w:rFonts w:ascii="Arial" w:cs="Arial" w:eastAsia="Arial" w:hAnsi="Arial"/>
          <w:i/>
          <w:iCs/>
          <w:color w:val="555555"/>
          <w:sz w:val="20"/>
          <w:szCs w:val="20"/>
        </w:rPr>
        <w:t xml:space="preserve">Confidential — Not for Distribution</w:t>
      </w:r>
    </w:p>
    <w:p>
      <w:pPr>
        <w:spacing w:before="0" w:after="0"/>
        <w:jc w:val="center"/>
      </w:pPr>
      <w:r>
        <w:rPr>
          <w:rFonts w:ascii="Arial" w:cs="Arial" w:eastAsia="Arial" w:hAnsi="Arial"/>
          <w:color w:val="555555"/>
          <w:sz w:val="22"/>
          <w:szCs w:val="22"/>
        </w:rPr>
        <w:t xml:space="preserve">2025</w:t>
      </w:r>
    </w:p>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FBF5E6"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The Vision</w:t>
            </w:r>
          </w:p>
          <w:p>
            <w:pPr>
              <w:spacing w:before="0" w:after="0"/>
            </w:pPr>
            <w:r>
              <w:rPr>
                <w:rFonts w:ascii="Arial" w:cs="Arial" w:eastAsia="Arial" w:hAnsi="Arial"/>
                <w:color w:val="1A1A2E"/>
                <w:sz w:val="21"/>
                <w:szCs w:val="21"/>
              </w:rPr>
              <w:t xml:space="preserve">Lex Nova is a technology-enabled progressive law firm that democratises access to legal services in India. We combine experienced human advocates, retired judicial mentorship, and a proprietary digital platform to deliver transparent, client-first legal services to individuals, corporates, and first-time litigants alike.</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The Problem We Solve</w:t>
      </w:r>
    </w:p>
    <w:p>
      <w:pPr>
        <w:spacing w:before="80" w:after="80"/>
        <w:jc w:val="left"/>
      </w:pPr>
      <w:r>
        <w:rPr>
          <w:rFonts w:ascii="Arial" w:cs="Arial" w:eastAsia="Arial" w:hAnsi="Arial"/>
          <w:b w:val="false"/>
          <w:bCs w:val="false"/>
          <w:i w:val="false"/>
          <w:iCs w:val="false"/>
          <w:color w:val="1A1A2E"/>
          <w:sz w:val="22"/>
          <w:szCs w:val="22"/>
        </w:rPr>
        <w:t xml:space="preserve">India's legal industry is opaque, intimidating, and inaccessible to the majority. First-time litigants have no idea what is happening in their case. Clients cannot reach their lawyers. Costs are unpredictable. Outcomes are uncertain — not because of the law, but because of information asymmetry.</w:t>
      </w:r>
    </w:p>
    <w:p>
      <w:pPr>
        <w:spacing w:before="80" w:after="0"/>
      </w:pPr>
      <w:r>
        <w:t xml:space="preserve"/>
      </w:r>
    </w:p>
    <w:p>
      <w:pPr>
        <w:pStyle w:val="Heading2"/>
        <w:spacing w:before="320" w:after="120"/>
      </w:pPr>
      <w:r>
        <w:rPr>
          <w:rFonts w:ascii="Arial" w:cs="Arial" w:eastAsia="Arial" w:hAnsi="Arial"/>
          <w:b/>
          <w:bCs/>
          <w:color w:val="1E2761"/>
          <w:sz w:val="26"/>
          <w:szCs w:val="26"/>
        </w:rPr>
        <w:t xml:space="preserve">Our Solution</w:t>
      </w:r>
    </w:p>
    <w:p>
      <w:pPr>
        <w:pStyle w:val="ListParagraph"/>
        <w:numPr>
          <w:ilvl w:val="0"/>
          <w:numId w:val="2"/>
        </w:numPr>
        <w:spacing w:before="60" w:after="60"/>
      </w:pPr>
      <w:r>
        <w:rPr>
          <w:rFonts w:ascii="Arial" w:cs="Arial" w:eastAsia="Arial" w:hAnsi="Arial"/>
          <w:color w:val="1A1A2E"/>
          <w:sz w:val="22"/>
          <w:szCs w:val="22"/>
        </w:rPr>
        <w:t xml:space="preserve">A full-service law firm anchored in transparency and client communication</w:t>
      </w:r>
    </w:p>
    <w:p>
      <w:pPr>
        <w:pStyle w:val="ListParagraph"/>
        <w:numPr>
          <w:ilvl w:val="0"/>
          <w:numId w:val="2"/>
        </w:numPr>
        <w:spacing w:before="60" w:after="60"/>
      </w:pPr>
      <w:r>
        <w:rPr>
          <w:rFonts w:ascii="Arial" w:cs="Arial" w:eastAsia="Arial" w:hAnsi="Arial"/>
          <w:color w:val="1A1A2E"/>
          <w:sz w:val="22"/>
          <w:szCs w:val="22"/>
        </w:rPr>
        <w:t xml:space="preserve">A mobile application giving every client real-time access to their case</w:t>
      </w:r>
    </w:p>
    <w:p>
      <w:pPr>
        <w:pStyle w:val="ListParagraph"/>
        <w:numPr>
          <w:ilvl w:val="0"/>
          <w:numId w:val="2"/>
        </w:numPr>
        <w:spacing w:before="60" w:after="60"/>
      </w:pPr>
      <w:r>
        <w:rPr>
          <w:rFonts w:ascii="Arial" w:cs="Arial" w:eastAsia="Arial" w:hAnsi="Arial"/>
          <w:color w:val="1A1A2E"/>
          <w:sz w:val="22"/>
          <w:szCs w:val="22"/>
        </w:rPr>
        <w:t xml:space="preserve">A compartmentalised CRM ensuring the right information reaches the right people</w:t>
      </w:r>
    </w:p>
    <w:p>
      <w:pPr>
        <w:pStyle w:val="ListParagraph"/>
        <w:numPr>
          <w:ilvl w:val="0"/>
          <w:numId w:val="2"/>
        </w:numPr>
        <w:spacing w:before="60" w:after="60"/>
      </w:pPr>
      <w:r>
        <w:rPr>
          <w:rFonts w:ascii="Arial" w:cs="Arial" w:eastAsia="Arial" w:hAnsi="Arial"/>
          <w:color w:val="1A1A2E"/>
          <w:sz w:val="22"/>
          <w:szCs w:val="22"/>
        </w:rPr>
        <w:t xml:space="preserve">A mentorship model where Retired District Judges and Supreme Court Advocates guide every case</w:t>
      </w:r>
    </w:p>
    <w:p>
      <w:pPr>
        <w:pStyle w:val="ListParagraph"/>
        <w:numPr>
          <w:ilvl w:val="0"/>
          <w:numId w:val="2"/>
        </w:numPr>
        <w:spacing w:before="60" w:after="60"/>
      </w:pPr>
      <w:r>
        <w:rPr>
          <w:rFonts w:ascii="Arial" w:cs="Arial" w:eastAsia="Arial" w:hAnsi="Arial"/>
          <w:color w:val="1A1A2E"/>
          <w:sz w:val="22"/>
          <w:szCs w:val="22"/>
        </w:rPr>
        <w:t xml:space="preserve">A free consultation funnel (30 minutes, online) to build trust and acquire clients at scale</w:t>
      </w:r>
    </w:p>
    <w:p>
      <w:pPr>
        <w:spacing w:before="80" w:after="0"/>
      </w:pPr>
      <w:r>
        <w:t xml:space="preserve"/>
      </w:r>
    </w:p>
    <w:p>
      <w:pPr>
        <w:pStyle w:val="Heading2"/>
        <w:spacing w:before="320" w:after="120"/>
      </w:pPr>
      <w:r>
        <w:rPr>
          <w:rFonts w:ascii="Arial" w:cs="Arial" w:eastAsia="Arial" w:hAnsi="Arial"/>
          <w:b/>
          <w:bCs/>
          <w:color w:val="1E2761"/>
          <w:sz w:val="26"/>
          <w:szCs w:val="26"/>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rPr>
          <w:tblHeader w:val="false"/>
        </w:trPr>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Business Type</w:t>
            </w:r>
          </w:p>
        </w:tc>
        <w:tc>
          <w:tcPr>
            <w:tcW w:type="dxa" w:w="5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Legal Services Platform (Firm + App + CRM)</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Target Markets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Urban Individuals, Corporates &amp; Startups, First-Time Litigants, HNWIs</w:t>
            </w:r>
          </w:p>
        </w:tc>
      </w:tr>
      <w:tr>
        <w:trPr>
          <w:tblHeader w:val="false"/>
        </w:trPr>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Legal Domains</w:t>
            </w:r>
          </w:p>
        </w:tc>
        <w:tc>
          <w:tcPr>
            <w:tcW w:type="dxa" w:w="5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Criminal, Civil, Corporate, Arbitration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Revenue Streams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Retainer Fees, Per-Case Fees, App Subscriptions, Arbitration Services</w:t>
            </w:r>
          </w:p>
        </w:tc>
      </w:tr>
      <w:tr>
        <w:trPr>
          <w:tblHeader w:val="false"/>
        </w:trPr>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Competitive Edge</w:t>
            </w:r>
          </w:p>
        </w:tc>
        <w:tc>
          <w:tcPr>
            <w:tcW w:type="dxa" w:w="5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Transparency + Mentorship Pyramid + Digital-First Experience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Stage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Pre-Revenue / Planning Phase</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2. Market Analysis</w:t>
      </w:r>
    </w:p>
    <w:p>
      <w:pPr>
        <w:pStyle w:val="Heading2"/>
        <w:spacing w:before="320" w:after="120"/>
      </w:pPr>
      <w:r>
        <w:rPr>
          <w:rFonts w:ascii="Arial" w:cs="Arial" w:eastAsia="Arial" w:hAnsi="Arial"/>
          <w:b/>
          <w:bCs/>
          <w:color w:val="1E2761"/>
          <w:sz w:val="26"/>
          <w:szCs w:val="26"/>
        </w:rPr>
        <w:t xml:space="preserve">2.1 Market Size &amp; Opportunity</w:t>
      </w:r>
    </w:p>
    <w:p>
      <w:pPr>
        <w:spacing w:before="80" w:after="80"/>
        <w:jc w:val="left"/>
      </w:pPr>
      <w:r>
        <w:rPr>
          <w:rFonts w:ascii="Arial" w:cs="Arial" w:eastAsia="Arial" w:hAnsi="Arial"/>
          <w:b w:val="false"/>
          <w:bCs w:val="false"/>
          <w:i w:val="false"/>
          <w:iCs w:val="false"/>
          <w:color w:val="1A1A2E"/>
          <w:sz w:val="22"/>
          <w:szCs w:val="22"/>
        </w:rPr>
        <w:t xml:space="preserve">India's legal services market is one of the most under-digitised professional sectors in the world. With over 50 million pending cases in the judiciary and a population of 1.4 billion, the addressable market is enormous.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Market Segment</w:t>
            </w:r>
          </w:p>
        </w:tc>
        <w:tc>
          <w:tcPr>
            <w:tcW w:type="dxa" w:w="25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Estimated Size</w:t>
            </w:r>
          </w:p>
        </w:tc>
        <w:tc>
          <w:tcPr>
            <w:tcW w:type="dxa" w:w="36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Driver</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Total Indian Legal Market</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₹80,000 Cr+</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Population scale, regulatory complexity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 Legal Services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₹25,000 Cr+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Startup boom, M&amp;A activity</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Consumer / Individual Legal</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₹30,000 Cr+</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Criminal, family, property disputes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Legal Tech (App &amp; SaaS)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₹5,000 Cr (growing 25% YoY)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Smartphone penetration, awareness</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Arbitration &amp; ADR</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₹4,000 Cr+</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Court backlog driving demand</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2.2 Target Client Segments</w:t>
      </w:r>
    </w:p>
    <w:p>
      <w:pPr>
        <w:spacing w:before="200" w:after="80"/>
      </w:pPr>
      <w:r>
        <w:rPr>
          <w:rFonts w:ascii="Arial" w:cs="Arial" w:eastAsia="Arial" w:hAnsi="Arial"/>
          <w:b/>
          <w:bCs/>
          <w:color w:val="C9A84C"/>
          <w:sz w:val="22"/>
          <w:szCs w:val="22"/>
        </w:rPr>
        <w:t xml:space="preserve">Segment 1: Urban Individuals (Criminal &amp; Civil)</w:t>
      </w:r>
    </w:p>
    <w:p>
      <w:pPr>
        <w:spacing w:before="80" w:after="80"/>
        <w:jc w:val="left"/>
      </w:pPr>
      <w:r>
        <w:rPr>
          <w:rFonts w:ascii="Arial" w:cs="Arial" w:eastAsia="Arial" w:hAnsi="Arial"/>
          <w:b w:val="false"/>
          <w:bCs w:val="false"/>
          <w:i w:val="false"/>
          <w:iCs w:val="false"/>
          <w:color w:val="1A1A2E"/>
          <w:sz w:val="22"/>
          <w:szCs w:val="22"/>
        </w:rPr>
        <w:t xml:space="preserve">Middle-class urban residents facing property disputes, criminal matters, consumer complaints, or family law issues. These clients are digitally literate but legally naive — they are perfect for the app-first consultation funnel.</w:t>
      </w:r>
    </w:p>
    <w:p>
      <w:pPr>
        <w:spacing w:before="80" w:after="0"/>
      </w:pPr>
      <w:r>
        <w:t xml:space="preserve"/>
      </w:r>
    </w:p>
    <w:p>
      <w:pPr>
        <w:spacing w:before="200" w:after="80"/>
      </w:pPr>
      <w:r>
        <w:rPr>
          <w:rFonts w:ascii="Arial" w:cs="Arial" w:eastAsia="Arial" w:hAnsi="Arial"/>
          <w:b/>
          <w:bCs/>
          <w:color w:val="C9A84C"/>
          <w:sz w:val="22"/>
          <w:szCs w:val="22"/>
        </w:rPr>
        <w:t xml:space="preserve">Segment 2: Corporates &amp; Startups</w:t>
      </w:r>
    </w:p>
    <w:p>
      <w:pPr>
        <w:spacing w:before="80" w:after="80"/>
        <w:jc w:val="left"/>
      </w:pPr>
      <w:r>
        <w:rPr>
          <w:rFonts w:ascii="Arial" w:cs="Arial" w:eastAsia="Arial" w:hAnsi="Arial"/>
          <w:b w:val="false"/>
          <w:bCs w:val="false"/>
          <w:i w:val="false"/>
          <w:iCs w:val="false"/>
          <w:color w:val="1A1A2E"/>
          <w:sz w:val="22"/>
          <w:szCs w:val="22"/>
        </w:rPr>
        <w:t xml:space="preserve">Growing Indian startups and SMEs need ongoing legal counsel for contracts, compliance, employment law, and dispute resolution. They value responsiveness and clarity — areas where most traditional firms fail them.</w:t>
      </w:r>
    </w:p>
    <w:p>
      <w:pPr>
        <w:spacing w:before="80" w:after="0"/>
      </w:pPr>
      <w:r>
        <w:t xml:space="preserve"/>
      </w:r>
    </w:p>
    <w:p>
      <w:pPr>
        <w:spacing w:before="200" w:after="80"/>
      </w:pPr>
      <w:r>
        <w:rPr>
          <w:rFonts w:ascii="Arial" w:cs="Arial" w:eastAsia="Arial" w:hAnsi="Arial"/>
          <w:b/>
          <w:bCs/>
          <w:color w:val="C9A84C"/>
          <w:sz w:val="22"/>
          <w:szCs w:val="22"/>
        </w:rPr>
        <w:t xml:space="preserve">Segment 3: First-Time Litigants</w:t>
      </w:r>
    </w:p>
    <w:p>
      <w:pPr>
        <w:spacing w:before="80" w:after="80"/>
        <w:jc w:val="left"/>
      </w:pPr>
      <w:r>
        <w:rPr>
          <w:rFonts w:ascii="Arial" w:cs="Arial" w:eastAsia="Arial" w:hAnsi="Arial"/>
          <w:b w:val="false"/>
          <w:bCs w:val="false"/>
          <w:i w:val="false"/>
          <w:iCs w:val="false"/>
          <w:color w:val="1A1A2E"/>
          <w:sz w:val="22"/>
          <w:szCs w:val="22"/>
        </w:rPr>
        <w:t xml:space="preserve">Perhaps the most underserved group in India. People who have never dealt with the legal system before are overwhelmed, fearful, and susceptible to exploitation. Lex Nova's transparency model and AI-assisted guidance directly addresses this anxiety.</w:t>
      </w:r>
    </w:p>
    <w:p>
      <w:pPr>
        <w:spacing w:before="80" w:after="0"/>
      </w:pPr>
      <w:r>
        <w:t xml:space="preserve"/>
      </w:r>
    </w:p>
    <w:p>
      <w:pPr>
        <w:spacing w:before="200" w:after="80"/>
      </w:pPr>
      <w:r>
        <w:rPr>
          <w:rFonts w:ascii="Arial" w:cs="Arial" w:eastAsia="Arial" w:hAnsi="Arial"/>
          <w:b/>
          <w:bCs/>
          <w:color w:val="C9A84C"/>
          <w:sz w:val="22"/>
          <w:szCs w:val="22"/>
        </w:rPr>
        <w:t xml:space="preserve">Segment 4: High Net Worth Individuals (HNWIs)</w:t>
      </w:r>
    </w:p>
    <w:p>
      <w:pPr>
        <w:spacing w:before="80" w:after="80"/>
        <w:jc w:val="left"/>
      </w:pPr>
      <w:r>
        <w:rPr>
          <w:rFonts w:ascii="Arial" w:cs="Arial" w:eastAsia="Arial" w:hAnsi="Arial"/>
          <w:b w:val="false"/>
          <w:bCs w:val="false"/>
          <w:i w:val="false"/>
          <w:iCs w:val="false"/>
          <w:color w:val="1A1A2E"/>
          <w:sz w:val="22"/>
          <w:szCs w:val="22"/>
        </w:rPr>
        <w:t xml:space="preserve">HNWIs with complex wealth, business disputes, or criminal exposure require discretion, senior advocacy, and strategic case management. The mentorship pyramid (Retired Judges + Supreme Court Advocates) is a compelling differentiator for this segment.</w:t>
      </w:r>
    </w:p>
    <w:p>
      <w:pPr>
        <w:spacing w:before="160" w:after="0"/>
      </w:pPr>
      <w:r>
        <w:t xml:space="preserve"/>
      </w:r>
    </w:p>
    <w:p>
      <w:pPr>
        <w:pStyle w:val="Heading2"/>
        <w:spacing w:before="320" w:after="120"/>
      </w:pPr>
      <w:r>
        <w:rPr>
          <w:rFonts w:ascii="Arial" w:cs="Arial" w:eastAsia="Arial" w:hAnsi="Arial"/>
          <w:b/>
          <w:bCs/>
          <w:color w:val="1E2761"/>
          <w:sz w:val="26"/>
          <w:szCs w:val="26"/>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 Type</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Strengths</w:t>
            </w:r>
          </w:p>
        </w:tc>
        <w:tc>
          <w:tcPr>
            <w:tcW w:type="dxa" w:w="24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Weaknesses</w:t>
            </w:r>
          </w:p>
        </w:tc>
        <w:tc>
          <w:tcPr>
            <w:tcW w:type="dxa" w:w="27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Lex Nova Advantage</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Traditional Law Firms</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Reputation, relationships</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Opaque, slow, expensive</w:t>
            </w:r>
          </w:p>
        </w:tc>
        <w:tc>
          <w:tcPr>
            <w:tcW w:type="dxa" w:w="27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Transparency + App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Online Legal Platforms (e.g. LegalKart)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Digital reach, scale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real advocacy, no continuity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End-to-end representation</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Solo Practitioners</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 cost, personal touch</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mentorship, no systems</w:t>
            </w:r>
          </w:p>
        </w:tc>
        <w:tc>
          <w:tcPr>
            <w:tcW w:type="dxa" w:w="27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Quality assurance + CRM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 Legal Depts.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In-house knowledge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Not available to public</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Accessible premium service</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3. Services &amp; Offerings</w:t>
      </w:r>
    </w:p>
    <w:p>
      <w:pPr>
        <w:pStyle w:val="Heading2"/>
        <w:spacing w:before="320" w:after="120"/>
      </w:pPr>
      <w:r>
        <w:rPr>
          <w:rFonts w:ascii="Arial" w:cs="Arial" w:eastAsia="Arial" w:hAnsi="Arial"/>
          <w:b/>
          <w:bCs/>
          <w:color w:val="1E2761"/>
          <w:sz w:val="26"/>
          <w:szCs w:val="26"/>
        </w:rPr>
        <w:t xml:space="preserve">3.1 Core Legal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Practice Area</w:t>
            </w:r>
          </w:p>
        </w:tc>
        <w:tc>
          <w:tcPr>
            <w:tcW w:type="dxa" w:w="4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Services Included</w:t>
            </w:r>
          </w:p>
        </w:tc>
        <w:tc>
          <w:tcPr>
            <w:tcW w:type="dxa" w:w="27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Segment</w:t>
            </w:r>
          </w:p>
        </w:tc>
      </w:tr>
      <w:tr>
        <w:trPr>
          <w:tblHeader w:val="false"/>
        </w:trPr>
        <w:tc>
          <w:tcPr>
            <w:tcW w:type="dxa" w:w="26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Criminal Law</w:t>
            </w:r>
          </w:p>
        </w:tc>
        <w:tc>
          <w:tcPr>
            <w:tcW w:type="dxa" w:w="4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 guidance, bail, trial defence, anticipatory bail</w:t>
            </w:r>
          </w:p>
        </w:tc>
        <w:tc>
          <w:tcPr>
            <w:tcW w:type="dxa" w:w="27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Individuals, HNWIs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Civil Law</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Property disputes, injunctions, consumer cases, tort claims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Individuals, Corporates</w:t>
            </w:r>
          </w:p>
        </w:tc>
      </w:tr>
      <w:tr>
        <w:trPr>
          <w:tblHeader w:val="false"/>
        </w:trPr>
        <w:tc>
          <w:tcPr>
            <w:tcW w:type="dxa" w:w="26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 Law</w:t>
            </w:r>
          </w:p>
        </w:tc>
        <w:tc>
          <w:tcPr>
            <w:tcW w:type="dxa" w:w="4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Company formation, contracts, compliance, employment law</w:t>
            </w:r>
          </w:p>
        </w:tc>
        <w:tc>
          <w:tcPr>
            <w:tcW w:type="dxa" w:w="27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Startups, SMEs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Family Law</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Divorce, custody, maintenance, succession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Urban Individuals</w:t>
            </w:r>
          </w:p>
        </w:tc>
      </w:tr>
      <w:tr>
        <w:trPr>
          <w:tblHeader w:val="false"/>
        </w:trPr>
        <w:tc>
          <w:tcPr>
            <w:tcW w:type="dxa" w:w="26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Arbitration &amp; ADR</w:t>
            </w:r>
          </w:p>
        </w:tc>
        <w:tc>
          <w:tcPr>
            <w:tcW w:type="dxa" w:w="4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Commercial arbitration, mediation, dispute advisory</w:t>
            </w:r>
          </w:p>
        </w:tc>
        <w:tc>
          <w:tcPr>
            <w:tcW w:type="dxa" w:w="27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Corporates, HNWIs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Real Estate Law</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Title verification, development agreements, RERA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Individuals, Developers</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3.2 The Mentorship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FBF5E6"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Our Unique Quality Architecture</w:t>
            </w:r>
          </w:p>
          <w:p>
            <w:pPr>
              <w:spacing w:before="0" w:after="0"/>
            </w:pPr>
            <w:r>
              <w:rPr>
                <w:rFonts w:ascii="Arial" w:cs="Arial" w:eastAsia="Arial" w:hAnsi="Arial"/>
                <w:color w:val="1A1A2E"/>
                <w:sz w:val="21"/>
                <w:szCs w:val="21"/>
              </w:rPr>
              <w:t xml:space="preserve">Every case at Lex Nova passes through a three-tier review: (1) Junior Advocates with minimum 5 years' experience handle day-to-day proceedings. (2) Senior High Court Advocates supervise strategy and client communication. (3) Retired District Judges provide final review, mentorship, and lend gravitas to advisory opinions. Supreme Court Advocates are engaged for high-stakes litigation and arbitration. This is not standard practice anywhere else in India.</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3.3 The Free Consultation Funnel</w:t>
      </w:r>
    </w:p>
    <w:p>
      <w:pPr>
        <w:spacing w:before="80" w:after="80"/>
        <w:jc w:val="left"/>
      </w:pPr>
      <w:r>
        <w:rPr>
          <w:rFonts w:ascii="Arial" w:cs="Arial" w:eastAsia="Arial" w:hAnsi="Arial"/>
          <w:b w:val="false"/>
          <w:bCs w:val="false"/>
          <w:i w:val="false"/>
          <w:iCs w:val="false"/>
          <w:color w:val="1A1A2E"/>
          <w:sz w:val="22"/>
          <w:szCs w:val="22"/>
        </w:rPr>
        <w:t xml:space="preserve">Every prospective client receives 30 minutes of free consultation — by phone, video, or in person. This is our primary client acquisition strategy. It removes the fear barrier for first-time litigants, demonstrates our expertise upfront, and builds the trust necessary for engagement.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Consultation Channel</w:t>
            </w:r>
          </w:p>
        </w:tc>
        <w:tc>
          <w:tcPr>
            <w:tcW w:type="dxa" w:w="3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Segment</w:t>
            </w:r>
          </w:p>
        </w:tc>
        <w:tc>
          <w:tcPr>
            <w:tcW w:type="dxa" w:w="33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Conversion Goal</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Video call (app/web)</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Urban individuals, Corporates</w:t>
            </w:r>
          </w:p>
        </w:tc>
        <w:tc>
          <w:tcPr>
            <w:tcW w:type="dxa" w:w="3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 retainer within 7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Tele-conference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Rural adjacent / semi-urban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In-office meeting booking</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In-person (office)</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HNWIs, complex matters</w:t>
            </w:r>
          </w:p>
        </w:tc>
        <w:tc>
          <w:tcPr>
            <w:tcW w:type="dxa" w:w="3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Premium retainer agreement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Home visit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Elderly, hospitalised, differently-abled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Goodwill + referrals</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4. Digital Platform Strategy</w:t>
      </w:r>
    </w:p>
    <w:p>
      <w:pPr>
        <w:pStyle w:val="Heading2"/>
        <w:spacing w:before="320" w:after="120"/>
      </w:pPr>
      <w:r>
        <w:rPr>
          <w:rFonts w:ascii="Arial" w:cs="Arial" w:eastAsia="Arial" w:hAnsi="Arial"/>
          <w:b/>
          <w:bCs/>
          <w:color w:val="1E2761"/>
          <w:sz w:val="26"/>
          <w:szCs w:val="26"/>
        </w:rPr>
        <w:t xml:space="preserve">4.1 The Mobile Application</w:t>
      </w:r>
    </w:p>
    <w:p>
      <w:pPr>
        <w:spacing w:before="80" w:after="80"/>
        <w:jc w:val="left"/>
      </w:pPr>
      <w:r>
        <w:rPr>
          <w:rFonts w:ascii="Arial" w:cs="Arial" w:eastAsia="Arial" w:hAnsi="Arial"/>
          <w:b w:val="false"/>
          <w:bCs w:val="false"/>
          <w:i w:val="false"/>
          <w:iCs w:val="false"/>
          <w:color w:val="1A1A2E"/>
          <w:sz w:val="22"/>
          <w:szCs w:val="22"/>
        </w:rPr>
        <w:t xml:space="preserve">The Lex Nova app is the growth engine of the entire platform. It serves four critical functions for clients, and ties directly into the CRM for advocates.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E8EBF5"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Core App Features</w:t>
            </w:r>
          </w:p>
          <w:p>
            <w:pPr>
              <w:spacing w:before="0" w:after="0"/>
            </w:pPr>
            <w:r>
              <w:rPr>
                <w:rFonts w:ascii="Arial" w:cs="Arial" w:eastAsia="Arial" w:hAnsi="Arial"/>
                <w:color w:val="1A1A2E"/>
                <w:sz w:val="21"/>
                <w:szCs w:val="21"/>
              </w:rPr>
              <w:t xml:space="preserve">1. Instant Booking: Book a free 30-minute consultation within 60 seconds. 2. Case Tracking: Real-time status updates — next hearing date, documents filed, actions pending. 3. AI Legal Guide: Answer preliminary questions, explain the law in plain language, assess case strength. 4. Lawyer Finder: Browse advocate profiles by domain, experience, and rating. 5. Secure Document Vault: Upload and store all case-related documents. 6. Hearing Reminders: Automated notifications for court dates and deadlines. 7. Secure Messaging: Direct, encrypted communication with your assigned advocate.</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4.2 App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 Support</w:t>
            </w:r>
          </w:p>
        </w:tc>
      </w:tr>
      <w:tr>
        <w:trPr>
          <w:tblHeader w:val="false"/>
        </w:trPr>
        <w:tc>
          <w:tcPr>
            <w:tcW w:type="dxa" w:w="1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Discovery</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User hears about Lex Nova via ad / referral</w:t>
            </w:r>
          </w:p>
        </w:tc>
        <w:tc>
          <w:tcPr>
            <w:tcW w:type="dxa" w:w="4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Social media, Google Ads, court advertising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First Touch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Downloads app, books free consultation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Store / Play Store</w:t>
            </w:r>
          </w:p>
        </w:tc>
      </w:tr>
      <w:tr>
        <w:trPr>
          <w:tblHeader w:val="false"/>
        </w:trPr>
        <w:tc>
          <w:tcPr>
            <w:tcW w:type="dxa" w:w="1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Consultation</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Meets advocate by video / call</w:t>
            </w:r>
          </w:p>
        </w:tc>
        <w:tc>
          <w:tcPr>
            <w:tcW w:type="dxa" w:w="4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In-app video conference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Onboarding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Signs engagement letter, uploads documents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Digital signature + secure vault</w:t>
            </w:r>
          </w:p>
        </w:tc>
      </w:tr>
      <w:tr>
        <w:trPr>
          <w:tblHeader w:val="false"/>
        </w:trPr>
        <w:tc>
          <w:tcPr>
            <w:tcW w:type="dxa" w:w="1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Active Case</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Tracks progress, receives updates, messages advocate</w:t>
            </w:r>
          </w:p>
        </w:tc>
        <w:tc>
          <w:tcPr>
            <w:tcW w:type="dxa" w:w="4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 tracker + push notifications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Resolution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 closes, receives outcome summary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Outcome report + review request</w:t>
            </w:r>
          </w:p>
        </w:tc>
      </w:tr>
      <w:tr>
        <w:trPr>
          <w:tblHeader w:val="false"/>
        </w:trPr>
        <w:tc>
          <w:tcPr>
            <w:tcW w:type="dxa" w:w="1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Retention</w:t>
            </w:r>
          </w:p>
        </w:tc>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Books next matter, refers friends</w:t>
            </w:r>
          </w:p>
        </w:tc>
        <w:tc>
          <w:tcPr>
            <w:tcW w:type="dxa" w:w="4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Loyalty program + referral rewards</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4.3 The CRM System</w:t>
      </w:r>
    </w:p>
    <w:p>
      <w:pPr>
        <w:spacing w:before="80" w:after="80"/>
        <w:jc w:val="left"/>
      </w:pPr>
      <w:r>
        <w:rPr>
          <w:rFonts w:ascii="Arial" w:cs="Arial" w:eastAsia="Arial" w:hAnsi="Arial"/>
          <w:b w:val="false"/>
          <w:bCs w:val="false"/>
          <w:i w:val="false"/>
          <w:iCs w:val="false"/>
          <w:color w:val="1A1A2E"/>
          <w:sz w:val="22"/>
          <w:szCs w:val="22"/>
        </w:rPr>
        <w:t xml:space="preserve">The Lex Nova CRM is the operational brain of the firm. It is compartmentalised by role — meaning each user sees only what is relevant and permissible for their function. Client privacy is structurally enforced, not just policy-enforced.</w:t>
      </w:r>
    </w:p>
    <w:p>
      <w:pPr>
        <w:spacing w:before="120" w:after="0"/>
      </w:pPr>
      <w:r>
        <w:t xml:space="preserve"/>
      </w:r>
    </w:p>
    <w:p>
      <w:pPr>
        <w:spacing w:before="200" w:after="80"/>
      </w:pPr>
      <w:r>
        <w:rPr>
          <w:rFonts w:ascii="Arial" w:cs="Arial" w:eastAsia="Arial" w:hAnsi="Arial"/>
          <w:b/>
          <w:bCs/>
          <w:color w:val="C9A84C"/>
          <w:sz w:val="22"/>
          <w:szCs w:val="22"/>
        </w:rPr>
        <w:t xml:space="preserve">CRM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Level</w:t>
            </w:r>
          </w:p>
        </w:tc>
        <w:tc>
          <w:tcPr>
            <w:tcW w:type="dxa" w:w="51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They See</w:t>
            </w:r>
          </w:p>
        </w:tc>
      </w:tr>
      <w:tr>
        <w:trPr>
          <w:tblHeader w:val="false"/>
        </w:trPr>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Managing Partner / Admin</w:t>
            </w:r>
          </w:p>
        </w:tc>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 access</w:t>
            </w:r>
          </w:p>
        </w:tc>
        <w:tc>
          <w:tcPr>
            <w:tcW w:type="dxa" w:w="5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clients, all cases, all financials, all staff activity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Senior Advocates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Case-level access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Their assigned cases, client details, junior advocate activity</w:t>
            </w:r>
          </w:p>
        </w:tc>
      </w:tr>
      <w:tr>
        <w:trPr>
          <w:tblHeader w:val="false"/>
        </w:trPr>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Junior Advocates</w:t>
            </w:r>
          </w:p>
        </w:tc>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Task-level access</w:t>
            </w:r>
          </w:p>
        </w:tc>
        <w:tc>
          <w:tcPr>
            <w:tcW w:type="dxa" w:w="5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Assigned tasks, hearing dates, documents for their cases only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Billing &amp; Collections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Financial access only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Invoice status, payment history — NO case details or personal matter info</w:t>
            </w:r>
          </w:p>
        </w:tc>
      </w:tr>
      <w:tr>
        <w:trPr>
          <w:tblHeader w:val="false"/>
        </w:trPr>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Reception / Client Relations</w:t>
            </w:r>
          </w:p>
        </w:tc>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Contact access only</w:t>
            </w:r>
          </w:p>
        </w:tc>
        <w:tc>
          <w:tcPr>
            <w:tcW w:type="dxa" w:w="5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Client contact info, appointment scheduling — no case substance</w:t>
            </w:r>
          </w:p>
        </w:tc>
      </w:tr>
    </w:tbl>
    <w:p>
      <w:pPr>
        <w:spacing w:before="160" w:after="0"/>
      </w:pPr>
      <w:r>
        <w:t xml:space="preserve"/>
      </w:r>
    </w:p>
    <w:p>
      <w:pPr>
        <w:spacing w:before="200" w:after="80"/>
      </w:pPr>
      <w:r>
        <w:rPr>
          <w:rFonts w:ascii="Arial" w:cs="Arial" w:eastAsia="Arial" w:hAnsi="Arial"/>
          <w:b/>
          <w:bCs/>
          <w:color w:val="C9A84C"/>
          <w:sz w:val="22"/>
          <w:szCs w:val="22"/>
        </w:rPr>
        <w:t xml:space="preserve">CRM Core Modules</w:t>
      </w:r>
    </w:p>
    <w:p>
      <w:pPr>
        <w:pStyle w:val="ListParagraph"/>
        <w:numPr>
          <w:ilvl w:val="0"/>
          <w:numId w:val="2"/>
        </w:numPr>
        <w:spacing w:before="60" w:after="60"/>
      </w:pPr>
      <w:r>
        <w:rPr>
          <w:rFonts w:ascii="Arial" w:cs="Arial" w:eastAsia="Arial" w:hAnsi="Arial"/>
          <w:color w:val="1A1A2E"/>
          <w:sz w:val="22"/>
          <w:szCs w:val="22"/>
        </w:rPr>
        <w:t xml:space="preserve">Client Intake Module: Capture lead details, consultation notes, conflict-of-interest checks</w:t>
      </w:r>
    </w:p>
    <w:p>
      <w:pPr>
        <w:pStyle w:val="ListParagraph"/>
        <w:numPr>
          <w:ilvl w:val="0"/>
          <w:numId w:val="2"/>
        </w:numPr>
        <w:spacing w:before="60" w:after="60"/>
      </w:pPr>
      <w:r>
        <w:rPr>
          <w:rFonts w:ascii="Arial" w:cs="Arial" w:eastAsia="Arial" w:hAnsi="Arial"/>
          <w:color w:val="1A1A2E"/>
          <w:sz w:val="22"/>
          <w:szCs w:val="22"/>
        </w:rPr>
        <w:t xml:space="preserve">Case Management Module: Case timeline, court dates, document repository, task assignments</w:t>
      </w:r>
    </w:p>
    <w:p>
      <w:pPr>
        <w:pStyle w:val="ListParagraph"/>
        <w:numPr>
          <w:ilvl w:val="0"/>
          <w:numId w:val="2"/>
        </w:numPr>
        <w:spacing w:before="60" w:after="60"/>
      </w:pPr>
      <w:r>
        <w:rPr>
          <w:rFonts w:ascii="Arial" w:cs="Arial" w:eastAsia="Arial" w:hAnsi="Arial"/>
          <w:color w:val="1A1A2E"/>
          <w:sz w:val="22"/>
          <w:szCs w:val="22"/>
        </w:rPr>
        <w:t xml:space="preserve">Advocate Workload Dashboard: Real-time view of each advocate's active case count and deadlines</w:t>
      </w:r>
    </w:p>
    <w:p>
      <w:pPr>
        <w:pStyle w:val="ListParagraph"/>
        <w:numPr>
          <w:ilvl w:val="0"/>
          <w:numId w:val="2"/>
        </w:numPr>
        <w:spacing w:before="60" w:after="60"/>
      </w:pPr>
      <w:r>
        <w:rPr>
          <w:rFonts w:ascii="Arial" w:cs="Arial" w:eastAsia="Arial" w:hAnsi="Arial"/>
          <w:color w:val="1A1A2E"/>
          <w:sz w:val="22"/>
          <w:szCs w:val="22"/>
        </w:rPr>
        <w:t xml:space="preserve">Billing &amp; Invoicing Module: Fee agreements, milestone billing, payment tracking, overdue alerts</w:t>
      </w:r>
    </w:p>
    <w:p>
      <w:pPr>
        <w:pStyle w:val="ListParagraph"/>
        <w:numPr>
          <w:ilvl w:val="0"/>
          <w:numId w:val="2"/>
        </w:numPr>
        <w:spacing w:before="60" w:after="60"/>
      </w:pPr>
      <w:r>
        <w:rPr>
          <w:rFonts w:ascii="Arial" w:cs="Arial" w:eastAsia="Arial" w:hAnsi="Arial"/>
          <w:color w:val="1A1A2E"/>
          <w:sz w:val="22"/>
          <w:szCs w:val="22"/>
        </w:rPr>
        <w:t xml:space="preserve">Compliance &amp; Ethics Module: Flag potential conflicts, maintain privilege logs</w:t>
      </w:r>
    </w:p>
    <w:p>
      <w:pPr>
        <w:pStyle w:val="ListParagraph"/>
        <w:numPr>
          <w:ilvl w:val="0"/>
          <w:numId w:val="2"/>
        </w:numPr>
        <w:spacing w:before="60" w:after="60"/>
      </w:pPr>
      <w:r>
        <w:rPr>
          <w:rFonts w:ascii="Arial" w:cs="Arial" w:eastAsia="Arial" w:hAnsi="Arial"/>
          <w:color w:val="1A1A2E"/>
          <w:sz w:val="22"/>
          <w:szCs w:val="22"/>
        </w:rPr>
        <w:t xml:space="preserve">Reporting &amp; Analytics: Case outcomes, client satisfaction scores, revenue per practice area</w:t>
      </w:r>
    </w:p>
    <w:p>
      <w:pPr>
        <w:spacing w:before="160" w:after="0"/>
      </w:pPr>
      <w:r>
        <w:t xml:space="preserve"/>
      </w:r>
    </w:p>
    <w:p>
      <w:pPr>
        <w:pStyle w:val="Heading2"/>
        <w:spacing w:before="320" w:after="120"/>
      </w:pPr>
      <w:r>
        <w:rPr>
          <w:rFonts w:ascii="Arial" w:cs="Arial" w:eastAsia="Arial" w:hAnsi="Arial"/>
          <w:b/>
          <w:bCs/>
          <w:color w:val="1E2761"/>
          <w:sz w:val="26"/>
          <w:szCs w:val="26"/>
        </w:rPr>
        <w:t xml:space="preserve">4.4 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r>
      <w:tr>
        <w:trPr>
          <w:tblHeader w:val="false"/>
        </w:trPr>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Phase 1 — Foundation</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Months 1–4</w:t>
            </w:r>
          </w:p>
        </w:tc>
        <w:tc>
          <w:tcPr>
            <w:tcW w:type="dxa" w:w="5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CRM web app (internal use), basic client portal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Phase 2 — App Launch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Months 5–8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iOS &amp; Android app with booking, case tracking, messaging</w:t>
            </w:r>
          </w:p>
        </w:tc>
      </w:tr>
      <w:tr>
        <w:trPr>
          <w:tblHeader w:val="false"/>
        </w:trPr>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Phase 3 — AI Integration</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Months 9–14</w:t>
            </w:r>
          </w:p>
        </w:tc>
        <w:tc>
          <w:tcPr>
            <w:tcW w:type="dxa" w:w="53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legal guide, document summarisation, case strength predictor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Phase 4 — Scale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Months 15–24</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Multi-city expansion, API integrations with court e-filing systems</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5. Operations Plan</w:t>
      </w:r>
    </w:p>
    <w:p>
      <w:pPr>
        <w:pStyle w:val="Heading2"/>
        <w:spacing w:before="320" w:after="120"/>
      </w:pPr>
      <w:r>
        <w:rPr>
          <w:rFonts w:ascii="Arial" w:cs="Arial" w:eastAsia="Arial" w:hAnsi="Arial"/>
          <w:b/>
          <w:bCs/>
          <w:color w:val="1E2761"/>
          <w:sz w:val="26"/>
          <w:szCs w:val="26"/>
        </w:rPr>
        <w:t xml:space="preserve">5.1 Team Structure</w:t>
      </w:r>
    </w:p>
    <w:p>
      <w:pPr>
        <w:spacing w:before="80" w:after="80"/>
        <w:jc w:val="left"/>
      </w:pPr>
      <w:r>
        <w:rPr>
          <w:rFonts w:ascii="Arial" w:cs="Arial" w:eastAsia="Arial" w:hAnsi="Arial"/>
          <w:b w:val="false"/>
          <w:bCs w:val="false"/>
          <w:i w:val="false"/>
          <w:iCs w:val="false"/>
          <w:color w:val="1A1A2E"/>
          <w:sz w:val="22"/>
          <w:szCs w:val="22"/>
        </w:rPr>
        <w:t xml:space="preserve">Lex Nova operates on a hub-and-spoke model with a clear hierarchy that ensures quality control while enabling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Count (Year 1)</w:t>
            </w:r>
          </w:p>
        </w:tc>
        <w:tc>
          <w:tcPr>
            <w:tcW w:type="dxa" w:w="41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Managing Partner</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4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Strategic direction, senior client relationships, firm governance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Retd. District Judge (Advisor)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Mentorship, final case review, arbitration panel</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Supreme Court Advocate (Consultant)</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1–2</w:t>
            </w:r>
          </w:p>
        </w:tc>
        <w:tc>
          <w:tcPr>
            <w:tcW w:type="dxa" w:w="4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High-stakes litigation guidance, appellate strategy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Senior High Court Advocates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3–5</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 leadership, client management, junior supervision</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Junior Advocates (5+ yrs exp.)</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8–12</w:t>
            </w:r>
          </w:p>
        </w:tc>
        <w:tc>
          <w:tcPr>
            <w:tcW w:type="dxa" w:w="4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Day-to-day proceedings, research, documentation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CRM &amp; Operations Manager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CRM administration, process management, reporting</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Client Relations Executive</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w:t>
            </w:r>
          </w:p>
        </w:tc>
        <w:tc>
          <w:tcPr>
            <w:tcW w:type="dxa" w:w="4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Consultation scheduling, client communication, follow-ups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Billing &amp; Collections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Invoicing, payment follow-up, financial reporting</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Tech Team / Partner</w:t>
            </w:r>
          </w:p>
        </w:tc>
        <w:tc>
          <w:tcPr>
            <w:tcW w:type="dxa" w:w="20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Outsourced</w:t>
            </w:r>
          </w:p>
        </w:tc>
        <w:tc>
          <w:tcPr>
            <w:tcW w:type="dxa" w:w="41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development, CRM build, maintenance</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5.2 Office &amp; Infrastructure</w:t>
      </w:r>
    </w:p>
    <w:p>
      <w:pPr>
        <w:pStyle w:val="ListParagraph"/>
        <w:numPr>
          <w:ilvl w:val="0"/>
          <w:numId w:val="2"/>
        </w:numPr>
        <w:spacing w:before="60" w:after="60"/>
      </w:pPr>
      <w:r>
        <w:rPr>
          <w:rFonts w:ascii="Arial" w:cs="Arial" w:eastAsia="Arial" w:hAnsi="Arial"/>
          <w:color w:val="1A1A2E"/>
          <w:sz w:val="22"/>
          <w:szCs w:val="22"/>
        </w:rPr>
        <w:t xml:space="preserve">Primary office in a reputable commercial location with proximity to High Court / District Court</w:t>
      </w:r>
    </w:p>
    <w:p>
      <w:pPr>
        <w:pStyle w:val="ListParagraph"/>
        <w:numPr>
          <w:ilvl w:val="0"/>
          <w:numId w:val="2"/>
        </w:numPr>
        <w:spacing w:before="60" w:after="60"/>
      </w:pPr>
      <w:r>
        <w:rPr>
          <w:rFonts w:ascii="Arial" w:cs="Arial" w:eastAsia="Arial" w:hAnsi="Arial"/>
          <w:color w:val="1A1A2E"/>
          <w:sz w:val="22"/>
          <w:szCs w:val="22"/>
        </w:rPr>
        <w:t xml:space="preserve">Dedicated client consultation rooms (minimum 3) with soundproofing for confidentiality</w:t>
      </w:r>
    </w:p>
    <w:p>
      <w:pPr>
        <w:pStyle w:val="ListParagraph"/>
        <w:numPr>
          <w:ilvl w:val="0"/>
          <w:numId w:val="2"/>
        </w:numPr>
        <w:spacing w:before="60" w:after="60"/>
      </w:pPr>
      <w:r>
        <w:rPr>
          <w:rFonts w:ascii="Arial" w:cs="Arial" w:eastAsia="Arial" w:hAnsi="Arial"/>
          <w:color w:val="1A1A2E"/>
          <w:sz w:val="22"/>
          <w:szCs w:val="22"/>
        </w:rPr>
        <w:t xml:space="preserve">In-person and virtual consultation capabilities in every meeting room</w:t>
      </w:r>
    </w:p>
    <w:p>
      <w:pPr>
        <w:pStyle w:val="ListParagraph"/>
        <w:numPr>
          <w:ilvl w:val="0"/>
          <w:numId w:val="2"/>
        </w:numPr>
        <w:spacing w:before="60" w:after="60"/>
      </w:pPr>
      <w:r>
        <w:rPr>
          <w:rFonts w:ascii="Arial" w:cs="Arial" w:eastAsia="Arial" w:hAnsi="Arial"/>
          <w:color w:val="1A1A2E"/>
          <w:sz w:val="22"/>
          <w:szCs w:val="22"/>
        </w:rPr>
        <w:t xml:space="preserve">Secure document management — both physical (locked storage) and digital (encrypted cloud)</w:t>
      </w:r>
    </w:p>
    <w:p>
      <w:pPr>
        <w:pStyle w:val="ListParagraph"/>
        <w:numPr>
          <w:ilvl w:val="0"/>
          <w:numId w:val="2"/>
        </w:numPr>
        <w:spacing w:before="60" w:after="60"/>
      </w:pPr>
      <w:r>
        <w:rPr>
          <w:rFonts w:ascii="Arial" w:cs="Arial" w:eastAsia="Arial" w:hAnsi="Arial"/>
          <w:color w:val="1A1A2E"/>
          <w:sz w:val="22"/>
          <w:szCs w:val="22"/>
        </w:rPr>
        <w:t xml:space="preserve">Court advertising placements within permissible legal advertising guidelines</w:t>
      </w:r>
    </w:p>
    <w:p>
      <w:pPr>
        <w:spacing w:before="160" w:after="0"/>
      </w:pPr>
      <w:r>
        <w:t xml:space="preserve"/>
      </w:r>
    </w:p>
    <w:p>
      <w:pPr>
        <w:pStyle w:val="Heading2"/>
        <w:spacing w:before="320" w:after="120"/>
      </w:pPr>
      <w:r>
        <w:rPr>
          <w:rFonts w:ascii="Arial" w:cs="Arial" w:eastAsia="Arial" w:hAnsi="Arial"/>
          <w:b/>
          <w:bCs/>
          <w:color w:val="1E2761"/>
          <w:sz w:val="26"/>
          <w:szCs w:val="26"/>
        </w:rPr>
        <w:t xml:space="preserve">5.3 Quality Assurance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E8EBF5"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The Lex Nova Quality Protocol</w:t>
            </w:r>
          </w:p>
          <w:p>
            <w:pPr>
              <w:spacing w:before="0" w:after="0"/>
            </w:pPr>
            <w:r>
              <w:rPr>
                <w:rFonts w:ascii="Arial" w:cs="Arial" w:eastAsia="Arial" w:hAnsi="Arial"/>
                <w:color w:val="1A1A2E"/>
                <w:sz w:val="21"/>
                <w:szCs w:val="21"/>
              </w:rPr>
              <w:t xml:space="preserve">Every case follows a structured review cycle: (1) Initial assessment by junior advocate. (2) Strategy review by senior advocate. (3) Mentorship input from Retd. Judge or Supreme Court Advocate on complex matters. (4) Client update meeting at every milestone. (5) Post-case outcome debrief and documentation. This protocol is tracked in the CRM and cannot be bypassed.</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6. Marketing &amp; Client Acquisition</w:t>
      </w:r>
    </w:p>
    <w:p>
      <w:pPr>
        <w:pStyle w:val="Heading2"/>
        <w:spacing w:before="320" w:after="120"/>
      </w:pPr>
      <w:r>
        <w:rPr>
          <w:rFonts w:ascii="Arial" w:cs="Arial" w:eastAsia="Arial" w:hAnsi="Arial"/>
          <w:b/>
          <w:bCs/>
          <w:color w:val="1E2761"/>
          <w:sz w:val="26"/>
          <w:szCs w:val="26"/>
        </w:rPr>
        <w:t xml:space="preserve">6.1 Marketing Philosophy</w:t>
      </w:r>
    </w:p>
    <w:p>
      <w:pPr>
        <w:spacing w:before="80" w:after="80"/>
        <w:jc w:val="left"/>
      </w:pPr>
      <w:r>
        <w:rPr>
          <w:rFonts w:ascii="Arial" w:cs="Arial" w:eastAsia="Arial" w:hAnsi="Arial"/>
          <w:b w:val="false"/>
          <w:bCs w:val="false"/>
          <w:i w:val="false"/>
          <w:iCs w:val="false"/>
          <w:color w:val="1A1A2E"/>
          <w:sz w:val="22"/>
          <w:szCs w:val="22"/>
        </w:rPr>
        <w:t xml:space="preserve">Legal marketing in India is constrained by Bar Council regulations, but the digital space offers significant legitimate opportunity. Lex Nova's strategy centres on education, accessibility, and trust-building rather than aggressive promotion.</w:t>
      </w:r>
    </w:p>
    <w:p>
      <w:pPr>
        <w:spacing w:before="120" w:after="0"/>
      </w:pPr>
      <w:r>
        <w:t xml:space="preserve"/>
      </w:r>
    </w:p>
    <w:p>
      <w:pPr>
        <w:pStyle w:val="Heading2"/>
        <w:spacing w:before="320" w:after="120"/>
      </w:pPr>
      <w:r>
        <w:rPr>
          <w:rFonts w:ascii="Arial" w:cs="Arial" w:eastAsia="Arial" w:hAnsi="Arial"/>
          <w:b/>
          <w:bCs/>
          <w:color w:val="1E2761"/>
          <w:sz w:val="26"/>
          <w:szCs w:val="26"/>
        </w:rPr>
        <w:t xml:space="preserve">6.2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900"/>
        <w:gridCol w:w="24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Tactic</w:t>
            </w:r>
          </w:p>
        </w:tc>
        <w:tc>
          <w:tcPr>
            <w:tcW w:type="dxa" w:w="19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Segment</w:t>
            </w:r>
          </w:p>
        </w:tc>
        <w:tc>
          <w:tcPr>
            <w:tcW w:type="dxa" w:w="24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Budget Priority</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Social Media (Instagram, YouTube)</w:t>
            </w:r>
          </w:p>
        </w:tc>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Legal explainer reels, FAQ series, case type guides</w:t>
            </w:r>
          </w:p>
        </w:tc>
        <w:tc>
          <w:tcPr>
            <w:tcW w:type="dxa" w:w="19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Urban individuals, first-timers</w:t>
            </w:r>
          </w:p>
        </w:tc>
        <w:tc>
          <w:tcPr>
            <w:tcW w:type="dxa" w:w="24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Search Ads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Target high-intent legal queries by city and domain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segments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Court &amp; Police Station Advertising</w:t>
            </w:r>
          </w:p>
        </w:tc>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Permitted print placements in waiting areas</w:t>
            </w:r>
          </w:p>
        </w:tc>
        <w:tc>
          <w:tcPr>
            <w:tcW w:type="dxa" w:w="19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Individuals in distress</w:t>
            </w:r>
          </w:p>
        </w:tc>
        <w:tc>
          <w:tcPr>
            <w:tcW w:type="dxa" w:w="24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Referral Network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Partner with CAs, doctors, and bankers for cross-referrals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Corporates, HNWIs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Free Consultation Funnel</w:t>
            </w:r>
          </w:p>
        </w:tc>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30-min consultation as the universal entry point</w:t>
            </w:r>
          </w:p>
        </w:tc>
        <w:tc>
          <w:tcPr>
            <w:tcW w:type="dxa" w:w="19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segments</w:t>
            </w:r>
          </w:p>
        </w:tc>
        <w:tc>
          <w:tcPr>
            <w:tcW w:type="dxa" w:w="24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Primary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 Outreach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Direct pitch to startup incubators and SME associations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Corporates, Startups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LinkedIn Thought Leadership</w:t>
            </w:r>
          </w:p>
        </w:tc>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Articles by senior advocates on legal trends</w:t>
            </w:r>
          </w:p>
        </w:tc>
        <w:tc>
          <w:tcPr>
            <w:tcW w:type="dxa" w:w="19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Corporates, HNWIs</w:t>
            </w:r>
          </w:p>
        </w:tc>
        <w:tc>
          <w:tcPr>
            <w:tcW w:type="dxa" w:w="24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Store Optimisation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Category: Legal, keywords around case tracking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users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6.3 Content Marketing Strategy</w:t>
      </w:r>
    </w:p>
    <w:p>
      <w:pPr>
        <w:spacing w:before="80" w:after="80"/>
        <w:jc w:val="left"/>
      </w:pPr>
      <w:r>
        <w:rPr>
          <w:rFonts w:ascii="Arial" w:cs="Arial" w:eastAsia="Arial" w:hAnsi="Arial"/>
          <w:b w:val="false"/>
          <w:bCs w:val="false"/>
          <w:i w:val="false"/>
          <w:iCs w:val="false"/>
          <w:color w:val="1A1A2E"/>
          <w:sz w:val="22"/>
          <w:szCs w:val="22"/>
        </w:rPr>
        <w:t xml:space="preserve">Content is our most powerful and cost-effective tool. We will produce:</w:t>
      </w:r>
    </w:p>
    <w:p>
      <w:pPr>
        <w:pStyle w:val="ListParagraph"/>
        <w:numPr>
          <w:ilvl w:val="0"/>
          <w:numId w:val="2"/>
        </w:numPr>
        <w:spacing w:before="60" w:after="60"/>
      </w:pPr>
      <w:r>
        <w:rPr>
          <w:rFonts w:ascii="Arial" w:cs="Arial" w:eastAsia="Arial" w:hAnsi="Arial"/>
          <w:color w:val="1A1A2E"/>
          <w:sz w:val="22"/>
          <w:szCs w:val="22"/>
        </w:rPr>
        <w:t xml:space="preserve">'Know Your Rights' video series — short-form, platform-specific, in regional languages</w:t>
      </w:r>
    </w:p>
    <w:p>
      <w:pPr>
        <w:pStyle w:val="ListParagraph"/>
        <w:numPr>
          <w:ilvl w:val="0"/>
          <w:numId w:val="2"/>
        </w:numPr>
        <w:spacing w:before="60" w:after="60"/>
      </w:pPr>
      <w:r>
        <w:rPr>
          <w:rFonts w:ascii="Arial" w:cs="Arial" w:eastAsia="Arial" w:hAnsi="Arial"/>
          <w:color w:val="1A1A2E"/>
          <w:sz w:val="22"/>
          <w:szCs w:val="22"/>
        </w:rPr>
        <w:t xml:space="preserve">Monthly legal newsletter for corporates covering regulatory updates</w:t>
      </w:r>
    </w:p>
    <w:p>
      <w:pPr>
        <w:pStyle w:val="ListParagraph"/>
        <w:numPr>
          <w:ilvl w:val="0"/>
          <w:numId w:val="2"/>
        </w:numPr>
        <w:spacing w:before="60" w:after="60"/>
      </w:pPr>
      <w:r>
        <w:rPr>
          <w:rFonts w:ascii="Arial" w:cs="Arial" w:eastAsia="Arial" w:hAnsi="Arial"/>
          <w:color w:val="1A1A2E"/>
          <w:sz w:val="22"/>
          <w:szCs w:val="22"/>
        </w:rPr>
        <w:t xml:space="preserve">Case type explainers: 'What happens when you file an FIR?' etc.</w:t>
      </w:r>
    </w:p>
    <w:p>
      <w:pPr>
        <w:pStyle w:val="ListParagraph"/>
        <w:numPr>
          <w:ilvl w:val="0"/>
          <w:numId w:val="2"/>
        </w:numPr>
        <w:spacing w:before="60" w:after="60"/>
      </w:pPr>
      <w:r>
        <w:rPr>
          <w:rFonts w:ascii="Arial" w:cs="Arial" w:eastAsia="Arial" w:hAnsi="Arial"/>
          <w:color w:val="1A1A2E"/>
          <w:sz w:val="22"/>
          <w:szCs w:val="22"/>
        </w:rPr>
        <w:t xml:space="preserve">Client success stories (anonymised, with consent)</w:t>
      </w:r>
    </w:p>
    <w:p>
      <w:pPr>
        <w:pStyle w:val="ListParagraph"/>
        <w:numPr>
          <w:ilvl w:val="0"/>
          <w:numId w:val="2"/>
        </w:numPr>
        <w:spacing w:before="60" w:after="60"/>
      </w:pPr>
      <w:r>
        <w:rPr>
          <w:rFonts w:ascii="Arial" w:cs="Arial" w:eastAsia="Arial" w:hAnsi="Arial"/>
          <w:color w:val="1A1A2E"/>
          <w:sz w:val="22"/>
          <w:szCs w:val="22"/>
        </w:rPr>
        <w:t xml:space="preserve">Live Q&amp;A sessions with senior advocates on Instagram / YouTube</w:t>
      </w:r>
    </w:p>
    <w:p>
      <w:pPr>
        <w:spacing w:before="160" w:after="0"/>
      </w:pPr>
      <w:r>
        <w:t xml:space="preserve"/>
      </w:r>
    </w:p>
    <w:p>
      <w:pPr>
        <w:pStyle w:val="Heading2"/>
        <w:spacing w:before="320" w:after="120"/>
      </w:pPr>
      <w:r>
        <w:rPr>
          <w:rFonts w:ascii="Arial" w:cs="Arial" w:eastAsia="Arial" w:hAnsi="Arial"/>
          <w:b/>
          <w:bCs/>
          <w:color w:val="1E2761"/>
          <w:sz w:val="26"/>
          <w:szCs w:val="26"/>
        </w:rPr>
        <w:t xml:space="preserve">6.4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FBF5E6"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Brand Promise</w:t>
            </w:r>
          </w:p>
          <w:p>
            <w:pPr>
              <w:spacing w:before="0" w:after="0"/>
            </w:pPr>
            <w:r>
              <w:rPr>
                <w:rFonts w:ascii="Arial" w:cs="Arial" w:eastAsia="Arial" w:hAnsi="Arial"/>
                <w:color w:val="1A1A2E"/>
                <w:sz w:val="21"/>
                <w:szCs w:val="21"/>
              </w:rPr>
              <w:t xml:space="preserve">Lex Nova stands for one thing above all: you will always know what is happening with your case. In an industry defined by opacity, our radical transparency is not just a differentiator — it is our identity. Every client interaction, every update, every outcome is documented and accessible.</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7. Financial Projections</w:t>
      </w:r>
    </w:p>
    <w:p>
      <w:pPr>
        <w:pStyle w:val="Heading2"/>
        <w:spacing w:before="320" w:after="120"/>
      </w:pPr>
      <w:r>
        <w:rPr>
          <w:rFonts w:ascii="Arial" w:cs="Arial" w:eastAsia="Arial" w:hAnsi="Arial"/>
          <w:b/>
          <w:bCs/>
          <w:color w:val="1E2761"/>
          <w:sz w:val="26"/>
          <w:szCs w:val="26"/>
        </w:rPr>
        <w:t xml:space="preserve">7.1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Stream</w:t>
            </w:r>
          </w:p>
        </w:tc>
        <w:tc>
          <w:tcPr>
            <w:tcW w:type="dxa" w:w="35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30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Estimated Year 1 Range</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Per-Case Fees (Criminal)</w:t>
            </w:r>
          </w:p>
        </w:tc>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₹25,000 – ₹5,00,000 per case</w:t>
            </w:r>
          </w:p>
        </w:tc>
        <w:tc>
          <w:tcPr>
            <w:tcW w:type="dxa" w:w="30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Primary revenue driver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Per-Case Fees (Civil / Corporate)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₹20,000 – ₹10,00,000 per case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 margin segment</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Monthly Retainer (Corporates)</w:t>
            </w:r>
          </w:p>
        </w:tc>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₹15,000 – ₹1,00,000 per month</w:t>
            </w:r>
          </w:p>
        </w:tc>
        <w:tc>
          <w:tcPr>
            <w:tcW w:type="dxa" w:w="30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Recurring, predictable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Subscription (Basic/Premium)</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₹199 / ₹499 per month per user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SaaS revenue, scales with users</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Arbitration Services</w:t>
            </w:r>
          </w:p>
        </w:tc>
        <w:tc>
          <w:tcPr>
            <w:tcW w:type="dxa" w:w="3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₹50,000 – ₹5,00,000 per matter</w:t>
            </w:r>
          </w:p>
        </w:tc>
        <w:tc>
          <w:tcPr>
            <w:tcW w:type="dxa" w:w="30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High-value, low-volume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Document Drafting (Fixed Fee)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₹2,000 – ₹20,000 per document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Volume opportunity</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7.2 Year-by-Year Financial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187"/>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w:t>
            </w:r>
          </w:p>
        </w:tc>
        <w:tc>
          <w:tcPr>
            <w:tcW w:type="dxa" w:w="2187"/>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2</w:t>
            </w:r>
          </w:p>
        </w:tc>
        <w:tc>
          <w:tcPr>
            <w:tcW w:type="dxa" w:w="2186"/>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3</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Active Cases (avg)</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80 – 120</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200 – 350</w:t>
            </w:r>
          </w:p>
        </w:tc>
        <w:tc>
          <w:tcPr>
            <w:tcW w:type="dxa" w:w="2186"/>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500 – 800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Corporate Retainers</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 – 10</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 – 40</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60 – 100</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Users (paid)</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200 – 500</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2,000 – 5,000</w:t>
            </w:r>
          </w:p>
        </w:tc>
        <w:tc>
          <w:tcPr>
            <w:tcW w:type="dxa" w:w="2186"/>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15,000 – 30,000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Projected Revenue</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₹80L – ₹1.5 Cr</w:t>
            </w:r>
          </w:p>
        </w:tc>
        <w:tc>
          <w:tcPr>
            <w:tcW w:type="dxa" w:w="2187"/>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₹2.5 Cr – ₹5 Cr</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 Cr – ₹15 Cr</w:t>
            </w:r>
          </w:p>
        </w:tc>
      </w:tr>
      <w:tr>
        <w:trPr>
          <w:tblHeader w:val="false"/>
        </w:trPr>
        <w:tc>
          <w:tcPr>
            <w:tcW w:type="dxa" w:w="28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Projected EBITDA Margin</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 – 20%</w:t>
            </w:r>
          </w:p>
        </w:tc>
        <w:tc>
          <w:tcPr>
            <w:tcW w:type="dxa" w:w="2187"/>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 – 30%</w:t>
            </w:r>
          </w:p>
        </w:tc>
        <w:tc>
          <w:tcPr>
            <w:tcW w:type="dxa" w:w="2186"/>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30 – 40%</w:t>
            </w:r>
          </w:p>
        </w:tc>
      </w:tr>
    </w:tbl>
    <w:p>
      <w:pPr>
        <w:spacing w:before="160" w:after="0"/>
      </w:pPr>
      <w:r>
        <w:t xml:space="preserve"/>
      </w:r>
    </w:p>
    <w:p>
      <w:pPr>
        <w:pStyle w:val="Heading2"/>
        <w:spacing w:before="320" w:after="120"/>
      </w:pPr>
      <w:r>
        <w:rPr>
          <w:rFonts w:ascii="Arial" w:cs="Arial" w:eastAsia="Arial" w:hAnsi="Arial"/>
          <w:b/>
          <w:bCs/>
          <w:color w:val="1E2761"/>
          <w:sz w:val="26"/>
          <w:szCs w:val="26"/>
        </w:rPr>
        <w:t xml:space="preserve">7.3 Startup Investment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Expense Category</w:t>
            </w:r>
          </w:p>
        </w:tc>
        <w:tc>
          <w:tcPr>
            <w:tcW w:type="dxa" w:w="25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 Estimate</w:t>
            </w:r>
          </w:p>
        </w:tc>
        <w:tc>
          <w:tcPr>
            <w:tcW w:type="dxa" w:w="36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Office Setup (lease, furnishing)</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₹15L – ₹25L</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Prime location, 3+ consultation rooms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Advocate Salaries (Year 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₹40L – ₹70L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3–5 senior + 8–10 junior advocates</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Development</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₹20L – ₹40L</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iOS, Android, admin portal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CRM Development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₹10L – ₹20L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Custom-built, role-based access</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Marketing &amp; Advertising</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₹10L – ₹20L</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Digital + court/police station placement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Legal Compliance &amp; Registration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₹2L – ₹5L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Firm registration, Bar Council compliance</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Technology Infrastructure</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₹3L – ₹8L</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Cloud, security, devices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Working Capital (6 months)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₹15L – ₹25L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Operational buffer</w:t>
            </w:r>
          </w:p>
        </w:tc>
      </w:tr>
      <w:tr>
        <w:trPr>
          <w:tblHeader w:val="false"/>
        </w:trPr>
        <w:tc>
          <w:tcPr>
            <w:tcW w:type="dxa" w:w="3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Total Estimated Investment</w:t>
            </w:r>
          </w:p>
        </w:tc>
        <w:tc>
          <w:tcPr>
            <w:tcW w:type="dxa" w:w="25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₹1.15 Cr – ₹2.13 Cr</w:t>
            </w:r>
          </w:p>
        </w:tc>
        <w:tc>
          <w:tcPr>
            <w:tcW w:type="dxa" w:w="36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Seek ₹1.5–2.5 Cr seed funding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E8EBF5"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Path to Profitability</w:t>
            </w:r>
          </w:p>
          <w:p>
            <w:pPr>
              <w:spacing w:before="0" w:after="0"/>
            </w:pPr>
            <w:r>
              <w:rPr>
                <w:rFonts w:ascii="Arial" w:cs="Arial" w:eastAsia="Arial" w:hAnsi="Arial"/>
                <w:color w:val="1A1A2E"/>
                <w:sz w:val="21"/>
                <w:szCs w:val="21"/>
              </w:rPr>
              <w:t xml:space="preserve">With disciplined case intake and rapid corporate retainer acquisition, Lex Nova can reach break-even within 12–18 months of operations. The app subscription model creates a scalable, compounding revenue stream that de-risks dependence on per-case fees as the platform grows.</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rPr>
          <w:tblHeader/>
        </w:trPr>
        <w:tc>
          <w:tcPr>
            <w:tcW w:type="dxa" w:w="2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 Strategy</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Slow client acquisition in early months</w:t>
            </w:r>
          </w:p>
        </w:tc>
        <w:tc>
          <w:tcPr>
            <w:tcW w:type="dxa" w:w="1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11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4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Free consultation funnel + aggressive digital marketing from Day 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Bar Council advertising restrictions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Focus on educational content, not direct solicitation; legal review of all marketing</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development delays or cost overruns</w:t>
            </w:r>
          </w:p>
        </w:tc>
        <w:tc>
          <w:tcPr>
            <w:tcW w:type="dxa" w:w="1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4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Phased development; use CRM internally before app launch; fixed-price contracts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Key advocate attrition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Equity/profit-sharing for senior advocates; strong mentorship culture; transparent compensation</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Client data breach / confidentiality</w:t>
            </w:r>
          </w:p>
        </w:tc>
        <w:tc>
          <w:tcPr>
            <w:tcW w:type="dxa" w:w="1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c>
          <w:tcPr>
            <w:tcW w:type="dxa" w:w="11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Very High</w:t>
            </w:r>
          </w:p>
        </w:tc>
        <w:tc>
          <w:tcPr>
            <w:tcW w:type="dxa" w:w="4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Enterprise-grade encryption, role-based CRM access, regular security audits, cyber insurance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Case outcome dissatisfaction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Set realistic expectations upfront; transparent communication throughout; post-case debrief</w:t>
            </w:r>
          </w:p>
        </w:tc>
      </w:tr>
      <w:tr>
        <w:trPr>
          <w:tblHeader w:val="false"/>
        </w:trPr>
        <w:tc>
          <w:tcPr>
            <w:tcW w:type="dxa" w:w="2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Regulatory changes in legal practice</w:t>
            </w:r>
          </w:p>
        </w:tc>
        <w:tc>
          <w:tcPr>
            <w:tcW w:type="dxa" w:w="12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c>
          <w:tcPr>
            <w:tcW w:type="dxa" w:w="11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48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Monitor Bar Council updates; maintain compliance officer; legal advisory board</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9. 24-Month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4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55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Deliverable</w:t>
            </w:r>
          </w:p>
        </w:tc>
      </w:tr>
      <w:tr>
        <w:trPr>
          <w:tblHeader w:val="false"/>
        </w:trPr>
        <w:tc>
          <w:tcPr>
            <w:tcW w:type="dxa" w:w="1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1–2</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Foundation</w:t>
            </w:r>
          </w:p>
        </w:tc>
        <w:tc>
          <w:tcPr>
            <w:tcW w:type="dxa" w:w="55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Firm registration, office lease signed, core team hired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Brand &amp; Digital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Brand identity, website live, social media channels launched</w:t>
            </w:r>
          </w:p>
        </w:tc>
      </w:tr>
      <w:tr>
        <w:trPr>
          <w:tblHeader w:val="false"/>
        </w:trPr>
        <w:tc>
          <w:tcPr>
            <w:tcW w:type="dxa" w:w="1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3–4</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CRM v1 Live</w:t>
            </w:r>
          </w:p>
        </w:tc>
        <w:tc>
          <w:tcPr>
            <w:tcW w:type="dxa" w:w="55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Internal CRM operational, case management begins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First Clients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First 20 paid cases, corporate retainer pipeline active</w:t>
            </w:r>
          </w:p>
        </w:tc>
      </w:tr>
      <w:tr>
        <w:trPr>
          <w:tblHeader w:val="false"/>
        </w:trPr>
        <w:tc>
          <w:tcPr>
            <w:tcW w:type="dxa" w:w="1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5–8</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App Launch</w:t>
            </w:r>
          </w:p>
        </w:tc>
        <w:tc>
          <w:tcPr>
            <w:tcW w:type="dxa" w:w="55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iOS &amp; Android app live, free consultation booking via app</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8–10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Scale Up</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 active cases, 5+ corporate retainers, 1,000+ app users</w:t>
            </w:r>
          </w:p>
        </w:tc>
      </w:tr>
      <w:tr>
        <w:trPr>
          <w:tblHeader w:val="false"/>
        </w:trPr>
        <w:tc>
          <w:tcPr>
            <w:tcW w:type="dxa" w:w="1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10–14</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Features</w:t>
            </w:r>
          </w:p>
        </w:tc>
        <w:tc>
          <w:tcPr>
            <w:tcW w:type="dxa" w:w="55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legal guide live in app, document summarisation, case predictor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14–18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Second Office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Expand to second city or second office in same city</w:t>
            </w:r>
          </w:p>
        </w:tc>
      </w:tr>
      <w:tr>
        <w:trPr>
          <w:tblHeader w:val="false"/>
        </w:trPr>
        <w:tc>
          <w:tcPr>
            <w:tcW w:type="dxa" w:w="1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18–24</w:t>
            </w:r>
          </w:p>
        </w:tc>
        <w:tc>
          <w:tcPr>
            <w:tcW w:type="dxa" w:w="240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Series A Prep</w:t>
            </w:r>
          </w:p>
        </w:tc>
        <w:tc>
          <w:tcPr>
            <w:tcW w:type="dxa" w:w="5560"/>
            <w:tcBorders>
              <w:top w:val="single" w:color="CCCCCC" w:sz="1"/>
              <w:left w:val="single" w:color="CCCCCC" w:sz="1"/>
              <w:bottom w:val="single" w:color="CCCCCC" w:sz="1"/>
              <w:right w:val="single" w:color="CCCCCC" w:sz="1"/>
            </w:tcBorders>
            <w:shd w:fill="E8EB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300+ active cases, 30+ retainers, 10,000+ app users, profitability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FBF5E6"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The North Star Metric</w:t>
            </w:r>
          </w:p>
          <w:p>
            <w:pPr>
              <w:spacing w:before="0" w:after="0"/>
            </w:pPr>
            <w:r>
              <w:rPr>
                <w:rFonts w:ascii="Arial" w:cs="Arial" w:eastAsia="Arial" w:hAnsi="Arial"/>
                <w:color w:val="1A1A2E"/>
                <w:sz w:val="21"/>
                <w:szCs w:val="21"/>
              </w:rPr>
              <w:t xml:space="preserve">By Month 24, Lex Nova should be able to say: 'Every one of our clients knows exactly what is happening in their case, in real time, at every moment.' When we can say that truthfully, we have won.</w:t>
            </w:r>
          </w:p>
        </w:tc>
      </w:tr>
    </w:tbl>
    <w:p>
      <w:r>
        <w:br w:type="page"/>
      </w:r>
    </w:p>
    <w:p>
      <w:pPr>
        <w:pStyle w:val="Heading1"/>
        <w:pBdr>
          <w:bottom w:val="single" w:color="C9A84C" w:sz="8" w:space="6"/>
        </w:pBdr>
        <w:spacing w:before="480" w:after="160"/>
      </w:pPr>
      <w:r>
        <w:rPr>
          <w:rFonts w:ascii="Arial" w:cs="Arial" w:eastAsia="Arial" w:hAnsi="Arial"/>
          <w:b/>
          <w:bCs/>
          <w:color w:val="1E2761"/>
          <w:sz w:val="36"/>
          <w:szCs w:val="36"/>
        </w:rPr>
        <w:t xml:space="preserve">10. Conclusion</w:t>
      </w:r>
    </w:p>
    <w:p>
      <w:pPr>
        <w:spacing w:before="80" w:after="80"/>
        <w:jc w:val="left"/>
      </w:pPr>
      <w:r>
        <w:rPr>
          <w:rFonts w:ascii="Arial" w:cs="Arial" w:eastAsia="Arial" w:hAnsi="Arial"/>
          <w:b w:val="false"/>
          <w:bCs w:val="false"/>
          <w:i w:val="false"/>
          <w:iCs w:val="false"/>
          <w:color w:val="1A1A2E"/>
          <w:sz w:val="22"/>
          <w:szCs w:val="22"/>
        </w:rPr>
        <w:t xml:space="preserve">India's legal system serves over a billion people, yet most of them feel excluded from it — not because they lack rights, but because they lack access, information, and trust. Lex Nova is built to close that gap.</w:t>
      </w:r>
    </w:p>
    <w:p>
      <w:pPr>
        <w:spacing w:before="8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We are not simply building a law firm. We are building the infrastructure for a more just, more transparent, and more accessible legal experience. The convergence of the right team, the right technology, and the right timing makes this the moment to act.</w:t>
      </w:r>
    </w:p>
    <w:p>
      <w:pPr>
        <w:spacing w:before="8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The firm's mentorship pyramid provides unmatched quality assurance. The digital platform provides unmatched accessibility. The compartmentalised CRM provides unmatched privacy. And the radical transparency philosophy provides something the entire industry has been missing: trust.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E8EBF5" w:val="clear"/>
            <w:tcMar>
              <w:top w:type="dxa" w:w="160"/>
              <w:left w:type="dxa" w:w="240"/>
              <w:bottom w:type="dxa" w:w="160"/>
              <w:right w:type="dxa" w:w="240"/>
            </w:tcMar>
          </w:tcPr>
          <w:p>
            <w:pPr>
              <w:spacing w:before="0" w:after="80"/>
            </w:pPr>
            <w:r>
              <w:rPr>
                <w:rFonts w:ascii="Arial" w:cs="Arial" w:eastAsia="Arial" w:hAnsi="Arial"/>
                <w:b/>
                <w:bCs/>
                <w:color w:val="1E2761"/>
                <w:sz w:val="24"/>
                <w:szCs w:val="24"/>
              </w:rPr>
              <w:t xml:space="preserve">The Invitation</w:t>
            </w:r>
          </w:p>
          <w:p>
            <w:pPr>
              <w:spacing w:before="0" w:after="0"/>
            </w:pPr>
            <w:r>
              <w:rPr>
                <w:rFonts w:ascii="Arial" w:cs="Arial" w:eastAsia="Arial" w:hAnsi="Arial"/>
                <w:color w:val="1A1A2E"/>
                <w:sz w:val="21"/>
                <w:szCs w:val="21"/>
              </w:rPr>
              <w:t xml:space="preserve">We are seeking partners — investors, senior advocates, technologists, and advisors — who believe that the practice of law should be a service to people, not a mystery to them. If that vision resonates with you, let's build Lex Nova together.</w:t>
            </w:r>
          </w:p>
        </w:tc>
      </w:tr>
    </w:tbl>
    <w:p>
      <w:pPr>
        <w:spacing w:before="240" w:after="0"/>
      </w:pPr>
      <w:r>
        <w:t xml:space="preserve"/>
      </w:r>
    </w:p>
    <w:p>
      <w:pPr>
        <w:spacing w:before="240" w:after="80"/>
        <w:jc w:val="center"/>
      </w:pPr>
      <w:r>
        <w:rPr>
          <w:rFonts w:ascii="Arial" w:cs="Arial" w:eastAsia="Arial" w:hAnsi="Arial"/>
          <w:b/>
          <w:bCs/>
          <w:color w:val="1E2761"/>
          <w:sz w:val="40"/>
          <w:szCs w:val="40"/>
        </w:rPr>
        <w:t xml:space="preserve">LEX NOVA</w:t>
      </w:r>
    </w:p>
    <w:p>
      <w:pPr>
        <w:spacing w:before="0" w:after="0"/>
        <w:jc w:val="center"/>
      </w:pPr>
      <w:r>
        <w:rPr>
          <w:rFonts w:ascii="Arial" w:cs="Arial" w:eastAsia="Arial" w:hAnsi="Arial"/>
          <w:i/>
          <w:iCs/>
          <w:color w:val="C9A84C"/>
          <w:sz w:val="24"/>
          <w:szCs w:val="24"/>
        </w:rPr>
        <w:t xml:space="preserve">Transparency · Technology · Justice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80" w:after="0"/>
    </w:pPr>
    <w:r>
      <w:rPr>
        <w:rFonts w:ascii="Arial" w:cs="Arial" w:eastAsia="Arial" w:hAnsi="Arial"/>
        <w:color w:val="555555"/>
        <w:sz w:val="18"/>
        <w:szCs w:val="18"/>
      </w:rPr>
      <w:t xml:space="preserve">Business Plan 2025  |  Confidential</w:t>
    </w:r>
    <w:r>
      <w:rPr>
        <w:rFonts w:ascii="Arial" w:cs="Arial" w:eastAsia="Arial" w:hAnsi="Arial"/>
        <w:color w:val="555555"/>
        <w:sz w:val="18"/>
        <w:szCs w:val="18"/>
      </w:rPr>
      <w:t xml:space="preserve">	Page </w:t>
    </w:r>
    <w:fldSimple w:instr="PAGE">
      <w:r>
        <w:rPr>
          <w:rFonts w:ascii="Arial" w:cs="Arial" w:eastAsia="Arial" w:hAnsi="Arial"/>
          <w:color w:val="1E2761"/>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spacing w:before="0" w:after="120"/>
    </w:pPr>
    <w:r>
      <w:rPr>
        <w:rFonts w:ascii="Arial" w:cs="Arial" w:eastAsia="Arial" w:hAnsi="Arial"/>
        <w:b/>
        <w:bCs/>
        <w:color w:val="1E2761"/>
        <w:sz w:val="20"/>
        <w:szCs w:val="20"/>
      </w:rPr>
      <w:t xml:space="preserve">LEX NOVA</w:t>
    </w:r>
    <w:r>
      <w:rPr>
        <w:rFonts w:ascii="Arial" w:cs="Arial" w:eastAsia="Arial" w:hAnsi="Arial"/>
        <w:color w:val="555555"/>
        <w:sz w:val="18"/>
        <w:szCs w:val="18"/>
      </w:rPr>
      <w:t xml:space="preserve">  |  Progressive Legal Services Platform</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761"/>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2026-03-08T09:26:17.949Z</dcterms:created>
  <dcterms:modified xsi:type="dcterms:W3CDTF">2026-03-08T09:26:17.950Z</dcterms:modified>
</cp:coreProperties>
</file>

<file path=docProps/custom.xml><?xml version="1.0" encoding="utf-8"?>
<Properties xmlns="http://schemas.openxmlformats.org/officeDocument/2006/custom-properties" xmlns:vt="http://schemas.openxmlformats.org/officeDocument/2006/docPropsVTypes"/>
</file>