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100.png" ContentType="image/png"/>
  <Override PartName="/word/media/rId103.png" ContentType="image/png"/>
  <Override PartName="/word/media/rId125.png" ContentType="image/png"/>
  <Override PartName="/word/media/rId128.png" ContentType="image/png"/>
  <Override PartName="/word/media/rId79.png" ContentType="image/png"/>
  <Override PartName="/word/media/rId91.png" ContentType="image/png"/>
  <Override PartName="/word/media/rId94.png" ContentType="image/png"/>
  <Override PartName="/word/media/rId22.png" ContentType="image/png"/>
  <Override PartName="/word/media/rId42.png" ContentType="image/png"/>
  <Override PartName="/word/media/rId45.png" ContentType="image/png"/>
  <Override PartName="/word/media/rId61.png" ContentType="image/png"/>
  <Override PartName="/word/media/rId97.png" ContentType="image/png"/>
  <Override PartName="/word/media/rId153.png" ContentType="image/png"/>
  <Override PartName="/word/media/rId25.png" ContentType="image/png"/>
  <Override PartName="/word/media/rId112.png" ContentType="image/png"/>
  <Override PartName="/word/media/rId36.png" ContentType="image/png"/>
  <Override PartName="/word/media/rId28.png" ContentType="image/png"/>
  <Override PartName="/word/media/rId31.png" ContentType="image/png"/>
  <Override PartName="/word/media/rId122.png" ContentType="image/png"/>
  <Override PartName="/word/media/rId140.png" ContentType="image/png"/>
  <Override PartName="/word/media/rId131.png" ContentType="image/png"/>
  <Override PartName="/word/media/rId70.png" ContentType="image/png"/>
  <Override PartName="/word/media/rId48.png" ContentType="image/png"/>
  <Override PartName="/word/media/rId84.png" ContentType="image/png"/>
  <Override PartName="/word/media/rId76.png" ContentType="image/png"/>
  <Override PartName="/word/media/rId73.png" ContentType="image/png"/>
  <Override PartName="/word/media/rId143.png" ContentType="image/png"/>
  <Override PartName="/word/media/rId118.png" ContentType="image/png"/>
  <Override PartName="/word/media/rId54.png" ContentType="image/png"/>
  <Override PartName="/word/media/rId88.png" ContentType="image/png"/>
  <Override PartName="/word/media/rId137.png" ContentType="image/png"/>
  <Override PartName="/word/media/rId51.png" ContentType="image/png"/>
  <Override PartName="/word/media/rId106.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39" w:name="raceethnicity"/>
    <w:p>
      <w:pPr>
        <w:pStyle w:val="Heading2"/>
      </w:pPr>
      <w:r>
        <w:t xml:space="preserve">Race/Ethnicity</w:t>
      </w:r>
    </w:p>
    <w:p>
      <w:pPr>
        <w:pStyle w:val="FirstParagraph"/>
      </w:pPr>
      <w:r>
        <w:t xml:space="preserve">According to the U.S. Census Bureau’s 2021 population estimates, there are now 99,026 fewer Black residents living in New Orleans (Orleans Parish) compared to 2000, but there are also 4,426 more White residents as well as 6,661 more Hispanic residents.</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10/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Black — while lower than in 2000 when it was 67 percent — continues to represent the majority of city residents at 60 percent. The share of Hispanic residents in the city increased from 3 percent in 2000 to 6 percent in 2021; the share of Asian residents increased from 2 percent to 3 percent; and the share of White increased from 27 percent to 35 percent. Meanwhile, Hispanic, Asian, and Black populations increased as a share of the total population in Jefferson, St. Bernard, St. Charles, St. John the Baptist, and St. Tammany parishes. In fact, the number and share of Hispanics have increased in all eight parishes in the metro area since 2000.</w:t>
      </w:r>
    </w:p>
    <w:p>
      <w:pPr>
        <w:pStyle w:val="BodyText"/>
      </w:pPr>
      <w:r>
        <w:drawing>
          <wp:inline>
            <wp:extent cx="5334000" cy="8534400"/>
            <wp:effectExtent b="0" l="0" r="0" t="0"/>
            <wp:docPr descr="" title="" id="26" name="Picture"/>
            <a:graphic>
              <a:graphicData uri="http://schemas.openxmlformats.org/drawingml/2006/picture">
                <pic:pic>
                  <pic:nvPicPr>
                    <pic:cNvPr descr="uploads/2022/10/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grew to 6 percent in Orleans and 6 percent in St. Tammany by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29" name="Picture"/>
            <a:graphic>
              <a:graphicData uri="http://schemas.openxmlformats.org/drawingml/2006/picture">
                <pic:pic>
                  <pic:nvPicPr>
                    <pic:cNvPr descr="uploads/2022/10/hispanpop-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the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2" name="Picture"/>
            <a:graphic>
              <a:graphicData uri="http://schemas.openxmlformats.org/drawingml/2006/picture">
                <pic:pic>
                  <pic:nvPicPr>
                    <pic:cNvPr descr="uploads/2022/10/hispanpopyear-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4"/>
      </w:r>
      <w:r>
        <w:t xml:space="preserve"> </w:t>
      </w:r>
      <w:r>
        <w:t xml:space="preserve">The nationalities of Hispanics residing in metro New Orleans are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37" name="Picture"/>
            <a:graphic>
              <a:graphicData uri="http://schemas.openxmlformats.org/drawingml/2006/picture">
                <pic:pic>
                  <pic:nvPicPr>
                    <pic:cNvPr descr="uploads/2022/10/hispan2018-1.png" id="38"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bookmarkEnd w:id="39"/>
    <w:bookmarkStart w:id="57"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has brought massive changes to the metro — and indeed the whole country — with many more changes yet to come.</w:t>
      </w:r>
      <w:r>
        <w:rPr>
          <w:rStyle w:val="FootnoteReference"/>
        </w:rPr>
        <w:footnoteReference w:id="40"/>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3" name="Picture"/>
            <a:graphic>
              <a:graphicData uri="http://schemas.openxmlformats.org/drawingml/2006/picture">
                <pic:pic>
                  <pic:nvPicPr>
                    <pic:cNvPr descr="uploads/2022/10/age2000-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uploads/2022/10/agecurren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49" name="Picture"/>
            <a:graphic>
              <a:graphicData uri="http://schemas.openxmlformats.org/drawingml/2006/picture">
                <pic:pic>
                  <pic:nvPicPr>
                    <pic:cNvPr descr="uploads/2022/10/hwc-1.png" id="5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householders living alone grew from 27 percent to 33 percent. The increase was larger in Orleans Parish, which jumped from 33 to 45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10/sing-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population under 18 has declined to 74,460 from 129,408. The under 18 population is now 22 percent of the metro population, down from 27 percent in 2000.</w:t>
      </w:r>
    </w:p>
    <w:p>
      <w:pPr>
        <w:pStyle w:val="BodyText"/>
      </w:pPr>
      <w:r>
        <w:drawing>
          <wp:inline>
            <wp:extent cx="5334000" cy="3809999"/>
            <wp:effectExtent b="0" l="0" r="0" t="0"/>
            <wp:docPr descr="" title="" id="55" name="Picture"/>
            <a:graphic>
              <a:graphicData uri="http://schemas.openxmlformats.org/drawingml/2006/picture">
                <pic:pic>
                  <pic:nvPicPr>
                    <pic:cNvPr descr="uploads/2022/10/popunder18-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bookmarkEnd w:id="57"/>
    <w:bookmarkStart w:id="87"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58"/>
      </w:r>
      <w:r>
        <w:t xml:space="preserve"> </w:t>
      </w:r>
      <w:r>
        <w:t xml:space="preserve">In New Orleans, 42 percent of adults 25 and older had at least a bachelor’s degree in 2021 - higher than the U.S. average of 35 percent, and up from 26 percent in 2000. The overall metro area share of adults with a bachelor’s degree grew from 23 to 34 percent - lower than the national average of 35.</w:t>
      </w:r>
    </w:p>
    <w:p>
      <w:pPr>
        <w:pStyle w:val="BodyText"/>
      </w:pPr>
      <w:r>
        <w:drawing>
          <wp:inline>
            <wp:extent cx="5334000" cy="3809999"/>
            <wp:effectExtent b="0" l="0" r="0" t="0"/>
            <wp:docPr descr="" title="" id="62" name="Picture"/>
            <a:graphic>
              <a:graphicData uri="http://schemas.openxmlformats.org/drawingml/2006/picture">
                <pic:pic>
                  <pic:nvPicPr>
                    <pic:cNvPr descr="uploads/2022/10/bach-1.png" id="63"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New Orleans adults who have a bachelor’s degree has grown across racial and ethnic groups since 1980. But while 69 percent of White adults in New Orleans have a bachelor’s, only 23 percent of Black adults have a bachelor’s as of 2021. The share of White adults in Orleans Parish who have a bachelor’s degree is substantially higher than the U.S. or metro area overall: 69 percent of White adults in New Orleans have a bachelor’s degree while that number is 44 percent or lower in neighboring parishes and the nation. Only 20 and 19 percent of Black adults have a bachelor’s degree or higher in Jefferson and St. Tammany, respectively.</w:t>
      </w:r>
    </w:p>
    <w:p>
      <w:pPr>
        <w:pStyle w:val="BodyText"/>
      </w:pPr>
      <w:r>
        <w:drawing>
          <wp:inline>
            <wp:extent cx="5334000" cy="4000499"/>
            <wp:effectExtent b="0" l="0" r="0" t="0"/>
            <wp:docPr descr="" title="" id="65" name="Picture"/>
            <a:graphic>
              <a:graphicData uri="http://schemas.openxmlformats.org/drawingml/2006/picture">
                <pic:pic>
                  <pic:nvPicPr>
                    <pic:cNvPr descr="indicator%20expansion%20drafts/graphics/bach.hist.png" id="66" name="Picture"/>
                    <pic:cNvPicPr>
                      <a:picLocks noChangeArrowheads="1" noChangeAspect="1"/>
                    </pic:cNvPicPr>
                  </pic:nvPicPr>
                  <pic:blipFill>
                    <a:blip r:embed="rId6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68" name="Picture"/>
            <a:graphic>
              <a:graphicData uri="http://schemas.openxmlformats.org/drawingml/2006/picture">
                <pic:pic>
                  <pic:nvPicPr>
                    <pic:cNvPr descr="indicator%20expansion%20drafts/graphics/bach.raceGeos.png" id="69" name="Picture"/>
                    <pic:cNvPicPr>
                      <a:picLocks noChangeArrowheads="1" noChangeAspect="1"/>
                    </pic:cNvPicPr>
                  </pic:nvPicPr>
                  <pic:blipFill>
                    <a:blip r:embed="rId6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metro area increase in the share of adults with a bachelor’s degree or higher has been coupled with a decline in the share of adults with less than a high school degree. 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w:t>
      </w:r>
    </w:p>
    <w:p>
      <w:pPr>
        <w:pStyle w:val="BodyText"/>
      </w:pPr>
      <w:r>
        <w:drawing>
          <wp:inline>
            <wp:extent cx="5334000" cy="3809999"/>
            <wp:effectExtent b="0" l="0" r="0" t="0"/>
            <wp:docPr descr="" title="" id="71" name="Picture"/>
            <a:graphic>
              <a:graphicData uri="http://schemas.openxmlformats.org/drawingml/2006/picture">
                <pic:pic>
                  <pic:nvPicPr>
                    <pic:cNvPr descr="uploads/2022/10/hs-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of New Orleans are significantly lower than the U.S. median of $69,717.</w:t>
      </w:r>
    </w:p>
    <w:p>
      <w:pPr>
        <w:pStyle w:val="BodyText"/>
      </w:pPr>
      <w:r>
        <w:drawing>
          <wp:inline>
            <wp:extent cx="5334000" cy="4000500"/>
            <wp:effectExtent b="0" l="0" r="0" t="0"/>
            <wp:docPr descr="" title="" id="74" name="Picture"/>
            <a:graphic>
              <a:graphicData uri="http://schemas.openxmlformats.org/drawingml/2006/picture">
                <pic:pic>
                  <pic:nvPicPr>
                    <pic:cNvPr descr="uploads/2022/10/medhh-1.png" id="75" name="Picture"/>
                    <pic:cNvPicPr>
                      <a:picLocks noChangeArrowheads="1" noChangeAspect="1"/>
                    </pic:cNvPicPr>
                  </pic:nvPicPr>
                  <pic:blipFill>
                    <a:blip r:embed="rId7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1979, households with higher incomes were disproportionately in the parishes surrounding New Orleans, while lower income White, Hispanic, and Black households were more likely to live in the city. By 2021, these patterns had changed with higher income White households more often living in the city such that income disparity within the city has escalated. In 2021, Black households in New Orleans had a median income of only $30,292, while Hispanic households were at $60,358 and White households at $83,727.</w:t>
      </w:r>
    </w:p>
    <w:p>
      <w:pPr>
        <w:pStyle w:val="BodyText"/>
      </w:pPr>
      <w:r>
        <w:drawing>
          <wp:inline>
            <wp:extent cx="5334000" cy="3809999"/>
            <wp:effectExtent b="0" l="0" r="0" t="0"/>
            <wp:docPr descr="" title="" id="77" name="Picture"/>
            <a:graphic>
              <a:graphicData uri="http://schemas.openxmlformats.org/drawingml/2006/picture">
                <pic:pic>
                  <pic:nvPicPr>
                    <pic:cNvPr descr="uploads/2022/10/med%20hh%20over%20time-1.png" id="78" name="Picture"/>
                    <pic:cNvPicPr>
                      <a:picLocks noChangeArrowheads="1" noChangeAspect="1"/>
                    </pic:cNvPicPr>
                  </pic:nvPicPr>
                  <pic:blipFill>
                    <a:blip r:embed="rId7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2021, Black households in New Orleans have incomes 64 percent less than White households. In St. Tammany, Black households have a median income of $52,849 which is 27 percent less than White households in that parish. In Jefferson, Black households have a median income of $40,168 which is 37 percent less than White households in that parish. Hispanic households have a median of $58,930 across the metro which is relatively consistent across the 3 large parishes.</w:t>
      </w:r>
    </w:p>
    <w:p>
      <w:pPr>
        <w:pStyle w:val="BodyText"/>
      </w:pPr>
      <w:r>
        <w:drawing>
          <wp:inline>
            <wp:extent cx="5334000" cy="3200399"/>
            <wp:effectExtent b="0" l="0" r="0" t="0"/>
            <wp:docPr descr="" title="" id="80" name="Picture"/>
            <a:graphic>
              <a:graphicData uri="http://schemas.openxmlformats.org/drawingml/2006/picture">
                <pic:pic>
                  <pic:nvPicPr>
                    <pic:cNvPr descr="indicator%20expansion%20drafts/graphics/medhh.raceGeos.png" id="81" name="Picture"/>
                    <pic:cNvPicPr>
                      <a:picLocks noChangeArrowheads="1" noChangeAspect="1"/>
                    </pic:cNvPicPr>
                  </pic:nvPicPr>
                  <pic:blipFill>
                    <a:blip r:embed="rId79"/>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82"/>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that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compared to 11 percent nationwide.</w:t>
      </w:r>
    </w:p>
    <w:p>
      <w:pPr>
        <w:pStyle w:val="BodyText"/>
      </w:pPr>
      <w:r>
        <w:drawing>
          <wp:inline>
            <wp:extent cx="5334000" cy="3809999"/>
            <wp:effectExtent b="0" l="0" r="0" t="0"/>
            <wp:docPr descr="" title="" id="85" name="Picture"/>
            <a:graphic>
              <a:graphicData uri="http://schemas.openxmlformats.org/drawingml/2006/picture">
                <pic:pic>
                  <pic:nvPicPr>
                    <pic:cNvPr descr="uploads/2022/10/inta-1.png" id="86" name="Picture"/>
                    <pic:cNvPicPr>
                      <a:picLocks noChangeArrowheads="1" noChangeAspect="1"/>
                    </pic:cNvPicPr>
                  </pic:nvPicPr>
                  <pic:blipFill>
                    <a:blip r:embed="rId84"/>
                    <a:stretch>
                      <a:fillRect/>
                    </a:stretch>
                  </pic:blipFill>
                  <pic:spPr bwMode="auto">
                    <a:xfrm>
                      <a:off x="0" y="0"/>
                      <a:ext cx="5334000" cy="3809999"/>
                    </a:xfrm>
                    <a:prstGeom prst="rect">
                      <a:avLst/>
                    </a:prstGeom>
                    <a:noFill/>
                    <a:ln w="9525">
                      <a:noFill/>
                      <a:headEnd/>
                      <a:tailEnd/>
                    </a:ln>
                  </pic:spPr>
                </pic:pic>
              </a:graphicData>
            </a:graphic>
          </wp:inline>
        </w:drawing>
      </w:r>
    </w:p>
    <w:bookmarkEnd w:id="87"/>
    <w:bookmarkStart w:id="109" w:name="poverty-and-access-to-vehicles"/>
    <w:p>
      <w:pPr>
        <w:pStyle w:val="Heading2"/>
      </w:pPr>
      <w:r>
        <w:t xml:space="preserve">Poverty and access to vehicles</w:t>
      </w:r>
    </w:p>
    <w:p>
      <w:pPr>
        <w:pStyle w:val="FirstParagraph"/>
      </w:pPr>
      <w:r>
        <w:t xml:space="preserve">A high share of residents living below the poverty level indicates the economy is not providing many residents with the ability to meet their most basic needs, including food, housing, and transportation. The poverty rate in New Orleans decreased from 28 to 25 percent between 1999 and 2021 while the Jefferson Parish poverty rate increased from 14 to 17 percent. Across the U.S., the poverty rate has increased by one percentage point between 1999 and 2021.</w:t>
      </w:r>
    </w:p>
    <w:p>
      <w:pPr>
        <w:pStyle w:val="BodyText"/>
      </w:pPr>
      <w:r>
        <w:drawing>
          <wp:inline>
            <wp:extent cx="5334000" cy="3809999"/>
            <wp:effectExtent b="0" l="0" r="0" t="0"/>
            <wp:docPr descr="" title="" id="89" name="Picture"/>
            <a:graphic>
              <a:graphicData uri="http://schemas.openxmlformats.org/drawingml/2006/picture">
                <pic:pic>
                  <pic:nvPicPr>
                    <pic:cNvPr descr="uploads/2022/10/pov-1.png" id="90" name="Picture"/>
                    <pic:cNvPicPr>
                      <a:picLocks noChangeArrowheads="1" noChangeAspect="1"/>
                    </pic:cNvPicPr>
                  </pic:nvPicPr>
                  <pic:blipFill>
                    <a:blip r:embed="rId8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poverty rate for Black New Orleanians spiked when the 1980s</w:t>
      </w:r>
      <w:r>
        <w:t xml:space="preserve"> </w:t>
      </w:r>
      <w:r>
        <w:t xml:space="preserve">“</w:t>
      </w:r>
      <w:r>
        <w:t xml:space="preserve">oil bust</w:t>
      </w:r>
      <w:r>
        <w:t xml:space="preserve">”</w:t>
      </w:r>
      <w:r>
        <w:t xml:space="preserve"> </w:t>
      </w:r>
      <w:r>
        <w:t xml:space="preserve">hit, jumping from 37% in 1979 to 42% in 1989. White New Orleanians were not similarly affected. The poverty rate for White New Orleanians remained at roughly 12% in 1979 and in 1989. Large disparities in the poverty rate continue to be evident at all geographic levels. For example, in metro New Orleans 29 percent of Black people and 19 percent of Hispanic people live in poverty compared to 11 percent of White people and 19 percent of Asian people.</w:t>
      </w:r>
    </w:p>
    <w:p>
      <w:pPr>
        <w:pStyle w:val="BodyText"/>
      </w:pPr>
      <w:r>
        <w:drawing>
          <wp:inline>
            <wp:extent cx="5334000" cy="4000499"/>
            <wp:effectExtent b="0" l="0" r="0" t="0"/>
            <wp:docPr descr="" title="" id="92" name="Picture"/>
            <a:graphic>
              <a:graphicData uri="http://schemas.openxmlformats.org/drawingml/2006/picture">
                <pic:pic>
                  <pic:nvPicPr>
                    <pic:cNvPr descr="indicator%20expansion%20drafts/graphics/pov.hist.png" id="93" name="Picture"/>
                    <pic:cNvPicPr>
                      <a:picLocks noChangeArrowheads="1" noChangeAspect="1"/>
                    </pic:cNvPicPr>
                  </pic:nvPicPr>
                  <pic:blipFill>
                    <a:blip r:embed="rId9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95" name="Picture"/>
            <a:graphic>
              <a:graphicData uri="http://schemas.openxmlformats.org/drawingml/2006/picture">
                <pic:pic>
                  <pic:nvPicPr>
                    <pic:cNvPr descr="indicator%20expansion%20drafts/graphics/pov.raceGeos.png" id="96" name="Picture"/>
                    <pic:cNvPicPr>
                      <a:picLocks noChangeArrowheads="1" noChangeAspect="1"/>
                    </pic:cNvPicPr>
                  </pic:nvPicPr>
                  <pic:blipFill>
                    <a:blip r:embed="rId94"/>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The child poverty rate of across the Metro area in 2021 is higher than the U.S. child poverty rate.</w:t>
      </w:r>
    </w:p>
    <w:p>
      <w:pPr>
        <w:pStyle w:val="BodyText"/>
      </w:pPr>
      <w:r>
        <w:drawing>
          <wp:inline>
            <wp:extent cx="5334000" cy="3606084"/>
            <wp:effectExtent b="0" l="0" r="0" t="0"/>
            <wp:docPr descr="" title="" id="98" name="Picture"/>
            <a:graphic>
              <a:graphicData uri="http://schemas.openxmlformats.org/drawingml/2006/picture">
                <pic:pic>
                  <pic:nvPicPr>
                    <pic:cNvPr descr="uploads/2022/10/childpov-1.png" id="99" name="Picture"/>
                    <pic:cNvPicPr>
                      <a:picLocks noChangeArrowheads="1" noChangeAspect="1"/>
                    </pic:cNvPicPr>
                  </pic:nvPicPr>
                  <pic:blipFill>
                    <a:blip r:embed="rId97"/>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In Orleans Parish, about half of all Black children live in poverty while 5 percent of White children are poor. In New Orleans, child poverty rates peaked in 1989 for Black children and have fallen slightly such that they are now virtually the same as in 1979 with one in two Black children living in poverty in 2021. The poverty rate for White children has declined from one in 10 children in poverty in 1979 to about one in 50 in 2021.</w:t>
      </w:r>
    </w:p>
    <w:p>
      <w:pPr>
        <w:pStyle w:val="BodyText"/>
      </w:pPr>
      <w:r>
        <w:drawing>
          <wp:inline>
            <wp:extent cx="5334000" cy="4000499"/>
            <wp:effectExtent b="0" l="0" r="0" t="0"/>
            <wp:docPr descr="" title="" id="101" name="Picture"/>
            <a:graphic>
              <a:graphicData uri="http://schemas.openxmlformats.org/drawingml/2006/picture">
                <pic:pic>
                  <pic:nvPicPr>
                    <pic:cNvPr descr="indicator%20expansion%20drafts/graphics/childpov.hist.png" id="102" name="Picture"/>
                    <pic:cNvPicPr>
                      <a:picLocks noChangeArrowheads="1" noChangeAspect="1"/>
                    </pic:cNvPicPr>
                  </pic:nvPicPr>
                  <pic:blipFill>
                    <a:blip r:embed="rId10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Orleans Parish’s very low rate of 5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26 percent of Hispanic children live in poverty – statistically no different from the national rate.</w:t>
      </w:r>
    </w:p>
    <w:p>
      <w:pPr>
        <w:pStyle w:val="BodyText"/>
      </w:pPr>
      <w:r>
        <w:drawing>
          <wp:inline>
            <wp:extent cx="5334000" cy="3200399"/>
            <wp:effectExtent b="0" l="0" r="0" t="0"/>
            <wp:docPr descr="" title="" id="104" name="Picture"/>
            <a:graphic>
              <a:graphicData uri="http://schemas.openxmlformats.org/drawingml/2006/picture">
                <pic:pic>
                  <pic:nvPicPr>
                    <pic:cNvPr descr="indicator%20expansion%20drafts/graphics/childpov.raceGeos.png" id="105" name="Picture"/>
                    <pic:cNvPicPr>
                      <a:picLocks noChangeArrowheads="1" noChangeAspect="1"/>
                    </pic:cNvPicPr>
                  </pic:nvPicPr>
                  <pic:blipFill>
                    <a:blip r:embed="rId103"/>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107" name="Picture"/>
            <a:graphic>
              <a:graphicData uri="http://schemas.openxmlformats.org/drawingml/2006/picture">
                <pic:pic>
                  <pic:nvPicPr>
                    <pic:cNvPr descr="uploads/2022/10/veh-1.png" id="108" name="Picture"/>
                    <pic:cNvPicPr>
                      <a:picLocks noChangeArrowheads="1" noChangeAspect="1"/>
                    </pic:cNvPicPr>
                  </pic:nvPicPr>
                  <pic:blipFill>
                    <a:blip r:embed="rId106"/>
                    <a:stretch>
                      <a:fillRect/>
                    </a:stretch>
                  </pic:blipFill>
                  <pic:spPr bwMode="auto">
                    <a:xfrm>
                      <a:off x="0" y="0"/>
                      <a:ext cx="5334000" cy="3809999"/>
                    </a:xfrm>
                    <a:prstGeom prst="rect">
                      <a:avLst/>
                    </a:prstGeom>
                    <a:noFill/>
                    <a:ln w="9525">
                      <a:noFill/>
                      <a:headEnd/>
                      <a:tailEnd/>
                    </a:ln>
                  </pic:spPr>
                </pic:pic>
              </a:graphicData>
            </a:graphic>
          </wp:inline>
        </w:drawing>
      </w:r>
    </w:p>
    <w:bookmarkEnd w:id="109"/>
    <w:bookmarkStart w:id="121"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110"/>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Parish the foreign-born share of the population increased by 1.4 percentage points between 2000 and 2021 while St. Tammany saw an increase of 2 percentage points.</w:t>
      </w:r>
    </w:p>
    <w:p>
      <w:pPr>
        <w:pStyle w:val="BodyText"/>
      </w:pPr>
      <w:r>
        <w:drawing>
          <wp:inline>
            <wp:extent cx="5334000" cy="3809999"/>
            <wp:effectExtent b="0" l="0" r="0" t="0"/>
            <wp:docPr descr="" title="" id="113" name="Picture"/>
            <a:graphic>
              <a:graphicData uri="http://schemas.openxmlformats.org/drawingml/2006/picture">
                <pic:pic>
                  <pic:nvPicPr>
                    <pic:cNvPr descr="uploads/2022/10/forbor-1.png" id="114" name="Picture"/>
                    <pic:cNvPicPr>
                      <a:picLocks noChangeArrowheads="1" noChangeAspect="1"/>
                    </pic:cNvPicPr>
                  </pic:nvPicPr>
                  <pic:blipFill>
                    <a:blip r:embed="rId11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115"/>
      </w:r>
      <w:r>
        <w:t xml:space="preserve"> </w:t>
      </w:r>
      <w:r>
        <w:t xml:space="preserve">In addition, the young and well-educated are more likely than others to move long distances.</w:t>
      </w:r>
      <w:r>
        <w:rPr>
          <w:rStyle w:val="FootnoteReference"/>
        </w:rPr>
        <w:footnoteReference w:id="117"/>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19" name="Picture"/>
            <a:graphic>
              <a:graphicData uri="http://schemas.openxmlformats.org/drawingml/2006/picture">
                <pic:pic>
                  <pic:nvPicPr>
                    <pic:cNvPr descr="uploads/2022/10/mob-1.png" id="120" name="Picture"/>
                    <pic:cNvPicPr>
                      <a:picLocks noChangeArrowheads="1" noChangeAspect="1"/>
                    </pic:cNvPicPr>
                  </pic:nvPicPr>
                  <pic:blipFill>
                    <a:blip r:embed="rId118"/>
                    <a:stretch>
                      <a:fillRect/>
                    </a:stretch>
                  </pic:blipFill>
                  <pic:spPr bwMode="auto">
                    <a:xfrm>
                      <a:off x="0" y="0"/>
                      <a:ext cx="5334000" cy="3200400"/>
                    </a:xfrm>
                    <a:prstGeom prst="rect">
                      <a:avLst/>
                    </a:prstGeom>
                    <a:noFill/>
                    <a:ln w="9525">
                      <a:noFill/>
                      <a:headEnd/>
                      <a:tailEnd/>
                    </a:ln>
                  </pic:spPr>
                </pic:pic>
              </a:graphicData>
            </a:graphic>
          </wp:inline>
        </w:drawing>
      </w:r>
    </w:p>
    <w:bookmarkEnd w:id="121"/>
    <w:bookmarkStart w:id="134"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remain lower than neighboring parishes at 53 percent.</w:t>
      </w:r>
    </w:p>
    <w:p>
      <w:pPr>
        <w:pStyle w:val="BodyText"/>
      </w:pPr>
      <w:r>
        <w:drawing>
          <wp:inline>
            <wp:extent cx="5334000" cy="3809999"/>
            <wp:effectExtent b="0" l="0" r="0" t="0"/>
            <wp:docPr descr="" title="" id="123" name="Picture"/>
            <a:graphic>
              <a:graphicData uri="http://schemas.openxmlformats.org/drawingml/2006/picture">
                <pic:pic>
                  <pic:nvPicPr>
                    <pic:cNvPr descr="uploads/2022/10/ho-1.png" id="124" name="Picture"/>
                    <pic:cNvPicPr>
                      <a:picLocks noChangeArrowheads="1" noChangeAspect="1"/>
                    </pic:cNvPicPr>
                  </pic:nvPicPr>
                  <pic:blipFill>
                    <a:blip r:embed="rId1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Homeownership rates among Black householders in New Orleans made consistent progress between 1970 and 2021, increasing from 27 percent to 46 percent. Still, the difference in homeownership rates between Black and White people in 2021 was significant, with only 46 percent of Black householders in New Orleans owning homes compared to 63 percent of White householders.</w:t>
      </w:r>
    </w:p>
    <w:p>
      <w:pPr>
        <w:pStyle w:val="BodyText"/>
      </w:pPr>
      <w:r>
        <w:drawing>
          <wp:inline>
            <wp:extent cx="5334000" cy="4000499"/>
            <wp:effectExtent b="0" l="0" r="0" t="0"/>
            <wp:docPr descr="" title="" id="126" name="Picture"/>
            <a:graphic>
              <a:graphicData uri="http://schemas.openxmlformats.org/drawingml/2006/picture">
                <pic:pic>
                  <pic:nvPicPr>
                    <pic:cNvPr descr="indicator%20expansion%20drafts/graphics/homeownership.hist.png" id="127" name="Picture"/>
                    <pic:cNvPicPr>
                      <a:picLocks noChangeArrowheads="1" noChangeAspect="1"/>
                    </pic:cNvPicPr>
                  </pic:nvPicPr>
                  <pic:blipFill>
                    <a:blip r:embed="rId12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Metro homeownership rates mirror national rates, with just over 65 percent of all householders owning their homes and White homeownership rates about 27 percentage points higher than rates for Black homeownership. This disparity is smaller in Orleans Parish, where only 63 percent of White householders own their homes. Homeownership in St. Tammany outstrips Orleans, Jefferson, and the metro overall, with 80 percent of all householders owning their home: a rate of 61 percent for Black householders, 84 percent for White householders, and 73 percent for Hispanic householders.</w:t>
      </w:r>
    </w:p>
    <w:p>
      <w:pPr>
        <w:pStyle w:val="BodyText"/>
      </w:pPr>
      <w:r>
        <w:drawing>
          <wp:inline>
            <wp:extent cx="5334000" cy="3200399"/>
            <wp:effectExtent b="0" l="0" r="0" t="0"/>
            <wp:docPr descr="" title="" id="129" name="Picture"/>
            <a:graphic>
              <a:graphicData uri="http://schemas.openxmlformats.org/drawingml/2006/picture">
                <pic:pic>
                  <pic:nvPicPr>
                    <pic:cNvPr descr="indicator%20expansion%20drafts/graphics/homeownership.raceGeos.png" id="130" name="Picture"/>
                    <pic:cNvPicPr>
                      <a:picLocks noChangeArrowheads="1" noChangeAspect="1"/>
                    </pic:cNvPicPr>
                  </pic:nvPicPr>
                  <pic:blipFill>
                    <a:blip r:embed="rId128"/>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p>
    <w:p>
      <w:pPr>
        <w:pStyle w:val="BodyText"/>
      </w:pPr>
      <w:r>
        <w:drawing>
          <wp:inline>
            <wp:extent cx="5334000" cy="3809999"/>
            <wp:effectExtent b="0" l="0" r="0" t="0"/>
            <wp:docPr descr="" title="" id="132" name="Picture"/>
            <a:graphic>
              <a:graphicData uri="http://schemas.openxmlformats.org/drawingml/2006/picture">
                <pic:pic>
                  <pic:nvPicPr>
                    <pic:cNvPr descr="uploads/2022/10/honomo-1.png" id="133" name="Picture"/>
                    <pic:cNvPicPr>
                      <a:picLocks noChangeArrowheads="1" noChangeAspect="1"/>
                    </pic:cNvPicPr>
                  </pic:nvPicPr>
                  <pic:blipFill>
                    <a:blip r:embed="rId131"/>
                    <a:stretch>
                      <a:fillRect/>
                    </a:stretch>
                  </pic:blipFill>
                  <pic:spPr bwMode="auto">
                    <a:xfrm>
                      <a:off x="0" y="0"/>
                      <a:ext cx="5334000" cy="3809999"/>
                    </a:xfrm>
                    <a:prstGeom prst="rect">
                      <a:avLst/>
                    </a:prstGeom>
                    <a:noFill/>
                    <a:ln w="9525">
                      <a:noFill/>
                      <a:headEnd/>
                      <a:tailEnd/>
                    </a:ln>
                  </pic:spPr>
                </pic:pic>
              </a:graphicData>
            </a:graphic>
          </wp:inline>
        </w:drawing>
      </w:r>
    </w:p>
    <w:bookmarkEnd w:id="134"/>
    <w:bookmarkStart w:id="156"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35"/>
      </w:r>
      <w:r>
        <w:t xml:space="preserve"> </w:t>
      </w:r>
      <w:r>
        <w:t xml:space="preserve">Severe housing cost burdens of more than 50 percent of household income indicate a serious problem in housing affordability. In 2004, the share of severely cost-burdened renters in New Orleans and the U.S. was 23 percent and 22 percent, respectively. In the 17 years since, that share has spiked to 37 percent in Orleans while growing to only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38" name="Picture"/>
            <a:graphic>
              <a:graphicData uri="http://schemas.openxmlformats.org/drawingml/2006/picture">
                <pic:pic>
                  <pic:nvPicPr>
                    <pic:cNvPr descr="uploads/2022/10/rentbur-1.png" id="139" name="Picture"/>
                    <pic:cNvPicPr>
                      <a:picLocks noChangeArrowheads="1" noChangeAspect="1"/>
                    </pic:cNvPicPr>
                  </pic:nvPicPr>
                  <pic:blipFill>
                    <a:blip r:embed="rId13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only 11 percent across the metro area. There is a clear gap between the rate of housing cost burden for renters vs. homeowners, and that gap has widened.</w:t>
      </w:r>
    </w:p>
    <w:p>
      <w:pPr>
        <w:pStyle w:val="BodyText"/>
      </w:pPr>
      <w:r>
        <w:drawing>
          <wp:inline>
            <wp:extent cx="5334000" cy="3809999"/>
            <wp:effectExtent b="0" l="0" r="0" t="0"/>
            <wp:docPr descr="" title="" id="141" name="Picture"/>
            <a:graphic>
              <a:graphicData uri="http://schemas.openxmlformats.org/drawingml/2006/picture">
                <pic:pic>
                  <pic:nvPicPr>
                    <pic:cNvPr descr="uploads/2022/10/hoburGraphic-1.png" id="142" name="Picture"/>
                    <pic:cNvPicPr>
                      <a:picLocks noChangeArrowheads="1" noChangeAspect="1"/>
                    </pic:cNvPicPr>
                  </pic:nvPicPr>
                  <pic:blipFill>
                    <a:blip r:embed="rId14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$798 to $1,082 in New Orleans, a 36 percent increase after adjusting for inflation. Meanwhile, median gross rents increased 22 percent nationwide.</w:t>
      </w:r>
    </w:p>
    <w:p>
      <w:pPr>
        <w:pStyle w:val="BodyText"/>
      </w:pPr>
      <w:r>
        <w:drawing>
          <wp:inline>
            <wp:extent cx="5334000" cy="3809999"/>
            <wp:effectExtent b="0" l="0" r="0" t="0"/>
            <wp:docPr descr="" title="" id="144" name="Picture"/>
            <a:graphic>
              <a:graphicData uri="http://schemas.openxmlformats.org/drawingml/2006/picture">
                <pic:pic>
                  <pic:nvPicPr>
                    <pic:cNvPr descr="uploads/2022/10/medrent-1.png" id="145" name="Picture"/>
                    <pic:cNvPicPr>
                      <a:picLocks noChangeArrowheads="1" noChangeAspect="1"/>
                    </pic:cNvPicPr>
                  </pic:nvPicPr>
                  <pic:blipFill>
                    <a:blip r:embed="rId1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46"/>
      </w:r>
      <w:r>
        <w:t xml:space="preserve"> </w:t>
      </w:r>
      <w:r>
        <w:t xml:space="preserve">Moreover, research has shown that lead poisoning in children is correlated strongly with residing in pre-1950 homes.</w:t>
      </w:r>
      <w:r>
        <w:rPr>
          <w:rStyle w:val="FootnoteReference"/>
        </w:rPr>
        <w:footnoteReference w:id="148"/>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51" name="Picture"/>
            <a:graphic>
              <a:graphicData uri="http://schemas.openxmlformats.org/drawingml/2006/picture">
                <pic:pic>
                  <pic:nvPicPr>
                    <pic:cNvPr descr="uploads/2022/10/yrbuilt-1.png" id="152" name="Picture"/>
                    <pic:cNvPicPr>
                      <a:picLocks noChangeArrowheads="1" noChangeAspect="1"/>
                    </pic:cNvPicPr>
                  </pic:nvPicPr>
                  <pic:blipFill>
                    <a:blip r:embed="rId15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w:t>
      </w:r>
    </w:p>
    <w:p>
      <w:pPr>
        <w:pStyle w:val="BodyText"/>
      </w:pPr>
      <w:r>
        <w:t xml:space="preserve">Nationwide and across the New Orleans metro, there has been a sizable increase in people working from home since the COVID-19 pandemic struck. In New Orleans, the share working at home rose from 5.028</w:t>
      </w:r>
      <w:r>
        <w:t xml:space="preserve">^{5} percent in 2000 to 2.9234</w:t>
      </w:r>
      <w:r>
        <w:t xml:space="preserve">^{6} percent in 2021, while the share using public transportation declined sharply from 13 percent in 2000 to 4 percent in 2021. Working in home is somewhat less common in Jefferson (1.8829</w:t>
      </w:r>
      <w:r>
        <w:t xml:space="preserve">^{6} percent) and St. Tammany () than in New Orleans or across the nation (18%).</w:t>
      </w:r>
    </w:p>
    <w:p>
      <w:pPr>
        <w:pStyle w:val="BodyText"/>
      </w:pPr>
      <w:r>
        <w:drawing>
          <wp:inline>
            <wp:extent cx="5334000" cy="3200400"/>
            <wp:effectExtent b="0" l="0" r="0" t="0"/>
            <wp:docPr descr="" title="" id="154" name="Picture"/>
            <a:graphic>
              <a:graphicData uri="http://schemas.openxmlformats.org/drawingml/2006/picture">
                <pic:pic>
                  <pic:nvPicPr>
                    <pic:cNvPr descr="uploads/2022/10/commute-1.png" id="155" name="Picture"/>
                    <pic:cNvPicPr>
                      <a:picLocks noChangeArrowheads="1" noChangeAspect="1"/>
                    </pic:cNvPicPr>
                  </pic:nvPicPr>
                  <pic:blipFill>
                    <a:blip r:embed="rId153"/>
                    <a:stretch>
                      <a:fillRect/>
                    </a:stretch>
                  </pic:blipFill>
                  <pic:spPr bwMode="auto">
                    <a:xfrm>
                      <a:off x="0" y="0"/>
                      <a:ext cx="5334000" cy="3200400"/>
                    </a:xfrm>
                    <a:prstGeom prst="rect">
                      <a:avLst/>
                    </a:prstGeom>
                    <a:noFill/>
                    <a:ln w="9525">
                      <a:noFill/>
                      <a:headEnd/>
                      <a:tailEnd/>
                    </a:ln>
                  </pic:spPr>
                </pic:pic>
              </a:graphicData>
            </a:graphic>
          </wp:inline>
        </w:drawing>
      </w:r>
    </w:p>
    <w:bookmarkEnd w:id="156"/>
    <w:bookmarkStart w:id="159"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57">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58">
        <w:r>
          <w:rPr>
            <w:rStyle w:val="Hyperlink"/>
          </w:rPr>
          <w:t xml:space="preserve">https://www2.census.gov/programs-surveys/decennial/2000/technical-documentation/complete-tech-docs/summary-files/sf3.pdf</w:t>
        </w:r>
      </w:hyperlink>
      <w:r>
        <w:t xml:space="preserve">.</w:t>
      </w:r>
    </w:p>
    <w:p>
      <w:pPr>
        <w:pStyle w:val="BodyText"/>
      </w:pPr>
      <w:r>
        <w:t xml:space="preserve">Standard errors for Census 2000 and Census 2010 SF1 data are zero.</w:t>
      </w:r>
    </w:p>
    <w:bookmarkEnd w:id="159"/>
    <w:bookmarkStart w:id="160" w:name="endnotes"/>
    <w:p>
      <w:pPr>
        <w:pStyle w:val="Heading2"/>
      </w:pPr>
      <w:r>
        <w:t xml:space="preserve">Endnotes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4">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5">
        <w:r>
          <w:rPr>
            <w:rStyle w:val="Hyperlink"/>
          </w:rPr>
          <w:t xml:space="preserve">http://www.pewhispanic.org/2012/04/04/when-labels-dont-fit-hispanics-and-their-views-of-identity</w:t>
        </w:r>
      </w:hyperlink>
      <w:r>
        <w:t xml:space="preserve">.</w:t>
      </w:r>
    </w:p>
  </w:footnote>
  <w:footnote w:id="40">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1">
        <w:r>
          <w:rPr>
            <w:rStyle w:val="Hyperlink"/>
          </w:rPr>
          <w:t xml:space="preserve">http://www.datacenterresearch.org/reports_analysis/drivers-of-housing-demand</w:t>
        </w:r>
      </w:hyperlink>
      <w:r>
        <w:t xml:space="preserve">.</w:t>
      </w:r>
    </w:p>
  </w:footnote>
  <w:footnote w:id="58">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59">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0">
        <w:r>
          <w:rPr>
            <w:rStyle w:val="Hyperlink"/>
          </w:rPr>
          <w:t xml:space="preserve">http://www.huduser.org/portal/periodicals/em/winter12/highlight2.html#title</w:t>
        </w:r>
      </w:hyperlink>
      <w:r>
        <w:t xml:space="preserve">.</w:t>
      </w:r>
    </w:p>
  </w:footnote>
  <w:footnote w:id="82">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83">
        <w:r>
          <w:rPr>
            <w:rStyle w:val="Hyperlink"/>
          </w:rPr>
          <w:t xml:space="preserve">http://citeseerx.ist.psu.edu/viewdoc/download?doi=10.1.1.849.6663&amp;rep=rep1&amp;type=pdf</w:t>
        </w:r>
      </w:hyperlink>
      <w:r>
        <w:t xml:space="preserve">.</w:t>
      </w:r>
    </w:p>
  </w:footnote>
  <w:footnote w:id="110">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111">
        <w:r>
          <w:rPr>
            <w:rStyle w:val="Hyperlink"/>
          </w:rPr>
          <w:t xml:space="preserve">https://www.brookings.edu/research/the-geography-of-immigrant-skills-educational-profiles-of-metropolitan-areas/</w:t>
        </w:r>
      </w:hyperlink>
      <w:r>
        <w:t xml:space="preserve">.</w:t>
      </w:r>
    </w:p>
  </w:footnote>
  <w:footnote w:id="115">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116">
        <w:r>
          <w:rPr>
            <w:rStyle w:val="Hyperlink"/>
          </w:rPr>
          <w:t xml:space="preserve">https://www.census.gov/topics/population/migration/data/tables/cps.2012.html</w:t>
        </w:r>
      </w:hyperlink>
      <w:r>
        <w:t xml:space="preserve">.</w:t>
      </w:r>
    </w:p>
  </w:footnote>
  <w:footnote w:id="117">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116">
        <w:r>
          <w:rPr>
            <w:rStyle w:val="Hyperlink"/>
          </w:rPr>
          <w:t xml:space="preserve">https://www.census.gov/topics/population/migration/data/tables/cps.2012.html</w:t>
        </w:r>
      </w:hyperlink>
      <w:r>
        <w:t xml:space="preserve">.</w:t>
      </w:r>
    </w:p>
  </w:footnote>
  <w:footnote w:id="135">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36">
        <w:r>
          <w:rPr>
            <w:rStyle w:val="Hyperlink"/>
          </w:rPr>
          <w:t xml:space="preserve">http://www.datacenterresearch.org/reports_analysis/housing-affordability</w:t>
        </w:r>
      </w:hyperlink>
      <w:r>
        <w:t xml:space="preserve">.</w:t>
      </w:r>
    </w:p>
  </w:footnote>
  <w:footnote w:id="146">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47">
        <w:r>
          <w:rPr>
            <w:rStyle w:val="Hyperlink"/>
          </w:rPr>
          <w:t xml:space="preserve">http://www.jchs.harvard.edu/sites/jchs.harvard.edu/files/harvard_jchs_remodeling_report_2013.pdf</w:t>
        </w:r>
      </w:hyperlink>
      <w:r>
        <w:t xml:space="preserve">.</w:t>
      </w:r>
    </w:p>
  </w:footnote>
  <w:footnote w:id="148">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49">
        <w:r>
          <w:rPr>
            <w:rStyle w:val="Hyperlink"/>
          </w:rPr>
          <w:t xml:space="preserve">http://www.ncbi.nlm.nih.gov/pmc/articles/PMC1497528/pdf/12766217.pdf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97" Target="media/rId97.png" /><Relationship Type="http://schemas.openxmlformats.org/officeDocument/2006/relationships/image" Id="rId153" Target="media/rId153.png" /><Relationship Type="http://schemas.openxmlformats.org/officeDocument/2006/relationships/image" Id="rId25" Target="media/rId25.png" /><Relationship Type="http://schemas.openxmlformats.org/officeDocument/2006/relationships/image" Id="rId112" Target="media/rId112.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22" Target="media/rId122.png" /><Relationship Type="http://schemas.openxmlformats.org/officeDocument/2006/relationships/image" Id="rId140" Target="media/rId140.png" /><Relationship Type="http://schemas.openxmlformats.org/officeDocument/2006/relationships/image" Id="rId131" Target="media/rId131.png" /><Relationship Type="http://schemas.openxmlformats.org/officeDocument/2006/relationships/image" Id="rId70" Target="media/rId70.png"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143" Target="media/rId143.png"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88" Target="media/rId88.png" /><Relationship Type="http://schemas.openxmlformats.org/officeDocument/2006/relationships/image" Id="rId137" Target="media/rId137.png" /><Relationship Type="http://schemas.openxmlformats.org/officeDocument/2006/relationships/image" Id="rId51" Target="media/rId51.png" /><Relationship Type="http://schemas.openxmlformats.org/officeDocument/2006/relationships/image" Id="rId106" Target="media/rId106.png" /><Relationship Type="http://schemas.openxmlformats.org/officeDocument/2006/relationships/image" Id="rId150" Target="media/rId150.png" /><Relationship Type="http://schemas.openxmlformats.org/officeDocument/2006/relationships/hyperlink" Id="rId83"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3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47" Target="http://www.jchs.harvard.edu/sites/jchs.harvard.edu/files/harvard_jchs_remodeling_report_2013.pdf" TargetMode="External" /><Relationship Type="http://schemas.openxmlformats.org/officeDocument/2006/relationships/hyperlink" Id="rId14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111" Target="https://www.brookings.edu/research/the-geography-of-immigrant-skills-educational-profiles-of-metropolitan-areas/" TargetMode="External" /><Relationship Type="http://schemas.openxmlformats.org/officeDocument/2006/relationships/hyperlink" Id="rId157"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6" Target="https://www.census.gov/topics/population/migration/data/tables/cps.2012.html" TargetMode="External" /><Relationship Type="http://schemas.openxmlformats.org/officeDocument/2006/relationships/hyperlink" Id="rId158" Target="https://www2.census.gov/programs-surveys/decennial/2000/technical-documentation/complete-tech-docs/summary-files/sf3.pdf" TargetMode="External" /></Relationships>
</file>

<file path=word/_rels/footnotes.xml.rels><?xml version="1.0" encoding="UTF-8"?><Relationships xmlns="http://schemas.openxmlformats.org/package/2006/relationships"><Relationship Type="http://schemas.openxmlformats.org/officeDocument/2006/relationships/hyperlink" Id="rId83"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3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47" Target="http://www.jchs.harvard.edu/sites/jchs.harvard.edu/files/harvard_jchs_remodeling_report_2013.pdf" TargetMode="External" /><Relationship Type="http://schemas.openxmlformats.org/officeDocument/2006/relationships/hyperlink" Id="rId14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111" Target="https://www.brookings.edu/research/the-geography-of-immigrant-skills-educational-profiles-of-metropolitan-areas/" TargetMode="External" /><Relationship Type="http://schemas.openxmlformats.org/officeDocument/2006/relationships/hyperlink" Id="rId157"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6" Target="https://www.census.gov/topics/population/migration/data/tables/cps.2012.html" TargetMode="External" /><Relationship Type="http://schemas.openxmlformats.org/officeDocument/2006/relationships/hyperlink" Id="rId158" Target="https://www2.census.gov/programs-surveys/decennial/2000/technical-documentation/complete-tech-docs/summary-files/sf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2022-10-14T15:29:12Z</dcterms:created>
  <dcterms:modified xsi:type="dcterms:W3CDTF">2022-10-14T15:29:12Z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