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7.png" ContentType="image/png"/>
  <Override PartName="/word/media/rId100.png" ContentType="image/png"/>
  <Override PartName="/word/media/rId103.png" ContentType="image/png"/>
  <Override PartName="/word/media/rId128.png" ContentType="image/png"/>
  <Override PartName="/word/media/rId125.png" ContentType="image/png"/>
  <Override PartName="/word/media/rId79.png" ContentType="image/png"/>
  <Override PartName="/word/media/rId91.png" ContentType="image/png"/>
  <Override PartName="/word/media/rId94.png" ContentType="image/png"/>
  <Override PartName="/word/media/rId22.png" ContentType="image/png"/>
  <Override PartName="/word/media/rId42.png" ContentType="image/png"/>
  <Override PartName="/word/media/rId45.png" ContentType="image/png"/>
  <Override PartName="/word/media/rId61.png" ContentType="image/png"/>
  <Override PartName="/word/media/rId97.png" ContentType="image/png"/>
  <Override PartName="/word/media/rId157.png" ContentType="image/png"/>
  <Override PartName="/word/media/rId25.png" ContentType="image/png"/>
  <Override PartName="/word/media/rId112.png" ContentType="image/png"/>
  <Override PartName="/word/media/rId36.png" ContentType="image/png"/>
  <Override PartName="/word/media/rId28.png" ContentType="image/png"/>
  <Override PartName="/word/media/rId31.png" ContentType="image/png"/>
  <Override PartName="/word/media/rId122.png" ContentType="image/png"/>
  <Override PartName="/word/media/rId140.png" ContentType="image/png"/>
  <Override PartName="/word/media/rId131.png" ContentType="image/png"/>
  <Override PartName="/word/media/rId70.png" ContentType="image/png"/>
  <Override PartName="/word/media/rId48.png" ContentType="image/png"/>
  <Override PartName="/word/media/rId84.png" ContentType="image/png"/>
  <Override PartName="/word/media/rId76.png" ContentType="image/png"/>
  <Override PartName="/word/media/rId73.png" ContentType="image/png"/>
  <Override PartName="/word/media/rId143.png" ContentType="image/png"/>
  <Override PartName="/word/media/rId118.png" ContentType="image/png"/>
  <Override PartName="/word/media/rId54.png" ContentType="image/png"/>
  <Override PartName="/word/media/rId88.png" ContentType="image/png"/>
  <Override PartName="/word/media/rId137.png" ContentType="image/png"/>
  <Override PartName="/word/media/rId51.png" ContentType="image/png"/>
  <Override PartName="/word/media/rId106.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U.S. Census Bureau estimates that 1,261,726 residents were living in metro New Orleans as of July 2021, a 6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39" w:name="raceethnicity"/>
    <w:p>
      <w:pPr>
        <w:pStyle w:val="Heading2"/>
      </w:pPr>
      <w:r>
        <w:t xml:space="preserve">Race/Ethnicity</w:t>
      </w:r>
    </w:p>
    <w:p>
      <w:pPr>
        <w:pStyle w:val="FirstParagraph"/>
      </w:pPr>
      <w:r>
        <w:t xml:space="preserve">According to the U.S. Census Bureau’s 2021 population estimates, there are now 99,026 fewer African Americans living in New Orleans (Orleans Parish) compared to 2000, but there are also -4,426 fewer whites. Meanwhile, the number of Hispanics grew by 6,661.</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10/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African American — while lower than in 2000 when it was 67 percent — continues to represent the majority of city residents at 60 percent. The share of Hispanics in the city increased from 3 percent in 2000 to 6 percent in 2021; the share of Asians increased from 2 percent to 3 percent; and the share of whites increased from 27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26" name="Picture"/>
            <a:graphic>
              <a:graphicData uri="http://schemas.openxmlformats.org/drawingml/2006/picture">
                <pic:pic>
                  <pic:nvPicPr>
                    <pic:cNvPr descr="uploads/2022/10/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2021.</w:t>
      </w:r>
    </w:p>
    <w:p>
      <w:pPr>
        <w:pStyle w:val="BodyText"/>
      </w:pPr>
      <w:r>
        <w:t xml:space="preserve">As of July 2021,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21 years.</w:t>
      </w:r>
    </w:p>
    <w:p>
      <w:pPr>
        <w:pStyle w:val="BodyText"/>
      </w:pPr>
      <w:r>
        <w:drawing>
          <wp:inline>
            <wp:extent cx="5334000" cy="4572000"/>
            <wp:effectExtent b="0" l="0" r="0" t="0"/>
            <wp:docPr descr="" title="" id="29" name="Picture"/>
            <a:graphic>
              <a:graphicData uri="http://schemas.openxmlformats.org/drawingml/2006/picture">
                <pic:pic>
                  <pic:nvPicPr>
                    <pic:cNvPr descr="uploads/2022/10/hispanpop-1.png" id="3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6 percent since 2010, the Hispanic population has grown 28 percent such that Hispanics account for 36 percent of the metro’s population growth since 2010.</w:t>
      </w:r>
    </w:p>
    <w:p>
      <w:pPr>
        <w:pStyle w:val="BodyText"/>
      </w:pPr>
      <w:r>
        <w:drawing>
          <wp:inline>
            <wp:extent cx="5334000" cy="3200400"/>
            <wp:effectExtent b="0" l="0" r="0" t="0"/>
            <wp:docPr descr="" title="" id="32" name="Picture"/>
            <a:graphic>
              <a:graphicData uri="http://schemas.openxmlformats.org/drawingml/2006/picture">
                <pic:pic>
                  <pic:nvPicPr>
                    <pic:cNvPr descr="uploads/2022/10/hispanpopyear-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4"/>
      </w:r>
      <w:r>
        <w:t xml:space="preserve"> </w:t>
      </w:r>
      <w:r>
        <w:t xml:space="preserve">The nationalities of Hispanics residing in metro New Orleans is quite distinct from the national Hispanic profile.</w:t>
      </w:r>
    </w:p>
    <w:p>
      <w:pPr>
        <w:pStyle w:val="BodyText"/>
      </w:pPr>
      <w:r>
        <w:t xml:space="preserve">In 2021, the largest Hispanic group in metro New Orleans was Honduran, representing 32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13 percent of the Hispanic population in metro New Orleans. Nevertheless, the Mexican population is much less prominent in the metro than nationally, where it represents 60 percent of the Hispanic population.</w:t>
      </w:r>
    </w:p>
    <w:p>
      <w:pPr>
        <w:pStyle w:val="BodyText"/>
      </w:pPr>
      <w:r>
        <w:drawing>
          <wp:inline>
            <wp:extent cx="5334000" cy="3809999"/>
            <wp:effectExtent b="0" l="0" r="0" t="0"/>
            <wp:docPr descr="" title="" id="37" name="Picture"/>
            <a:graphic>
              <a:graphicData uri="http://schemas.openxmlformats.org/drawingml/2006/picture">
                <pic:pic>
                  <pic:nvPicPr>
                    <pic:cNvPr descr="uploads/2022/10/hispan2018-1.png" id="38"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bookmarkEnd w:id="39"/>
    <w:bookmarkStart w:id="57"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have brought massive changes to the metro — and indeed the whole country — with many more changes yet to come.</w:t>
      </w:r>
      <w:r>
        <w:rPr>
          <w:rStyle w:val="FootnoteReference"/>
        </w:rPr>
        <w:footnoteReference w:id="40"/>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drawing>
          <wp:inline>
            <wp:extent cx="5334000" cy="2667000"/>
            <wp:effectExtent b="0" l="0" r="0" t="0"/>
            <wp:docPr descr="" title="" id="43" name="Picture"/>
            <a:graphic>
              <a:graphicData uri="http://schemas.openxmlformats.org/drawingml/2006/picture">
                <pic:pic>
                  <pic:nvPicPr>
                    <pic:cNvPr descr="uploads/2022/10/age2000-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6" name="Picture"/>
            <a:graphic>
              <a:graphicData uri="http://schemas.openxmlformats.org/drawingml/2006/picture">
                <pic:pic>
                  <pic:nvPicPr>
                    <pic:cNvPr descr="uploads/2022/10/agecurrent-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2021, 24 percent of households in metro New Orleans included children, down from 34 percent in 2000. Between 2000 and 2021, the percent of St. Tammany households with children declined from 40 percent to 31 percent; the percent of Jefferson households with children declined from 33 percent to 24 percent; and the percent of Orleans households with children declined from 30 percent to 19 percent.</w:t>
      </w:r>
    </w:p>
    <w:p>
      <w:pPr>
        <w:pStyle w:val="BodyText"/>
      </w:pPr>
      <w:r>
        <w:drawing>
          <wp:inline>
            <wp:extent cx="5334000" cy="3809999"/>
            <wp:effectExtent b="0" l="0" r="0" t="0"/>
            <wp:docPr descr="" title="" id="49" name="Picture"/>
            <a:graphic>
              <a:graphicData uri="http://schemas.openxmlformats.org/drawingml/2006/picture">
                <pic:pic>
                  <pic:nvPicPr>
                    <pic:cNvPr descr="uploads/2022/10/hwc-1.png" id="5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34 percent in 2021 — similar to the trend for Jefferson Parish where the share of households living alone grew from 27 percent to 33 percent. The increase was larger in Orleans Parish, which jumped from 33 to 45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2/10/sing-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under 18 population declined to 74,460 from 129,408. The under 18 population is now 22 percent of the metro population, down from 27 percent in 2000.</w:t>
      </w:r>
    </w:p>
    <w:p>
      <w:pPr>
        <w:pStyle w:val="BodyText"/>
      </w:pPr>
      <w:r>
        <w:drawing>
          <wp:inline>
            <wp:extent cx="5334000" cy="3809999"/>
            <wp:effectExtent b="0" l="0" r="0" t="0"/>
            <wp:docPr descr="" title="" id="55" name="Picture"/>
            <a:graphic>
              <a:graphicData uri="http://schemas.openxmlformats.org/drawingml/2006/picture">
                <pic:pic>
                  <pic:nvPicPr>
                    <pic:cNvPr descr="uploads/2022/10/popunder18-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bookmarkEnd w:id="57"/>
    <w:bookmarkStart w:id="87"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58"/>
      </w:r>
      <w:r>
        <w:t xml:space="preserve"> </w:t>
      </w:r>
      <w:r>
        <w:t xml:space="preserve">In New Orleans, 42 percent of adults 25 and older had a bachelor’s degree is 2021 - higher than the U.S. average of 35 percent, and up from 26 percent in 2000. The overall metro area share of adults with a bachelor’s degree grew from 23 to 34 percent - lower than the national average.</w:t>
      </w:r>
    </w:p>
    <w:p>
      <w:pPr>
        <w:pStyle w:val="BodyText"/>
      </w:pPr>
      <w:r>
        <w:drawing>
          <wp:inline>
            <wp:extent cx="5334000" cy="3809999"/>
            <wp:effectExtent b="0" l="0" r="0" t="0"/>
            <wp:docPr descr="" title="" id="62" name="Picture"/>
            <a:graphic>
              <a:graphicData uri="http://schemas.openxmlformats.org/drawingml/2006/picture">
                <pic:pic>
                  <pic:nvPicPr>
                    <pic:cNvPr descr="uploads/2022/10/bach-1.png" id="63" name="Picture"/>
                    <pic:cNvPicPr>
                      <a:picLocks noChangeArrowheads="1" noChangeAspect="1"/>
                    </pic:cNvPicPr>
                  </pic:nvPicPr>
                  <pic:blipFill>
                    <a:blip r:embed="rId6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New Orleans adults who have a bachelor’s degree has grown across racial and ethnic groups since 1980. But while 69 percent of white adults in New Orleans have a bachelor’s, only 23 percent of Black adults have a bachelor’s as of 2021. The share of White adults in Orleans Parish who have a bachelor’s degree is substantially higher than the US or metro area overall: 69 percent of White adults in New Orleans have a bachelor’s degree while that number is 44 percent or lower in neighboring parishes and the nation. Like in Orleans, only 20 and 19 percent of Black adults have a bachelor’s degree or higher in Jefferson and St. Tammany, respectively.</w:t>
      </w:r>
    </w:p>
    <w:p>
      <w:pPr>
        <w:pStyle w:val="BodyText"/>
      </w:pPr>
      <w:r>
        <w:drawing>
          <wp:inline>
            <wp:extent cx="5334000" cy="4000499"/>
            <wp:effectExtent b="0" l="0" r="0" t="0"/>
            <wp:docPr descr="" title="" id="65" name="Picture"/>
            <a:graphic>
              <a:graphicData uri="http://schemas.openxmlformats.org/drawingml/2006/picture">
                <pic:pic>
                  <pic:nvPicPr>
                    <pic:cNvPr descr="indicator%20expansion%20drafts/graphics/bach.hist.png" id="66" name="Picture"/>
                    <pic:cNvPicPr>
                      <a:picLocks noChangeArrowheads="1" noChangeAspect="1"/>
                    </pic:cNvPicPr>
                  </pic:nvPicPr>
                  <pic:blipFill>
                    <a:blip r:embed="rId64"/>
                    <a:stretch>
                      <a:fillRect/>
                    </a:stretch>
                  </pic:blipFill>
                  <pic:spPr bwMode="auto">
                    <a:xfrm>
                      <a:off x="0" y="0"/>
                      <a:ext cx="5334000" cy="4000499"/>
                    </a:xfrm>
                    <a:prstGeom prst="rect">
                      <a:avLst/>
                    </a:prstGeom>
                    <a:noFill/>
                    <a:ln w="9525">
                      <a:noFill/>
                      <a:headEnd/>
                      <a:tailEnd/>
                    </a:ln>
                  </pic:spPr>
                </pic:pic>
              </a:graphicData>
            </a:graphic>
          </wp:inline>
        </w:drawing>
      </w:r>
      <w:r>
        <w:t xml:space="preserve"> </w:t>
      </w:r>
      <w:r>
        <w:drawing>
          <wp:inline>
            <wp:extent cx="5334000" cy="3200399"/>
            <wp:effectExtent b="0" l="0" r="0" t="0"/>
            <wp:docPr descr="" title="" id="68" name="Picture"/>
            <a:graphic>
              <a:graphicData uri="http://schemas.openxmlformats.org/drawingml/2006/picture">
                <pic:pic>
                  <pic:nvPicPr>
                    <pic:cNvPr descr="indicator%20expansion%20drafts/graphics/bach.raceGeos.png" id="69" name="Picture"/>
                    <pic:cNvPicPr>
                      <a:picLocks noChangeArrowheads="1" noChangeAspect="1"/>
                    </pic:cNvPicPr>
                  </pic:nvPicPr>
                  <pic:blipFill>
                    <a:blip r:embed="rId6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The metro area increase in the share of adults with a bachelor’s degree or higher has been coupled with a decline in the share of adults with less than a high school degree. The proportion of adults 25 years and older with less than a high school education declined across all three of the largest parishes, leading to a metrowide decrease from 15 percent in 2000 to 12 percent in 2021. In the city of New Orleans, the share of adults with less than a high school degree fell from 25 percent to 10 percent.</w:t>
      </w:r>
    </w:p>
    <w:p>
      <w:pPr>
        <w:pStyle w:val="BodyText"/>
      </w:pPr>
      <w:r>
        <w:drawing>
          <wp:inline>
            <wp:extent cx="5334000" cy="3809999"/>
            <wp:effectExtent b="0" l="0" r="0" t="0"/>
            <wp:docPr descr="" title="" id="71" name="Picture"/>
            <a:graphic>
              <a:graphicData uri="http://schemas.openxmlformats.org/drawingml/2006/picture">
                <pic:pic>
                  <pic:nvPicPr>
                    <pic:cNvPr descr="uploads/2022/10/hs-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$56,837 for the metro, $56,282 for Jefferson Parish, and $46,942 for the city are significantly lower than the U.S. median of $69,717.</w:t>
      </w:r>
    </w:p>
    <w:p>
      <w:pPr>
        <w:pStyle w:val="BodyText"/>
      </w:pPr>
      <w:r>
        <w:drawing>
          <wp:inline>
            <wp:extent cx="5334000" cy="3809999"/>
            <wp:effectExtent b="0" l="0" r="0" t="0"/>
            <wp:docPr descr="" title="" id="74" name="Picture"/>
            <a:graphic>
              <a:graphicData uri="http://schemas.openxmlformats.org/drawingml/2006/picture">
                <pic:pic>
                  <pic:nvPicPr>
                    <pic:cNvPr descr="uploads/2022/10/medhh-1.png" id="75" name="Picture"/>
                    <pic:cNvPicPr>
                      <a:picLocks noChangeArrowheads="1" noChangeAspect="1"/>
                    </pic:cNvPicPr>
                  </pic:nvPicPr>
                  <pic:blipFill>
                    <a:blip r:embed="rId7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1979, households with higher incomes were disproportionately in the parishes surrounding New Orleans, while lower income white, Hispanic, and Black households were more likely to live in the city. By 2021, these patterns had changed with higher income white households more often living in the city such that income disparity within the city has escalated. In 2021, Black households in New Orleans had a median income of only $30,292, while Hispanic households were at $60,358 and White households had a median income of $83,727.</w:t>
      </w:r>
    </w:p>
    <w:p>
      <w:pPr>
        <w:pStyle w:val="BodyText"/>
      </w:pPr>
      <w:r>
        <w:drawing>
          <wp:inline>
            <wp:extent cx="5334000" cy="3809999"/>
            <wp:effectExtent b="0" l="0" r="0" t="0"/>
            <wp:docPr descr="" title="" id="77" name="Picture"/>
            <a:graphic>
              <a:graphicData uri="http://schemas.openxmlformats.org/drawingml/2006/picture">
                <pic:pic>
                  <pic:nvPicPr>
                    <pic:cNvPr descr="uploads/2022/10/med%20hh%20over%20time-1.png" id="78" name="Picture"/>
                    <pic:cNvPicPr>
                      <a:picLocks noChangeArrowheads="1" noChangeAspect="1"/>
                    </pic:cNvPicPr>
                  </pic:nvPicPr>
                  <pic:blipFill>
                    <a:blip r:embed="rId7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New Orleans, Black households earn XX percent less than White households. In St. Tammany, Black households have a median income of $52,849 such that Black households earn XX percent less than White households. In Jefferson, Black households have a median income of $40,168 which is XX percent less than White households. Hispanic households have a median of $58,930 across the metro which is relatively consistent across the 3 large parishes.</w:t>
      </w:r>
    </w:p>
    <w:p>
      <w:pPr>
        <w:pStyle w:val="BodyText"/>
      </w:pPr>
      <w:r>
        <w:drawing>
          <wp:inline>
            <wp:extent cx="5334000" cy="3200399"/>
            <wp:effectExtent b="0" l="0" r="0" t="0"/>
            <wp:docPr descr="" title="" id="80" name="Picture"/>
            <a:graphic>
              <a:graphicData uri="http://schemas.openxmlformats.org/drawingml/2006/picture">
                <pic:pic>
                  <pic:nvPicPr>
                    <pic:cNvPr descr="indicator%20expansion%20drafts/graphics/medhh.raceGeos.png" id="81" name="Picture"/>
                    <pic:cNvPicPr>
                      <a:picLocks noChangeArrowheads="1" noChangeAspect="1"/>
                    </pic:cNvPicPr>
                  </pic:nvPicPr>
                  <pic:blipFill>
                    <a:blip r:embed="rId79"/>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82"/>
      </w:r>
      <w:r>
        <w:t xml:space="preserve"> </w:t>
      </w:r>
      <w:r>
        <w:t xml:space="preserve">Only 71 percent of households in Orleans Parish and only 76 percent of households in Jefferson Parish are connected to the Internet through a home-based internet service, such as broadband (cable, DSL, or fiber), satellite, or dial-up service, compared to 79 percent nationwide. St. Tammany is above the national average at 84 percent of households connected to the Internet by a home-based service internet connection. Internet access without a subscription refers to households that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13 percent of households in Orleans Parish only have access through a smartphone. This is compared to 11 percent nationwide.</w:t>
      </w:r>
    </w:p>
    <w:p>
      <w:pPr>
        <w:pStyle w:val="BodyText"/>
      </w:pPr>
      <w:r>
        <w:drawing>
          <wp:inline>
            <wp:extent cx="5334000" cy="3809999"/>
            <wp:effectExtent b="0" l="0" r="0" t="0"/>
            <wp:docPr descr="" title="" id="85" name="Picture"/>
            <a:graphic>
              <a:graphicData uri="http://schemas.openxmlformats.org/drawingml/2006/picture">
                <pic:pic>
                  <pic:nvPicPr>
                    <pic:cNvPr descr="uploads/2022/10/inta-1.png" id="86" name="Picture"/>
                    <pic:cNvPicPr>
                      <a:picLocks noChangeArrowheads="1" noChangeAspect="1"/>
                    </pic:cNvPicPr>
                  </pic:nvPicPr>
                  <pic:blipFill>
                    <a:blip r:embed="rId84"/>
                    <a:stretch>
                      <a:fillRect/>
                    </a:stretch>
                  </pic:blipFill>
                  <pic:spPr bwMode="auto">
                    <a:xfrm>
                      <a:off x="0" y="0"/>
                      <a:ext cx="5334000" cy="3809999"/>
                    </a:xfrm>
                    <a:prstGeom prst="rect">
                      <a:avLst/>
                    </a:prstGeom>
                    <a:noFill/>
                    <a:ln w="9525">
                      <a:noFill/>
                      <a:headEnd/>
                      <a:tailEnd/>
                    </a:ln>
                  </pic:spPr>
                </pic:pic>
              </a:graphicData>
            </a:graphic>
          </wp:inline>
        </w:drawing>
      </w:r>
    </w:p>
    <w:bookmarkEnd w:id="87"/>
    <w:bookmarkStart w:id="109" w:name="poverty-and-access-to-vehicles"/>
    <w:p>
      <w:pPr>
        <w:pStyle w:val="Heading2"/>
      </w:pPr>
      <w:r>
        <w:t xml:space="preserve">Poverty and access to vehicles</w:t>
      </w:r>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decreased from 28 to 25 percent between 1999 and 2021 while the Jefferson Parish poverty rate increased from 14 to 17. Across the U.S., the poverty rate has increased by one percentage point between 1999 and 2021.</w:t>
      </w:r>
    </w:p>
    <w:p>
      <w:pPr>
        <w:pStyle w:val="BodyText"/>
      </w:pPr>
      <w:r>
        <w:drawing>
          <wp:inline>
            <wp:extent cx="5334000" cy="3809999"/>
            <wp:effectExtent b="0" l="0" r="0" t="0"/>
            <wp:docPr descr="" title="" id="89" name="Picture"/>
            <a:graphic>
              <a:graphicData uri="http://schemas.openxmlformats.org/drawingml/2006/picture">
                <pic:pic>
                  <pic:nvPicPr>
                    <pic:cNvPr descr="uploads/2022/10/pov-1.png" id="90" name="Picture"/>
                    <pic:cNvPicPr>
                      <a:picLocks noChangeArrowheads="1" noChangeAspect="1"/>
                    </pic:cNvPicPr>
                  </pic:nvPicPr>
                  <pic:blipFill>
                    <a:blip r:embed="rId88"/>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we look at these statistics broken down by race and ethnicity, we see large disparities in the poverty rate at all geographic levels. For example, in metro New Orleans 29 percent of Black people and 19 percent of Hispanic people live in poverty compared to 9 percent of White people and 10 percent of Asian people.</w:t>
      </w:r>
    </w:p>
    <w:p>
      <w:pPr>
        <w:pStyle w:val="BodyText"/>
      </w:pPr>
      <w:r>
        <w:drawing>
          <wp:inline>
            <wp:extent cx="5334000" cy="4000499"/>
            <wp:effectExtent b="0" l="0" r="0" t="0"/>
            <wp:docPr descr="" title="" id="92" name="Picture"/>
            <a:graphic>
              <a:graphicData uri="http://schemas.openxmlformats.org/drawingml/2006/picture">
                <pic:pic>
                  <pic:nvPicPr>
                    <pic:cNvPr descr="indicator%20expansion%20drafts/graphics/pov.hist.png" id="93" name="Picture"/>
                    <pic:cNvPicPr>
                      <a:picLocks noChangeArrowheads="1" noChangeAspect="1"/>
                    </pic:cNvPicPr>
                  </pic:nvPicPr>
                  <pic:blipFill>
                    <a:blip r:embed="rId91"/>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drawing>
          <wp:inline>
            <wp:extent cx="5334000" cy="3200399"/>
            <wp:effectExtent b="0" l="0" r="0" t="0"/>
            <wp:docPr descr="" title="" id="95" name="Picture"/>
            <a:graphic>
              <a:graphicData uri="http://schemas.openxmlformats.org/drawingml/2006/picture">
                <pic:pic>
                  <pic:nvPicPr>
                    <pic:cNvPr descr="indicator%20expansion%20drafts/graphics/pov.raceGeos.png" id="96" name="Picture"/>
                    <pic:cNvPicPr>
                      <a:picLocks noChangeArrowheads="1" noChangeAspect="1"/>
                    </pic:cNvPicPr>
                  </pic:nvPicPr>
                  <pic:blipFill>
                    <a:blip r:embed="rId94"/>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In Jefferson Parish, the child poverty rate at 24 percent in 2021 is higher than the U.S. child poverty rate.</w:t>
      </w:r>
    </w:p>
    <w:p>
      <w:pPr>
        <w:pStyle w:val="BodyText"/>
      </w:pPr>
      <w:r>
        <w:drawing>
          <wp:inline>
            <wp:extent cx="5334000" cy="3606084"/>
            <wp:effectExtent b="0" l="0" r="0" t="0"/>
            <wp:docPr descr="" title="" id="98" name="Picture"/>
            <a:graphic>
              <a:graphicData uri="http://schemas.openxmlformats.org/drawingml/2006/picture">
                <pic:pic>
                  <pic:nvPicPr>
                    <pic:cNvPr descr="uploads/2022/10/childpov-1.png" id="99" name="Picture"/>
                    <pic:cNvPicPr>
                      <a:picLocks noChangeArrowheads="1" noChangeAspect="1"/>
                    </pic:cNvPicPr>
                  </pic:nvPicPr>
                  <pic:blipFill>
                    <a:blip r:embed="rId97"/>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In Orleans Parish, about half of all Black children live in poverty while 5 percent of White children are poor. In New Orleans, child poverty rates peaked in 1989 for Black children and have fallen slightly such that they are now virtually the same as in 1979 with one in two Black children living in poverty in 2021. Hispanic children experienced a similar peak in poverty in 1989 and a subsequent downtrend. The White poverty rate has declined from one in ten children in poverty in 1979 to about one in 50 in 2021.</w:t>
      </w:r>
    </w:p>
    <w:p>
      <w:pPr>
        <w:pStyle w:val="BodyText"/>
      </w:pPr>
      <w:r>
        <w:drawing>
          <wp:inline>
            <wp:extent cx="5334000" cy="3200399"/>
            <wp:effectExtent b="0" l="0" r="0" t="0"/>
            <wp:docPr descr="" title="" id="101" name="Picture"/>
            <a:graphic>
              <a:graphicData uri="http://schemas.openxmlformats.org/drawingml/2006/picture">
                <pic:pic>
                  <pic:nvPicPr>
                    <pic:cNvPr descr="indicator%20expansion%20drafts/graphics/childpov.hist.png" id="102" name="Picture"/>
                    <pic:cNvPicPr>
                      <a:picLocks noChangeArrowheads="1" noChangeAspect="1"/>
                    </pic:cNvPicPr>
                  </pic:nvPicPr>
                  <pic:blipFill>
                    <a:blip r:embed="rId100"/>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Orleans Parish’s very low rate of 5 percent child poverty for White children stands in stark contrast to the 51 percent rate for Black children. While in Orleans, poverty rates for Black children are 10 times higher than for White children, in Jefferson parish Black children experience poverty at a little over 3 times higher rates than White children – which is a disparity on par with the national average. In metro New Orleans, 26 percent of Hispanic children live in poverty – statistically no different from the national rate.</w:t>
      </w:r>
    </w:p>
    <w:p>
      <w:pPr>
        <w:pStyle w:val="BodyText"/>
      </w:pPr>
      <w:r>
        <w:drawing>
          <wp:inline>
            <wp:extent cx="5334000" cy="3200399"/>
            <wp:effectExtent b="0" l="0" r="0" t="0"/>
            <wp:docPr descr="" title="" id="104" name="Picture"/>
            <a:graphic>
              <a:graphicData uri="http://schemas.openxmlformats.org/drawingml/2006/picture">
                <pic:pic>
                  <pic:nvPicPr>
                    <pic:cNvPr descr="indicator%20expansion%20drafts/graphics/childpov.raceGeos.png" id="105" name="Picture"/>
                    <pic:cNvPicPr>
                      <a:picLocks noChangeArrowheads="1" noChangeAspect="1"/>
                    </pic:cNvPicPr>
                  </pic:nvPicPr>
                  <pic:blipFill>
                    <a:blip r:embed="rId103"/>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17 percent in 2021. Nonetheless, at 17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107" name="Picture"/>
            <a:graphic>
              <a:graphicData uri="http://schemas.openxmlformats.org/drawingml/2006/picture">
                <pic:pic>
                  <pic:nvPicPr>
                    <pic:cNvPr descr="uploads/2022/10/veh-1.png" id="108" name="Picture"/>
                    <pic:cNvPicPr>
                      <a:picLocks noChangeArrowheads="1" noChangeAspect="1"/>
                    </pic:cNvPicPr>
                  </pic:nvPicPr>
                  <pic:blipFill>
                    <a:blip r:embed="rId106"/>
                    <a:stretch>
                      <a:fillRect/>
                    </a:stretch>
                  </pic:blipFill>
                  <pic:spPr bwMode="auto">
                    <a:xfrm>
                      <a:off x="0" y="0"/>
                      <a:ext cx="5334000" cy="3809999"/>
                    </a:xfrm>
                    <a:prstGeom prst="rect">
                      <a:avLst/>
                    </a:prstGeom>
                    <a:noFill/>
                    <a:ln w="9525">
                      <a:noFill/>
                      <a:headEnd/>
                      <a:tailEnd/>
                    </a:ln>
                  </pic:spPr>
                </pic:pic>
              </a:graphicData>
            </a:graphic>
          </wp:inline>
        </w:drawing>
      </w:r>
    </w:p>
    <w:bookmarkEnd w:id="109"/>
    <w:bookmarkStart w:id="121"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110"/>
      </w:r>
      <w:r>
        <w:t xml:space="preserve"> </w:t>
      </w:r>
      <w:r>
        <w:t xml:space="preserve">That share of the population has grown in all three of the most populous metro parishes since 2000, led by a 6.1 percentage point gain in Jefferson Parish. By 2021, fully 13.6 percent of Jefferson Parish population was foreign-born, similar to the U.S. share. In Orleans and St. Tammany parishes the foreign-born share of the population increased by 1.4 percentage points between 2000 and 2021.</w:t>
      </w:r>
    </w:p>
    <w:p>
      <w:pPr>
        <w:pStyle w:val="BodyText"/>
      </w:pPr>
      <w:r>
        <w:drawing>
          <wp:inline>
            <wp:extent cx="5334000" cy="3809999"/>
            <wp:effectExtent b="0" l="0" r="0" t="0"/>
            <wp:docPr descr="" title="" id="113" name="Picture"/>
            <a:graphic>
              <a:graphicData uri="http://schemas.openxmlformats.org/drawingml/2006/picture">
                <pic:pic>
                  <pic:nvPicPr>
                    <pic:cNvPr descr="uploads/2022/10/forbor-1.png" id="114" name="Picture"/>
                    <pic:cNvPicPr>
                      <a:picLocks noChangeArrowheads="1" noChangeAspect="1"/>
                    </pic:cNvPicPr>
                  </pic:nvPicPr>
                  <pic:blipFill>
                    <a:blip r:embed="rId11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115"/>
      </w:r>
      <w:r>
        <w:t xml:space="preserve"> </w:t>
      </w:r>
      <w:r>
        <w:t xml:space="preserve">In addition, the young and well-educated are more likely than others to move long distances.</w:t>
      </w:r>
      <w:r>
        <w:rPr>
          <w:rStyle w:val="FootnoteReference"/>
        </w:rPr>
        <w:footnoteReference w:id="117"/>
      </w:r>
      <w:r>
        <w:t xml:space="preserve"> </w:t>
      </w:r>
      <w:r>
        <w:t xml:space="preserve">In 2021, 6 percent of the population in Orleans Parish had moved into the parish in the past year, up from 3 percent in 2004. Over 59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19" name="Picture"/>
            <a:graphic>
              <a:graphicData uri="http://schemas.openxmlformats.org/drawingml/2006/picture">
                <pic:pic>
                  <pic:nvPicPr>
                    <pic:cNvPr descr="uploads/2022/10/mob-1.png" id="120" name="Picture"/>
                    <pic:cNvPicPr>
                      <a:picLocks noChangeArrowheads="1" noChangeAspect="1"/>
                    </pic:cNvPicPr>
                  </pic:nvPicPr>
                  <pic:blipFill>
                    <a:blip r:embed="rId118"/>
                    <a:stretch>
                      <a:fillRect/>
                    </a:stretch>
                  </pic:blipFill>
                  <pic:spPr bwMode="auto">
                    <a:xfrm>
                      <a:off x="0" y="0"/>
                      <a:ext cx="5334000" cy="3200400"/>
                    </a:xfrm>
                    <a:prstGeom prst="rect">
                      <a:avLst/>
                    </a:prstGeom>
                    <a:noFill/>
                    <a:ln w="9525">
                      <a:noFill/>
                      <a:headEnd/>
                      <a:tailEnd/>
                    </a:ln>
                  </pic:spPr>
                </pic:pic>
              </a:graphicData>
            </a:graphic>
          </wp:inline>
        </w:drawing>
      </w:r>
    </w:p>
    <w:bookmarkEnd w:id="121"/>
    <w:bookmarkStart w:id="134" w:name="homeownership"/>
    <w:p>
      <w:pPr>
        <w:pStyle w:val="Heading2"/>
      </w:pPr>
      <w:r>
        <w:t xml:space="preserve">Homeownership</w:t>
      </w:r>
    </w:p>
    <w:p>
      <w:pPr>
        <w:pStyle w:val="FirstParagraph"/>
      </w:pPr>
      <w:r>
        <w:t xml:space="preserve">Homeownership rates across the U.S. have fallen since 2000 from 66 to 65 percent in 2021. Homeownership rates have held steady in St. Tammany around 80 percent since 2000. In contrast, homeownership rates in New Orleans have increased slightly, but still are a much lower 53 percent.</w:t>
      </w:r>
    </w:p>
    <w:p>
      <w:pPr>
        <w:pStyle w:val="BodyText"/>
      </w:pPr>
      <w:r>
        <w:drawing>
          <wp:inline>
            <wp:extent cx="5334000" cy="3809999"/>
            <wp:effectExtent b="0" l="0" r="0" t="0"/>
            <wp:docPr descr="" title="" id="123" name="Picture"/>
            <a:graphic>
              <a:graphicData uri="http://schemas.openxmlformats.org/drawingml/2006/picture">
                <pic:pic>
                  <pic:nvPicPr>
                    <pic:cNvPr descr="uploads/2022/10/ho-1.png" id="124" name="Picture"/>
                    <pic:cNvPicPr>
                      <a:picLocks noChangeArrowheads="1" noChangeAspect="1"/>
                    </pic:cNvPicPr>
                  </pic:nvPicPr>
                  <pic:blipFill>
                    <a:blip r:embed="rId1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Homeownership rates among African Americans in New Orleans made consistent progress between 1970 and 2021, increasing from 27 percent to 46 percent in 2021. Still, the difference in homeownership rates between Black and White people in 2021 was significant, with only 46 percent of African Americans in New Orleans owning homes compared to 59 percent of whites.</w:t>
      </w:r>
    </w:p>
    <w:p>
      <w:pPr>
        <w:pStyle w:val="BodyText"/>
      </w:pPr>
      <w:r>
        <w:drawing>
          <wp:inline>
            <wp:extent cx="5334000" cy="4000499"/>
            <wp:effectExtent b="0" l="0" r="0" t="0"/>
            <wp:docPr descr="" title="" id="126" name="Picture"/>
            <a:graphic>
              <a:graphicData uri="http://schemas.openxmlformats.org/drawingml/2006/picture">
                <pic:pic>
                  <pic:nvPicPr>
                    <pic:cNvPr descr="indicator%20expansion%20drafts/graphics/homeownership.hist.png" id="127" name="Picture"/>
                    <pic:cNvPicPr>
                      <a:picLocks noChangeArrowheads="1" noChangeAspect="1"/>
                    </pic:cNvPicPr>
                  </pic:nvPicPr>
                  <pic:blipFill>
                    <a:blip r:embed="rId12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Metro homeownership rates mirror national rates, with just over 65 percent of all householders owning their homes and White homeownership rates about 27 percentage points higher than rates for Black homeownership. This disparity is smaller in Orleans Parish, where only 63 percent of White householders own their homes. Homeownership in St. Tammany outstrips Orleans, Jefferson, and the metro overall, with 80 percent of all householders owning their home: a rate of 61 percent for Black householders, 84 percent for White, and 73 percent for Hispanic.</w:t>
      </w:r>
    </w:p>
    <w:p>
      <w:pPr>
        <w:pStyle w:val="BodyText"/>
      </w:pPr>
      <w:r>
        <w:drawing>
          <wp:inline>
            <wp:extent cx="5334000" cy="3200399"/>
            <wp:effectExtent b="0" l="0" r="0" t="0"/>
            <wp:docPr descr="" title="" id="129" name="Picture"/>
            <a:graphic>
              <a:graphicData uri="http://schemas.openxmlformats.org/drawingml/2006/picture">
                <pic:pic>
                  <pic:nvPicPr>
                    <pic:cNvPr descr="indicator%20expansion%20drafts/graphics/ho.raceGeos.png" id="130" name="Picture"/>
                    <pic:cNvPicPr>
                      <a:picLocks noChangeArrowheads="1" noChangeAspect="1"/>
                    </pic:cNvPicPr>
                  </pic:nvPicPr>
                  <pic:blipFill>
                    <a:blip r:embed="rId128"/>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43 percent between 2000 and 2021, driven by changes in Orleans and Jefferson. The share of homeowners without a mortgage jumped from 33 to 43 percent in Orleans and from 35 to 45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p>
    <w:p>
      <w:pPr>
        <w:pStyle w:val="BodyText"/>
      </w:pPr>
      <w:r>
        <w:drawing>
          <wp:inline>
            <wp:extent cx="5334000" cy="3809999"/>
            <wp:effectExtent b="0" l="0" r="0" t="0"/>
            <wp:docPr descr="" title="" id="132" name="Picture"/>
            <a:graphic>
              <a:graphicData uri="http://schemas.openxmlformats.org/drawingml/2006/picture">
                <pic:pic>
                  <pic:nvPicPr>
                    <pic:cNvPr descr="uploads/2022/10/honomo-1.png" id="133" name="Picture"/>
                    <pic:cNvPicPr>
                      <a:picLocks noChangeArrowheads="1" noChangeAspect="1"/>
                    </pic:cNvPicPr>
                  </pic:nvPicPr>
                  <pic:blipFill>
                    <a:blip r:embed="rId131"/>
                    <a:stretch>
                      <a:fillRect/>
                    </a:stretch>
                  </pic:blipFill>
                  <pic:spPr bwMode="auto">
                    <a:xfrm>
                      <a:off x="0" y="0"/>
                      <a:ext cx="5334000" cy="3809999"/>
                    </a:xfrm>
                    <a:prstGeom prst="rect">
                      <a:avLst/>
                    </a:prstGeom>
                    <a:noFill/>
                    <a:ln w="9525">
                      <a:noFill/>
                      <a:headEnd/>
                      <a:tailEnd/>
                    </a:ln>
                  </pic:spPr>
                </pic:pic>
              </a:graphicData>
            </a:graphic>
          </wp:inline>
        </w:drawing>
      </w:r>
    </w:p>
    <w:bookmarkEnd w:id="134"/>
    <w:bookmarkStart w:id="160"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35"/>
      </w:r>
      <w:r>
        <w:t xml:space="preserve"> </w:t>
      </w:r>
      <w:r>
        <w:t xml:space="preserve">Severe housing cost burdens of more than 50 percent of household income indicate a serious problem in housing affordability. In 2004, the share of severely cost-burdened renters in New Orleans and the U.S. was 23 percent. In the 17 years since, that share has spiked to 37 percent in Orleans while remaining at 26 percent nationally. In Jefferson Parish, the share of renters paying more than 50 percent of household income on housing and utilities is 29 percent in 2021.</w:t>
      </w:r>
    </w:p>
    <w:p>
      <w:pPr>
        <w:pStyle w:val="BodyText"/>
      </w:pPr>
      <w:r>
        <w:drawing>
          <wp:inline>
            <wp:extent cx="5334000" cy="3809999"/>
            <wp:effectExtent b="0" l="0" r="0" t="0"/>
            <wp:docPr descr="" title="" id="138" name="Picture"/>
            <a:graphic>
              <a:graphicData uri="http://schemas.openxmlformats.org/drawingml/2006/picture">
                <pic:pic>
                  <pic:nvPicPr>
                    <pic:cNvPr descr="uploads/2022/10/rentbur-1.png" id="139" name="Picture"/>
                    <pic:cNvPicPr>
                      <a:picLocks noChangeArrowheads="1" noChangeAspect="1"/>
                    </pic:cNvPicPr>
                  </pic:nvPicPr>
                  <pic:blipFill>
                    <a:blip r:embed="rId13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-1.2 percentage points less in metro area since 2004. There is a clear gap between the rate of housing cost burden for renters vs. homeowners, and that gap has widened.</w:t>
      </w:r>
    </w:p>
    <w:p>
      <w:pPr>
        <w:pStyle w:val="BodyText"/>
      </w:pPr>
      <w:r>
        <w:drawing>
          <wp:inline>
            <wp:extent cx="5334000" cy="3809999"/>
            <wp:effectExtent b="0" l="0" r="0" t="0"/>
            <wp:docPr descr="" title="" id="141" name="Picture"/>
            <a:graphic>
              <a:graphicData uri="http://schemas.openxmlformats.org/drawingml/2006/picture">
                <pic:pic>
                  <pic:nvPicPr>
                    <pic:cNvPr descr="uploads/2022/10/hoburGraphic-1.png" id="142" name="Picture"/>
                    <pic:cNvPicPr>
                      <a:picLocks noChangeArrowheads="1" noChangeAspect="1"/>
                    </pic:cNvPicPr>
                  </pic:nvPicPr>
                  <pic:blipFill>
                    <a:blip r:embed="rId14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$798 to $1,082 in New Orleans, a 36 percent increase after adjusting for inflation. Meanwhile, median gross rents increased 23 percent metrowide compared to 22 percent nationwide.</w:t>
      </w:r>
    </w:p>
    <w:p>
      <w:pPr>
        <w:pStyle w:val="BodyText"/>
      </w:pPr>
      <w:r>
        <w:drawing>
          <wp:inline>
            <wp:extent cx="5334000" cy="3809999"/>
            <wp:effectExtent b="0" l="0" r="0" t="0"/>
            <wp:docPr descr="" title="" id="144" name="Picture"/>
            <a:graphic>
              <a:graphicData uri="http://schemas.openxmlformats.org/drawingml/2006/picture">
                <pic:pic>
                  <pic:nvPicPr>
                    <pic:cNvPr descr="uploads/2022/10/medrent-1.png" id="145" name="Picture"/>
                    <pic:cNvPicPr>
                      <a:picLocks noChangeArrowheads="1" noChangeAspect="1"/>
                    </pic:cNvPicPr>
                  </pic:nvPicPr>
                  <pic:blipFill>
                    <a:blip r:embed="rId14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46"/>
      </w:r>
      <w:r>
        <w:t xml:space="preserve"> </w:t>
      </w:r>
      <w:r>
        <w:t xml:space="preserve">Moreover, research has shown that lead poisoning in children is correlated strongly with residing in pre-1950 homes.</w:t>
      </w:r>
      <w:r>
        <w:rPr>
          <w:rStyle w:val="FootnoteReference"/>
        </w:rPr>
        <w:footnoteReference w:id="148"/>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38 percent of all housing units are in pre-1950 structures. Meanwhile, in Jefferson Parish, 72 percent of the housing stock was built in the 1950s, 1960s, 1970s, and 1980s, and just 20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51" name="Picture"/>
            <a:graphic>
              <a:graphicData uri="http://schemas.openxmlformats.org/drawingml/2006/picture">
                <pic:pic>
                  <pic:nvPicPr>
                    <pic:cNvPr descr="uploads/2022/10/yrbuilt-1.png" id="152" name="Picture"/>
                    <pic:cNvPicPr>
                      <a:picLocks noChangeArrowheads="1" noChangeAspect="1"/>
                    </pic:cNvPicPr>
                  </pic:nvPicPr>
                  <pic:blipFill>
                    <a:blip r:embed="rId150"/>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53"/>
      </w:r>
    </w:p>
    <w:p>
      <w:pPr>
        <w:pStyle w:val="BodyText"/>
      </w:pPr>
      <w:r>
        <w:t xml:space="preserve">The share of commuters in New Orleans using public transportation declined sharply from 13 percent in 2000 to 4 percent in 2021, while the share in Jefferson Parish has fallen from 0 percent in 2000, to 1 percent of commuters using public transportation in 2021. But the share of bike commuters in New Orleans rose to 2 percent. An analysis of 2017 ACS data found that New Orleans had the the fifth highest share of bike commuting of the largest 70 cities nationwide.</w:t>
      </w:r>
      <w:r>
        <w:rPr>
          <w:rStyle w:val="FootnoteReference"/>
        </w:rPr>
        <w:footnoteReference w:id="155"/>
      </w:r>
      <w:r>
        <w:t xml:space="preserve"> </w:t>
      </w:r>
      <w:r>
        <w:t xml:space="preserve">Meanwhile, the metro share of carpoolers fell from 15 percent in 2000 to 9 percent in 2021, as did the Orleans Parish share from 16 percent to 7 percent.</w:t>
      </w:r>
    </w:p>
    <w:p>
      <w:pPr>
        <w:pStyle w:val="BodyText"/>
      </w:pPr>
      <w:r>
        <w:t xml:space="preserve">The percentage of workers who commute by driving alone has increased within the metro region since 2000 from 73 percent to 74 percent, driven by a 60 to 63 percent rise in Orleans Parish. This goes against the national trend, where the share driving alone remained steady between 2000 and 2021 and where public transit use has also remained steady.</w:t>
      </w:r>
    </w:p>
    <w:p>
      <w:pPr>
        <w:pStyle w:val="BodyText"/>
      </w:pPr>
      <w:r>
        <w:drawing>
          <wp:inline>
            <wp:extent cx="5334000" cy="3200400"/>
            <wp:effectExtent b="0" l="0" r="0" t="0"/>
            <wp:docPr descr="" title="" id="158" name="Picture"/>
            <a:graphic>
              <a:graphicData uri="http://schemas.openxmlformats.org/drawingml/2006/picture">
                <pic:pic>
                  <pic:nvPicPr>
                    <pic:cNvPr descr="uploads/2022/10/commute-1.png" id="159" name="Picture"/>
                    <pic:cNvPicPr>
                      <a:picLocks noChangeArrowheads="1" noChangeAspect="1"/>
                    </pic:cNvPicPr>
                  </pic:nvPicPr>
                  <pic:blipFill>
                    <a:blip r:embed="rId157"/>
                    <a:stretch>
                      <a:fillRect/>
                    </a:stretch>
                  </pic:blipFill>
                  <pic:spPr bwMode="auto">
                    <a:xfrm>
                      <a:off x="0" y="0"/>
                      <a:ext cx="5334000" cy="3200400"/>
                    </a:xfrm>
                    <a:prstGeom prst="rect">
                      <a:avLst/>
                    </a:prstGeom>
                    <a:noFill/>
                    <a:ln w="9525">
                      <a:noFill/>
                      <a:headEnd/>
                      <a:tailEnd/>
                    </a:ln>
                  </pic:spPr>
                </pic:pic>
              </a:graphicData>
            </a:graphic>
          </wp:inline>
        </w:drawing>
      </w:r>
    </w:p>
    <w:bookmarkEnd w:id="160"/>
    <w:bookmarkStart w:id="163" w:name="data-sources-methodology"/>
    <w:p>
      <w:pPr>
        <w:pStyle w:val="Heading2"/>
      </w:pPr>
      <w:r>
        <w:t xml:space="preserve">Data Sources / Methodology</w:t>
      </w:r>
    </w:p>
    <w:p>
      <w:pPr>
        <w:pStyle w:val="FirstParagraph"/>
      </w:pPr>
      <w:r>
        <w:t xml:space="preserve">Data on race/ethnicity and age is from the Census Bureau vintage 2021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61">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62">
        <w:r>
          <w:rPr>
            <w:rStyle w:val="Hyperlink"/>
          </w:rPr>
          <w:t xml:space="preserve">http://www.census.gov/prod/cen2000/doc/sf3.pdf</w:t>
        </w:r>
      </w:hyperlink>
      <w:r>
        <w:t xml:space="preserve">.</w:t>
      </w:r>
    </w:p>
    <w:p>
      <w:pPr>
        <w:pStyle w:val="BodyText"/>
      </w:pPr>
      <w:r>
        <w:t xml:space="preserve">Standard errors for Census 2000 and Census 2010 SF1 data are zero.</w:t>
      </w:r>
    </w:p>
    <w:bookmarkEnd w:id="163"/>
    <w:bookmarkStart w:id="164" w:name="endnotes"/>
    <w:p>
      <w:pPr>
        <w:pStyle w:val="Heading2"/>
      </w:pPr>
      <w:r>
        <w:t xml:space="preserve">Endnotes</w:t>
      </w:r>
    </w:p>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4">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5">
        <w:r>
          <w:rPr>
            <w:rStyle w:val="Hyperlink"/>
          </w:rPr>
          <w:t xml:space="preserve">http://www.pewhispanic.org/2012/04/04/when-labels-dont-fit-hispanics-and-their-views-of-identity</w:t>
        </w:r>
      </w:hyperlink>
      <w:r>
        <w:t xml:space="preserve">.</w:t>
      </w:r>
    </w:p>
  </w:footnote>
  <w:footnote w:id="40">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1">
        <w:r>
          <w:rPr>
            <w:rStyle w:val="Hyperlink"/>
          </w:rPr>
          <w:t xml:space="preserve">http://www.datacenterresearch.org/reports_analysis/drivers-of-housing-demand</w:t>
        </w:r>
      </w:hyperlink>
      <w:r>
        <w:t xml:space="preserve">.</w:t>
      </w:r>
    </w:p>
  </w:footnote>
  <w:footnote w:id="58">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59">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0">
        <w:r>
          <w:rPr>
            <w:rStyle w:val="Hyperlink"/>
          </w:rPr>
          <w:t xml:space="preserve">http://www.huduser.org/portal/periodicals/em/winter12/highlight2.html#title</w:t>
        </w:r>
      </w:hyperlink>
      <w:r>
        <w:t xml:space="preserve">.</w:t>
      </w:r>
    </w:p>
  </w:footnote>
  <w:footnote w:id="82">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83">
        <w:r>
          <w:rPr>
            <w:rStyle w:val="Hyperlink"/>
          </w:rPr>
          <w:t xml:space="preserve">http://citeseerx.ist.psu.edu/viewdoc/download?doi=10.1.1.849.6663&amp;rep=rep1&amp;type=pdf</w:t>
        </w:r>
      </w:hyperlink>
      <w:r>
        <w:t xml:space="preserve">.</w:t>
      </w:r>
    </w:p>
  </w:footnote>
  <w:footnote w:id="110">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111">
        <w:r>
          <w:rPr>
            <w:rStyle w:val="Hyperlink"/>
          </w:rPr>
          <w:t xml:space="preserve">https://www.brookings.edu/research/the-geography-of-immigrant-skills-educational-profiles-of-metropolitan-areas/</w:t>
        </w:r>
      </w:hyperlink>
      <w:r>
        <w:t xml:space="preserve">.</w:t>
      </w:r>
    </w:p>
  </w:footnote>
  <w:footnote w:id="115">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116">
        <w:r>
          <w:rPr>
            <w:rStyle w:val="Hyperlink"/>
          </w:rPr>
          <w:t xml:space="preserve">https://www.census.gov/topics/population/migration/data/tables/cps.2012.html</w:t>
        </w:r>
      </w:hyperlink>
      <w:r>
        <w:t xml:space="preserve">.</w:t>
      </w:r>
    </w:p>
  </w:footnote>
  <w:footnote w:id="117">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116">
        <w:r>
          <w:rPr>
            <w:rStyle w:val="Hyperlink"/>
          </w:rPr>
          <w:t xml:space="preserve">https://www.census.gov/topics/population/migration/data/tables/cps.2012.html</w:t>
        </w:r>
      </w:hyperlink>
      <w:r>
        <w:t xml:space="preserve">.</w:t>
      </w:r>
    </w:p>
  </w:footnote>
  <w:footnote w:id="135">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36">
        <w:r>
          <w:rPr>
            <w:rStyle w:val="Hyperlink"/>
          </w:rPr>
          <w:t xml:space="preserve">http://www.datacenterresearch.org/reports_analysis/housing-affordability</w:t>
        </w:r>
      </w:hyperlink>
      <w:r>
        <w:t xml:space="preserve">.</w:t>
      </w:r>
    </w:p>
  </w:footnote>
  <w:footnote w:id="146">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47">
        <w:r>
          <w:rPr>
            <w:rStyle w:val="Hyperlink"/>
          </w:rPr>
          <w:t xml:space="preserve">http://www.jchs.harvard.edu/sites/jchs.harvard.edu/files/harvard_jchs_remodeling_report_2013.pdf</w:t>
        </w:r>
      </w:hyperlink>
      <w:r>
        <w:t xml:space="preserve">.</w:t>
      </w:r>
    </w:p>
  </w:footnote>
  <w:footnote w:id="148">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w:t>
      </w:r>
      <w:r>
        <w:t xml:space="preserve"> </w:t>
      </w:r>
      <w:hyperlink r:id="rId149">
        <w:r>
          <w:rPr>
            <w:rStyle w:val="Hyperlink"/>
          </w:rPr>
          <w:t xml:space="preserve">http://www.ncbi.nlm.nih.gov/pmc/articles/PMC1497528/pdf/12766217.pdf</w:t>
        </w:r>
      </w:hyperlink>
    </w:p>
  </w:footnote>
  <w:footnote w:id="153">
    <w:p>
      <w:pPr>
        <w:pStyle w:val="FootnoteText"/>
      </w:pPr>
      <w:r>
        <w:rPr>
          <w:rStyle w:val="FootnoteReference"/>
        </w:rPr>
        <w:footnoteRef/>
      </w:r>
      <w:r>
        <w:t xml:space="preserve"> </w:t>
      </w:r>
      <w:r>
        <w:t xml:space="preserve">Davis, B., Dutzik, T. (2012). Transportation and the New Generation: Why Young People Are Driving Less and What It Means for Transportation Policy. Retrieved October 10, 2014 from</w:t>
      </w:r>
      <w:r>
        <w:t xml:space="preserve"> </w:t>
      </w:r>
      <w:hyperlink r:id="rId154">
        <w:r>
          <w:rPr>
            <w:rStyle w:val="Hyperlink"/>
          </w:rPr>
          <w:t xml:space="preserve">http://www.uspirg.org/sites/pirg/files/reports/Transportation%20%26%20the%20New%20Generation%20vUS_0.pdf</w:t>
        </w:r>
      </w:hyperlink>
      <w:r>
        <w:t xml:space="preserve">.</w:t>
      </w:r>
    </w:p>
  </w:footnote>
  <w:footnote w:id="155">
    <w:p>
      <w:pPr>
        <w:pStyle w:val="FootnoteText"/>
      </w:pPr>
      <w:r>
        <w:rPr>
          <w:rStyle w:val="FootnoteReference"/>
        </w:rPr>
        <w:footnoteRef/>
      </w:r>
      <w:r>
        <w:t xml:space="preserve"> </w:t>
      </w:r>
      <w:r>
        <w:t xml:space="preserve">The League of American Bicyclists. (2017). Where We Ride: Analysis of Bicycle Commuting in American Cities. Retrieved December 21, 2018 from</w:t>
      </w:r>
      <w:r>
        <w:t xml:space="preserve"> </w:t>
      </w:r>
      <w:hyperlink r:id="rId156">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79" Target="media/rId79.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97" Target="media/rId97.png" /><Relationship Type="http://schemas.openxmlformats.org/officeDocument/2006/relationships/image" Id="rId157" Target="media/rId157.png" /><Relationship Type="http://schemas.openxmlformats.org/officeDocument/2006/relationships/image" Id="rId25" Target="media/rId25.png" /><Relationship Type="http://schemas.openxmlformats.org/officeDocument/2006/relationships/image" Id="rId112" Target="media/rId112.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22" Target="media/rId122.png" /><Relationship Type="http://schemas.openxmlformats.org/officeDocument/2006/relationships/image" Id="rId140" Target="media/rId140.png" /><Relationship Type="http://schemas.openxmlformats.org/officeDocument/2006/relationships/image" Id="rId131" Target="media/rId131.png" /><Relationship Type="http://schemas.openxmlformats.org/officeDocument/2006/relationships/image" Id="rId70" Target="media/rId70.png"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143" Target="media/rId143.png"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88" Target="media/rId88.png" /><Relationship Type="http://schemas.openxmlformats.org/officeDocument/2006/relationships/image" Id="rId137" Target="media/rId137.png" /><Relationship Type="http://schemas.openxmlformats.org/officeDocument/2006/relationships/image" Id="rId51" Target="media/rId51.png" /><Relationship Type="http://schemas.openxmlformats.org/officeDocument/2006/relationships/image" Id="rId106" Target="media/rId106.png" /><Relationship Type="http://schemas.openxmlformats.org/officeDocument/2006/relationships/image" Id="rId150" Target="media/rId150.png" /><Relationship Type="http://schemas.openxmlformats.org/officeDocument/2006/relationships/hyperlink" Id="rId83" Target="http://citeseerx.ist.psu.edu/viewdoc/download?doi=10.1.1.849.6663&amp;rep=rep1&amp;type=pdf" TargetMode="External" /><Relationship Type="http://schemas.openxmlformats.org/officeDocument/2006/relationships/hyperlink" Id="rId162" Target="http://www.census.gov/prod/cen2000/doc/sf3.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36"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47" Target="http://www.jchs.harvard.edu/sites/jchs.harvard.edu/files/harvard_jchs_remodeling_report_2013.pdf" TargetMode="External" /><Relationship Type="http://schemas.openxmlformats.org/officeDocument/2006/relationships/hyperlink" Id="rId149" Target="http://www.ncbi.nlm.nih.gov/pmc/articles/PMC1497528/pdf/12766217.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154" Target="http://www.uspirg.org/sites/pirg/files/reports/Transportation%20%26%20the%20New%20Generation%20vUS_0.pdf" TargetMode="External" /><Relationship Type="http://schemas.openxmlformats.org/officeDocument/2006/relationships/hyperlink" Id="rId156" Target="https://bikeleague.org/sites/default/files/Where_We_Ride_2017_KM_0.pdf" TargetMode="External" /><Relationship Type="http://schemas.openxmlformats.org/officeDocument/2006/relationships/hyperlink" Id="rId111" Target="https://www.brookings.edu/research/the-geography-of-immigrant-skills-educational-profiles-of-metropolitan-areas/" TargetMode="External" /><Relationship Type="http://schemas.openxmlformats.org/officeDocument/2006/relationships/hyperlink" Id="rId161"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16" Target="https://www.census.gov/topics/population/migration/data/tables/cps.2012.html" TargetMode="External" /></Relationships>
</file>

<file path=word/_rels/footnotes.xml.rels><?xml version="1.0" encoding="UTF-8"?><Relationships xmlns="http://schemas.openxmlformats.org/package/2006/relationships"><Relationship Type="http://schemas.openxmlformats.org/officeDocument/2006/relationships/hyperlink" Id="rId83" Target="http://citeseerx.ist.psu.edu/viewdoc/download?doi=10.1.1.849.6663&amp;rep=rep1&amp;type=pdf" TargetMode="External" /><Relationship Type="http://schemas.openxmlformats.org/officeDocument/2006/relationships/hyperlink" Id="rId162" Target="http://www.census.gov/prod/cen2000/doc/sf3.pdf" TargetMode="External" /><Relationship Type="http://schemas.openxmlformats.org/officeDocument/2006/relationships/hyperlink" Id="rId41" Target="http://www.datacenterresearch.org/reports_analysis/drivers-of-housing-demand" TargetMode="External" /><Relationship Type="http://schemas.openxmlformats.org/officeDocument/2006/relationships/hyperlink" Id="rId136" Target="http://www.datacenterresearch.org/reports_analysis/housing-affordability" TargetMode="External" /><Relationship Type="http://schemas.openxmlformats.org/officeDocument/2006/relationships/hyperlink" Id="rId60" Target="http://www.huduser.org/portal/periodicals/em/winter12/highlight2.html#title" TargetMode="External" /><Relationship Type="http://schemas.openxmlformats.org/officeDocument/2006/relationships/hyperlink" Id="rId147" Target="http://www.jchs.harvard.edu/sites/jchs.harvard.edu/files/harvard_jchs_remodeling_report_2013.pdf" TargetMode="External" /><Relationship Type="http://schemas.openxmlformats.org/officeDocument/2006/relationships/hyperlink" Id="rId149" Target="http://www.ncbi.nlm.nih.gov/pmc/articles/PMC1497528/pdf/12766217.pdf" TargetMode="External" /><Relationship Type="http://schemas.openxmlformats.org/officeDocument/2006/relationships/hyperlink" Id="rId35" Target="http://www.pewhispanic.org/2012/04/04/when-labels-dont-fit-hispanics-and-their-views-of-identity" TargetMode="External" /><Relationship Type="http://schemas.openxmlformats.org/officeDocument/2006/relationships/hyperlink" Id="rId154" Target="http://www.uspirg.org/sites/pirg/files/reports/Transportation%20%26%20the%20New%20Generation%20vUS_0.pdf" TargetMode="External" /><Relationship Type="http://schemas.openxmlformats.org/officeDocument/2006/relationships/hyperlink" Id="rId156" Target="https://bikeleague.org/sites/default/files/Where_We_Ride_2017_KM_0.pdf" TargetMode="External" /><Relationship Type="http://schemas.openxmlformats.org/officeDocument/2006/relationships/hyperlink" Id="rId111" Target="https://www.brookings.edu/research/the-geography-of-immigrant-skills-educational-profiles-of-metropolitan-areas/" TargetMode="External" /><Relationship Type="http://schemas.openxmlformats.org/officeDocument/2006/relationships/hyperlink" Id="rId161" Target="https://www.census.gov/content/dam/Census/library/publications/2018/acs/acs_general_handbook_2018.pdf" TargetMode="External" /><Relationship Type="http://schemas.openxmlformats.org/officeDocument/2006/relationships/hyperlink" Id="rId59" Target="https://www.census.gov/library/publications/2011/acs/acs-14.html" TargetMode="External" /><Relationship Type="http://schemas.openxmlformats.org/officeDocument/2006/relationships/hyperlink" Id="rId116"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2022-10-07T14:39:26Z</dcterms:created>
  <dcterms:modified xsi:type="dcterms:W3CDTF">2022-10-07T14:39:26Z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