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D083" w14:textId="77777777" w:rsidR="00FC1729" w:rsidRDefault="00000000">
      <w:pPr>
        <w:pStyle w:val="FirstParagraph"/>
      </w:pPr>
      <w:r>
        <w:t>The U.S. Census Bureau estimates that 1,261,726 residents were living in metro New Orleans as of July 2020, a 6 percent increase from April 2010.</w:t>
      </w:r>
      <w:r>
        <w:rPr>
          <w:rStyle w:val="FootnoteReference"/>
        </w:rPr>
        <w:footnoteReference w:id="1"/>
      </w:r>
      <w:r>
        <w:t xml:space="preserve"> The metro area now has 94 percent of its 2000 population of 1,337,726. In this brief, we examine demographic data released by the U.S. Census Bureau and identify important changes in metro area parishes since 2000 (or the best benchmark available).</w:t>
      </w:r>
    </w:p>
    <w:p w14:paraId="4375E032" w14:textId="77777777" w:rsidR="00FC1729" w:rsidRDefault="00000000">
      <w:pPr>
        <w:pStyle w:val="Heading2"/>
      </w:pPr>
      <w:bookmarkStart w:id="0" w:name="raceethnicity"/>
      <w:r>
        <w:t>Race/Ethnicity</w:t>
      </w:r>
    </w:p>
    <w:p w14:paraId="1C26B742" w14:textId="77777777" w:rsidR="00FC1729" w:rsidRDefault="00000000">
      <w:pPr>
        <w:pStyle w:val="FirstParagraph"/>
      </w:pPr>
      <w:r>
        <w:t>According to the U.S. Census Bureau’s 2020 population estimates, there are now 99,026 fewer African Americans living in New Orleans (Orleans Parish) compared to 2000, but there are also -4,426 fewer whites. Meanwhile, the number of Hispanics grew by 6,661.</w:t>
      </w:r>
      <w:r>
        <w:rPr>
          <w:rStyle w:val="FootnoteReference"/>
        </w:rPr>
        <w:footnoteReference w:id="2"/>
      </w:r>
    </w:p>
    <w:p w14:paraId="14511155" w14:textId="77777777" w:rsidR="00FC1729" w:rsidRDefault="00000000">
      <w:pPr>
        <w:pStyle w:val="BodyText"/>
      </w:pPr>
      <w:r>
        <w:rPr>
          <w:noProof/>
        </w:rPr>
        <w:drawing>
          <wp:inline distT="0" distB="0" distL="0" distR="0" wp14:anchorId="1E55CD09" wp14:editId="5CA79BFF">
            <wp:extent cx="5334000" cy="38099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ploads/2022/10/AAWhiteHispan-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p>
    <w:p w14:paraId="05129FC2" w14:textId="77777777" w:rsidR="00FC1729" w:rsidRDefault="00000000">
      <w:pPr>
        <w:pStyle w:val="BodyText"/>
      </w:pPr>
      <w:r>
        <w:lastRenderedPageBreak/>
        <w:t>In Orleans Parish, the share of the 2020 population that is African American — while lower than in 2000 when it was 67 percent — continues to represent the majority of city residents at 60 percent. The share of Hispanics in the city increased from 3 percent in 2000 to 6 percent in 2020;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14:paraId="36877998" w14:textId="77777777" w:rsidR="00FC1729" w:rsidRDefault="00000000">
      <w:pPr>
        <w:pStyle w:val="BodyText"/>
      </w:pPr>
      <w:r>
        <w:rPr>
          <w:noProof/>
        </w:rPr>
        <w:lastRenderedPageBreak/>
        <w:drawing>
          <wp:inline distT="0" distB="0" distL="0" distR="0" wp14:anchorId="25187BA7" wp14:editId="374C6C5E">
            <wp:extent cx="5334000" cy="8534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ploads/2022/10/demoallparish-1.png"/>
                    <pic:cNvPicPr>
                      <a:picLocks noChangeAspect="1" noChangeArrowheads="1"/>
                    </pic:cNvPicPr>
                  </pic:nvPicPr>
                  <pic:blipFill>
                    <a:blip r:embed="rId8"/>
                    <a:stretch>
                      <a:fillRect/>
                    </a:stretch>
                  </pic:blipFill>
                  <pic:spPr bwMode="auto">
                    <a:xfrm>
                      <a:off x="0" y="0"/>
                      <a:ext cx="5334000" cy="8534400"/>
                    </a:xfrm>
                    <a:prstGeom prst="rect">
                      <a:avLst/>
                    </a:prstGeom>
                    <a:noFill/>
                    <a:ln w="9525">
                      <a:noFill/>
                      <a:headEnd/>
                      <a:tailEnd/>
                    </a:ln>
                  </pic:spPr>
                </pic:pic>
              </a:graphicData>
            </a:graphic>
          </wp:inline>
        </w:drawing>
      </w:r>
    </w:p>
    <w:p w14:paraId="065084D4" w14:textId="77777777" w:rsidR="00FC1729" w:rsidRDefault="00000000">
      <w:pPr>
        <w:pStyle w:val="BodyText"/>
      </w:pPr>
      <w:r>
        <w:lastRenderedPageBreak/>
        <w:t>The number of African Americans living in New Orleans grew every year post-Katrina (from 2006 to 2017) but decreased for the first time post-Katrina from 231,943 in 2017 to 231,360 in 2018 and continued to decrease in 2019.</w:t>
      </w:r>
    </w:p>
    <w:p w14:paraId="5A046CDD" w14:textId="77777777" w:rsidR="00FC1729" w:rsidRDefault="00000000">
      <w:pPr>
        <w:pStyle w:val="BodyText"/>
      </w:pPr>
      <w:r>
        <w:rPr>
          <w:noProof/>
        </w:rPr>
        <w:drawing>
          <wp:inline distT="0" distB="0" distL="0" distR="0" wp14:anchorId="09E61C8E" wp14:editId="5BE23539">
            <wp:extent cx="5334000" cy="3200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ploads/2022/10/AAhistorical-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76D14ECC" w14:textId="77777777" w:rsidR="00FC1729" w:rsidRDefault="00000000">
      <w:pPr>
        <w:pStyle w:val="BodyText"/>
      </w:pPr>
      <w:r>
        <w:t>Between 2000 and 2020,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2020.</w:t>
      </w:r>
    </w:p>
    <w:p w14:paraId="56C8D341" w14:textId="77777777" w:rsidR="00FC1729" w:rsidRDefault="00000000">
      <w:pPr>
        <w:pStyle w:val="BodyText"/>
      </w:pPr>
      <w:r>
        <w:t>As of July 2020,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20 years.</w:t>
      </w:r>
    </w:p>
    <w:p w14:paraId="715D5B39" w14:textId="77777777" w:rsidR="00FC1729" w:rsidRDefault="00000000">
      <w:pPr>
        <w:pStyle w:val="BodyText"/>
      </w:pPr>
      <w:r>
        <w:rPr>
          <w:noProof/>
        </w:rPr>
        <w:lastRenderedPageBreak/>
        <w:drawing>
          <wp:inline distT="0" distB="0" distL="0" distR="0" wp14:anchorId="1020AA0C" wp14:editId="502835C5">
            <wp:extent cx="5334000" cy="4572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uploads/2022/10/hispanpop-1.png"/>
                    <pic:cNvPicPr>
                      <a:picLocks noChangeAspect="1" noChangeArrowheads="1"/>
                    </pic:cNvPicPr>
                  </pic:nvPicPr>
                  <pic:blipFill>
                    <a:blip r:embed="rId10"/>
                    <a:stretch>
                      <a:fillRect/>
                    </a:stretch>
                  </pic:blipFill>
                  <pic:spPr bwMode="auto">
                    <a:xfrm>
                      <a:off x="0" y="0"/>
                      <a:ext cx="5334000" cy="4572000"/>
                    </a:xfrm>
                    <a:prstGeom prst="rect">
                      <a:avLst/>
                    </a:prstGeom>
                    <a:noFill/>
                    <a:ln w="9525">
                      <a:noFill/>
                      <a:headEnd/>
                      <a:tailEnd/>
                    </a:ln>
                  </pic:spPr>
                </pic:pic>
              </a:graphicData>
            </a:graphic>
          </wp:inline>
        </w:drawing>
      </w:r>
    </w:p>
    <w:p w14:paraId="25818827" w14:textId="77777777" w:rsidR="00FC1729" w:rsidRDefault="00000000">
      <w:pPr>
        <w:pStyle w:val="BodyText"/>
      </w:pPr>
      <w:r>
        <w:t>The number of Hispanics in New Orleans metro has grown every year since 2006. Indeed while the overall metro population has grown 6 percent since 2010, the Hispanic population has grown 27 percent such that Hispanics account for 34 percent of the metro’s population growth since 2010.</w:t>
      </w:r>
    </w:p>
    <w:p w14:paraId="7551101D" w14:textId="77777777" w:rsidR="00FC1729" w:rsidRDefault="00000000">
      <w:pPr>
        <w:pStyle w:val="BodyText"/>
      </w:pPr>
      <w:r>
        <w:rPr>
          <w:noProof/>
        </w:rPr>
        <w:lastRenderedPageBreak/>
        <w:drawing>
          <wp:inline distT="0" distB="0" distL="0" distR="0" wp14:anchorId="31A3B53D" wp14:editId="706CA37F">
            <wp:extent cx="5334000" cy="3200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ploads/2022/10/hispanpopyear-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41E42178" w14:textId="77777777" w:rsidR="00FC1729" w:rsidRDefault="00000000">
      <w:pPr>
        <w:pStyle w:val="BodyText"/>
      </w:pPr>
      <w:r>
        <w:t>Hispanic is an umbrella term comprising multiple nationalities and ethnicities. Researchers have shown that most Hispanics prefer to identify by nationality rather than by pan-ethnic terms such as “Hispanic” and “Latino.”</w:t>
      </w:r>
      <w:r>
        <w:rPr>
          <w:rStyle w:val="FootnoteReference"/>
        </w:rPr>
        <w:footnoteReference w:id="3"/>
      </w:r>
      <w:r>
        <w:t xml:space="preserve"> The nationalities of Hispanics residing in metro New Orleans is quite distinct from the national Hispanic profile.</w:t>
      </w:r>
    </w:p>
    <w:p w14:paraId="67E4D906" w14:textId="77777777" w:rsidR="00FC1729" w:rsidRDefault="00000000">
      <w:pPr>
        <w:pStyle w:val="BodyText"/>
      </w:pPr>
      <w:r>
        <w:t>In 2020, the largest Hispanic group in metro New Orleans was Honduran, representing percent of the Hispanic population. In comparison, Hondurans represent only percent of the national Hispanic population. These figures point to metro New Orleans as a hub of Honduran migration.</w:t>
      </w:r>
    </w:p>
    <w:p w14:paraId="5166B29D" w14:textId="77777777" w:rsidR="00FC1729" w:rsidRDefault="00000000">
      <w:pPr>
        <w:pStyle w:val="BodyText"/>
      </w:pPr>
      <w:r>
        <w:t>Not to be ignored, the Mexican population represents percent of the Hispanic population in metro New Orleans. Nevertheless, the Mexican population is much less prominent in the metro than nationally, where it represents percent of the Hispanic population.</w:t>
      </w:r>
    </w:p>
    <w:p w14:paraId="6BDF1F67" w14:textId="77777777" w:rsidR="00FC1729" w:rsidRDefault="00000000">
      <w:pPr>
        <w:pStyle w:val="BodyText"/>
      </w:pPr>
      <w:r>
        <w:rPr>
          <w:noProof/>
        </w:rPr>
        <w:lastRenderedPageBreak/>
        <w:drawing>
          <wp:inline distT="0" distB="0" distL="0" distR="0" wp14:anchorId="12C94423" wp14:editId="4E47B613">
            <wp:extent cx="5334000" cy="3809999"/>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ploads/2022/10/hispan2018-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p>
    <w:p w14:paraId="69C4A19C" w14:textId="77777777" w:rsidR="00FC1729" w:rsidRDefault="00000000">
      <w:pPr>
        <w:pStyle w:val="Heading2"/>
      </w:pPr>
      <w:bookmarkStart w:id="1" w:name="population-by-age-and-household-types"/>
      <w:bookmarkEnd w:id="0"/>
      <w:r>
        <w:t>Population by age and household types</w:t>
      </w:r>
    </w:p>
    <w:p w14:paraId="3778CCCB" w14:textId="77777777" w:rsidR="00FC1729" w:rsidRDefault="00000000">
      <w:pPr>
        <w:pStyle w:val="FirstParagraph"/>
      </w:pPr>
      <w:r>
        <w:t>The progression of the baby boomers through the age groups, along with falling birth rates, have brought massive changes to the metro — and indeed the whole country — with many more changes yet to come.</w:t>
      </w:r>
      <w:r>
        <w:rPr>
          <w:rStyle w:val="FootnoteReference"/>
        </w:rPr>
        <w:footnoteReference w:id="4"/>
      </w:r>
      <w:r>
        <w:t xml:space="preserve"> Looking at the total population in the metro by five-year age groups for 2000 and 2020, the baby boomers are like a demographic tidal wave. Consequently, the median age of the metro has risen to 38.8 in 2020 from 34.8 in 2000.</w:t>
      </w:r>
    </w:p>
    <w:p w14:paraId="30554989" w14:textId="77777777" w:rsidR="00FC1729" w:rsidRDefault="00000000">
      <w:pPr>
        <w:pStyle w:val="BodyText"/>
      </w:pPr>
      <w:r>
        <w:rPr>
          <w:noProof/>
        </w:rPr>
        <w:lastRenderedPageBreak/>
        <w:drawing>
          <wp:inline distT="0" distB="0" distL="0" distR="0" wp14:anchorId="3020DC0F" wp14:editId="77A6E72A">
            <wp:extent cx="5334000" cy="2667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ploads/2022/10/age2000-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52F2D2AD" w14:textId="77777777" w:rsidR="00FC1729" w:rsidRDefault="00000000">
      <w:pPr>
        <w:pStyle w:val="BodyText"/>
      </w:pPr>
      <w:r>
        <w:rPr>
          <w:noProof/>
        </w:rPr>
        <w:drawing>
          <wp:inline distT="0" distB="0" distL="0" distR="0" wp14:anchorId="58FF2D8B" wp14:editId="50830DEE">
            <wp:extent cx="5334000" cy="266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ploads/2022/10/agecurren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488922BF" w14:textId="77777777" w:rsidR="00FC1729" w:rsidRDefault="00000000">
      <w:pPr>
        <w:pStyle w:val="BodyText"/>
      </w:pPr>
      <w:r>
        <w:t>Meanwhile, the share of households with children is shrinking while the share of individuals living alone is growing — both across the metro and nation. As of 2020, percent of households in metro New Orleans included children, down from percent in 2000. Between 2000 and 2020, the percent of St. Tammany households with children declined from percent to percent; the percent of Jefferson households with children declined from percent to percent; and the percent of Orleans households with children declined from percent to percent.</w:t>
      </w:r>
    </w:p>
    <w:p w14:paraId="5006C271" w14:textId="77777777" w:rsidR="00FC1729" w:rsidRDefault="00000000">
      <w:pPr>
        <w:pStyle w:val="BodyText"/>
      </w:pPr>
      <w:r>
        <w:rPr>
          <w:noProof/>
        </w:rPr>
        <w:lastRenderedPageBreak/>
        <w:drawing>
          <wp:inline distT="0" distB="0" distL="0" distR="0" wp14:anchorId="4EBA3488" wp14:editId="587E33C6">
            <wp:extent cx="5334000" cy="380999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ploads/2022/10/hwc-1.png"/>
                    <pic:cNvPicPr>
                      <a:picLocks noChangeAspect="1" noChangeArrowheads="1"/>
                    </pic:cNvPicPr>
                  </pic:nvPicPr>
                  <pic:blipFill>
                    <a:blip r:embed="rId15"/>
                    <a:stretch>
                      <a:fillRect/>
                    </a:stretch>
                  </pic:blipFill>
                  <pic:spPr bwMode="auto">
                    <a:xfrm>
                      <a:off x="0" y="0"/>
                      <a:ext cx="5334000" cy="3809999"/>
                    </a:xfrm>
                    <a:prstGeom prst="rect">
                      <a:avLst/>
                    </a:prstGeom>
                    <a:noFill/>
                    <a:ln w="9525">
                      <a:noFill/>
                      <a:headEnd/>
                      <a:tailEnd/>
                    </a:ln>
                  </pic:spPr>
                </pic:pic>
              </a:graphicData>
            </a:graphic>
          </wp:inline>
        </w:drawing>
      </w:r>
    </w:p>
    <w:p w14:paraId="2E5E46B6" w14:textId="77777777" w:rsidR="00FC1729" w:rsidRDefault="00000000">
      <w:pPr>
        <w:pStyle w:val="BodyText"/>
      </w:pPr>
      <w:r>
        <w:t>As households with children have declined, the share of single-person households has grown in the metro and nationwide. The metro area share of individuals living alone grew from percent in 2000 to percent in 2020 — similar to the trend for Jefferson Parish where the share of households living alone grew from percent to percent. The increase was larger in Orleans Parish, which jumped from to percent.</w:t>
      </w:r>
    </w:p>
    <w:p w14:paraId="71CB8FE7" w14:textId="77777777" w:rsidR="00FC1729" w:rsidRDefault="00000000">
      <w:pPr>
        <w:pStyle w:val="BodyText"/>
      </w:pPr>
      <w:r>
        <w:rPr>
          <w:noProof/>
        </w:rPr>
        <w:lastRenderedPageBreak/>
        <w:drawing>
          <wp:inline distT="0" distB="0" distL="0" distR="0" wp14:anchorId="7C95221F" wp14:editId="004AEE62">
            <wp:extent cx="5334000" cy="380999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ploads/2022/10/sing-1.png"/>
                    <pic:cNvPicPr>
                      <a:picLocks noChangeAspect="1" noChangeArrowheads="1"/>
                    </pic:cNvPicPr>
                  </pic:nvPicPr>
                  <pic:blipFill>
                    <a:blip r:embed="rId16"/>
                    <a:stretch>
                      <a:fillRect/>
                    </a:stretch>
                  </pic:blipFill>
                  <pic:spPr bwMode="auto">
                    <a:xfrm>
                      <a:off x="0" y="0"/>
                      <a:ext cx="5334000" cy="3809999"/>
                    </a:xfrm>
                    <a:prstGeom prst="rect">
                      <a:avLst/>
                    </a:prstGeom>
                    <a:noFill/>
                    <a:ln w="9525">
                      <a:noFill/>
                      <a:headEnd/>
                      <a:tailEnd/>
                    </a:ln>
                  </pic:spPr>
                </pic:pic>
              </a:graphicData>
            </a:graphic>
          </wp:inline>
        </w:drawing>
      </w:r>
    </w:p>
    <w:p w14:paraId="295C7E51" w14:textId="77777777" w:rsidR="00FC1729" w:rsidRDefault="00000000">
      <w:pPr>
        <w:pStyle w:val="BodyText"/>
      </w:pPr>
      <w:r>
        <w:t>While the metro has regained much of the post-Katrina population losses, youth population is substantially lower than pre-Katrina levels. The metro had 358,092 children under 18 years in 2000 and only 279,805 in 2020. Much of this loss was driven by Orleans Parish, where the under 18 population declined to 74,460 from 129,408. The under 18 population is now 22 percent of the metro population, down from 27 percent in 2000.</w:t>
      </w:r>
    </w:p>
    <w:p w14:paraId="5C66A465" w14:textId="77777777" w:rsidR="00FC1729" w:rsidRDefault="00000000">
      <w:pPr>
        <w:pStyle w:val="BodyText"/>
      </w:pPr>
      <w:r>
        <w:rPr>
          <w:noProof/>
        </w:rPr>
        <w:lastRenderedPageBreak/>
        <w:drawing>
          <wp:inline distT="0" distB="0" distL="0" distR="0" wp14:anchorId="55A7E776" wp14:editId="25678D1C">
            <wp:extent cx="5334000" cy="3809999"/>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ploads/2022/10/popunder18-1.png"/>
                    <pic:cNvPicPr>
                      <a:picLocks noChangeAspect="1" noChangeArrowheads="1"/>
                    </pic:cNvPicPr>
                  </pic:nvPicPr>
                  <pic:blipFill>
                    <a:blip r:embed="rId17"/>
                    <a:stretch>
                      <a:fillRect/>
                    </a:stretch>
                  </pic:blipFill>
                  <pic:spPr bwMode="auto">
                    <a:xfrm>
                      <a:off x="0" y="0"/>
                      <a:ext cx="5334000" cy="3809999"/>
                    </a:xfrm>
                    <a:prstGeom prst="rect">
                      <a:avLst/>
                    </a:prstGeom>
                    <a:noFill/>
                    <a:ln w="9525">
                      <a:noFill/>
                      <a:headEnd/>
                      <a:tailEnd/>
                    </a:ln>
                  </pic:spPr>
                </pic:pic>
              </a:graphicData>
            </a:graphic>
          </wp:inline>
        </w:drawing>
      </w:r>
    </w:p>
    <w:p w14:paraId="68BD8EA8" w14:textId="77777777" w:rsidR="00FC1729" w:rsidRDefault="00000000">
      <w:pPr>
        <w:pStyle w:val="Heading2"/>
      </w:pPr>
      <w:bookmarkStart w:id="2" w:name="Xe1c283daf6344050a8e5121731d2de540b05bea"/>
      <w:bookmarkEnd w:id="1"/>
      <w:r>
        <w:t>Educational attainment, income, and internet access</w:t>
      </w:r>
    </w:p>
    <w:p w14:paraId="4B16A650" w14:textId="77777777" w:rsidR="00FC1729" w:rsidRDefault="00000000">
      <w:pPr>
        <w:pStyle w:val="FirstParagraph"/>
      </w:pPr>
      <w:r>
        <w:t>Educational attainment is an important determinant of household incomes, workforce skills, and regional resiliency.</w:t>
      </w:r>
      <w:r>
        <w:rPr>
          <w:rStyle w:val="FootnoteReference"/>
        </w:rPr>
        <w:footnoteReference w:id="5"/>
      </w:r>
      <w:r>
        <w:t xml:space="preserve"> The proportion of adults 25 years and older with less than a high school education declined across all three of the largest parishes, leading to a metrowide decrease from percent in 2000 to percent in 2020. In the city of New Orleans, the share of adults with less than a high school degree fell from percent to percent but is still higher than the U.S. average of percent.</w:t>
      </w:r>
    </w:p>
    <w:p w14:paraId="3EF71864" w14:textId="77777777" w:rsidR="00FC1729" w:rsidRDefault="00000000">
      <w:pPr>
        <w:pStyle w:val="BodyText"/>
      </w:pPr>
      <w:r>
        <w:rPr>
          <w:noProof/>
        </w:rPr>
        <w:lastRenderedPageBreak/>
        <w:drawing>
          <wp:inline distT="0" distB="0" distL="0" distR="0" wp14:anchorId="109D3AF9" wp14:editId="7AEC2717">
            <wp:extent cx="5334000" cy="3809999"/>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uploads/2022/10/bach-1.png"/>
                    <pic:cNvPicPr>
                      <a:picLocks noChangeAspect="1" noChangeArrowheads="1"/>
                    </pic:cNvPicPr>
                  </pic:nvPicPr>
                  <pic:blipFill>
                    <a:blip r:embed="rId18"/>
                    <a:stretch>
                      <a:fillRect/>
                    </a:stretch>
                  </pic:blipFill>
                  <pic:spPr bwMode="auto">
                    <a:xfrm>
                      <a:off x="0" y="0"/>
                      <a:ext cx="5334000" cy="3809999"/>
                    </a:xfrm>
                    <a:prstGeom prst="rect">
                      <a:avLst/>
                    </a:prstGeom>
                    <a:noFill/>
                    <a:ln w="9525">
                      <a:noFill/>
                      <a:headEnd/>
                      <a:tailEnd/>
                    </a:ln>
                  </pic:spPr>
                </pic:pic>
              </a:graphicData>
            </a:graphic>
          </wp:inline>
        </w:drawing>
      </w:r>
    </w:p>
    <w:p w14:paraId="286F7930" w14:textId="77777777" w:rsidR="00FC1729" w:rsidRDefault="00000000">
      <w:pPr>
        <w:pStyle w:val="BodyText"/>
      </w:pPr>
      <w:r>
        <w:t>The share of New Orleans adults who have a bachelor’s degree has grown across racial and ethnic groups since 1980. But while more than 69 percent of white adults in New Orleans have a bachelor’s, only 21 percent of Black adults have a bachelor’s as of 2021. The share of White adults in Orleans Parish who have a bachelor’s degree is substantially higher than the US or metro area overall: 69 percent of White adults in New Orleans have a bachelor’s degree while that number is 44 percent or lower in neighboring parishes and the nation. Like in Orleans, only 20 and 19 percent of Black adults have a bachelor’s degree or higher in Jefferson and St. Tammany, respectively.</w:t>
      </w:r>
    </w:p>
    <w:p w14:paraId="5788FD81" w14:textId="77777777" w:rsidR="00FC1729" w:rsidRDefault="00000000">
      <w:pPr>
        <w:pStyle w:val="BodyText"/>
      </w:pPr>
      <w:r>
        <w:rPr>
          <w:noProof/>
        </w:rPr>
        <w:lastRenderedPageBreak/>
        <w:drawing>
          <wp:inline distT="0" distB="0" distL="0" distR="0" wp14:anchorId="50A485E1" wp14:editId="52B0F190">
            <wp:extent cx="5334000" cy="3809999"/>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ploads/2022/10/bach%20by%20loc-1.png"/>
                    <pic:cNvPicPr>
                      <a:picLocks noChangeAspect="1" noChangeArrowheads="1"/>
                    </pic:cNvPicPr>
                  </pic:nvPicPr>
                  <pic:blipFill>
                    <a:blip r:embed="rId19"/>
                    <a:stretch>
                      <a:fillRect/>
                    </a:stretch>
                  </pic:blipFill>
                  <pic:spPr bwMode="auto">
                    <a:xfrm>
                      <a:off x="0" y="0"/>
                      <a:ext cx="5334000" cy="3809999"/>
                    </a:xfrm>
                    <a:prstGeom prst="rect">
                      <a:avLst/>
                    </a:prstGeom>
                    <a:noFill/>
                    <a:ln w="9525">
                      <a:noFill/>
                      <a:headEnd/>
                      <a:tailEnd/>
                    </a:ln>
                  </pic:spPr>
                </pic:pic>
              </a:graphicData>
            </a:graphic>
          </wp:inline>
        </w:drawing>
      </w:r>
    </w:p>
    <w:p w14:paraId="3D721A40" w14:textId="77777777" w:rsidR="00FC1729" w:rsidRDefault="00000000">
      <w:pPr>
        <w:pStyle w:val="BodyText"/>
      </w:pPr>
      <w:r>
        <w:rPr>
          <w:noProof/>
        </w:rPr>
        <w:drawing>
          <wp:inline distT="0" distB="0" distL="0" distR="0" wp14:anchorId="692FFF92" wp14:editId="716C7135">
            <wp:extent cx="5334000" cy="3809999"/>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uploads/2022/10/bach%20over%20time-1.png"/>
                    <pic:cNvPicPr>
                      <a:picLocks noChangeAspect="1" noChangeArrowheads="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14:paraId="5D65E1AA" w14:textId="77777777" w:rsidR="00FC1729" w:rsidRDefault="00000000">
      <w:pPr>
        <w:pStyle w:val="BodyText"/>
      </w:pPr>
      <w:r>
        <w:t xml:space="preserve">The metro area increase in the share of adults with a bachelor’s degree or higher has been coupled with a decline in the share of adults with less than a high school degree. The </w:t>
      </w:r>
      <w:r>
        <w:lastRenderedPageBreak/>
        <w:t>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w:t>
      </w:r>
    </w:p>
    <w:p w14:paraId="288F1D7C" w14:textId="77777777" w:rsidR="00FC1729" w:rsidRDefault="00000000">
      <w:pPr>
        <w:pStyle w:val="BodyText"/>
      </w:pPr>
      <w:r>
        <w:rPr>
          <w:noProof/>
        </w:rPr>
        <w:drawing>
          <wp:inline distT="0" distB="0" distL="0" distR="0" wp14:anchorId="683FF10B" wp14:editId="780F1752">
            <wp:extent cx="5334000" cy="380999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uploads/2022/10/hs-1.png"/>
                    <pic:cNvPicPr>
                      <a:picLocks noChangeAspect="1" noChangeArrowheads="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14:paraId="156AF903" w14:textId="77777777" w:rsidR="00FC1729" w:rsidRDefault="00000000">
      <w:pPr>
        <w:pStyle w:val="BodyText"/>
      </w:pPr>
      <w:r>
        <w:t>The 2020 median household income of for the metro, for Jefferson Parish, and for the city are significantly lower than the U.S. median of .</w:t>
      </w:r>
    </w:p>
    <w:p w14:paraId="43DFAF32" w14:textId="77777777" w:rsidR="00FC1729" w:rsidRDefault="00000000">
      <w:pPr>
        <w:pStyle w:val="BodyText"/>
      </w:pPr>
      <w:r>
        <w:rPr>
          <w:noProof/>
        </w:rPr>
        <w:lastRenderedPageBreak/>
        <w:drawing>
          <wp:inline distT="0" distB="0" distL="0" distR="0" wp14:anchorId="75FEAD4E" wp14:editId="464B87BD">
            <wp:extent cx="5334000" cy="3809999"/>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uploads/2022/10/medhh-1.png"/>
                    <pic:cNvPicPr>
                      <a:picLocks noChangeAspect="1" noChangeArrowheads="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14:paraId="7750F976" w14:textId="77777777" w:rsidR="00FC1729" w:rsidRDefault="00000000">
      <w:pPr>
        <w:pStyle w:val="BodyText"/>
      </w:pPr>
      <w:r>
        <w:t>In 1979, households with higher incomes were disproportionately in the parishes surrounding New Orleans, while lower income white, Hispanic, and Black households were more likely to live in the city. By 2021, these patterns had changed with higher income white households more often living in the city such that income disparity within the city has escalated. In 2021, Black households in New Orleans had a median income of only $30,292, while Hispanic households were at $60,358 and White households had a median income of $83,727.</w:t>
      </w:r>
    </w:p>
    <w:p w14:paraId="787F1E12" w14:textId="77777777" w:rsidR="00FC1729" w:rsidRDefault="00000000">
      <w:pPr>
        <w:pStyle w:val="BodyText"/>
      </w:pPr>
      <w:r>
        <w:rPr>
          <w:noProof/>
        </w:rPr>
        <w:lastRenderedPageBreak/>
        <w:drawing>
          <wp:inline distT="0" distB="0" distL="0" distR="0" wp14:anchorId="5AA347FB" wp14:editId="450D5EB8">
            <wp:extent cx="5334000" cy="3809999"/>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uploads/2022/10/med%20hh%20over%20time-1.png"/>
                    <pic:cNvPicPr>
                      <a:picLocks noChangeAspect="1" noChangeArrowheads="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14:paraId="3FB1A2A2" w14:textId="77777777" w:rsidR="00FC1729" w:rsidRDefault="00000000">
      <w:pPr>
        <w:pStyle w:val="BodyText"/>
      </w:pPr>
      <w:r>
        <w:t>In New Orleans, Black households earn XX percent less than White households. In St. Tammany, Black households have a median income of $52,849 such that Black households earn 27 percent less than White households. In Jefferson, Black households have a median income of $40,168 which is 37 percent less than White households in that parish. Hispanic households have a median of $58,930 across the metro which is relatively consistent across the 3 large parishes.</w:t>
      </w:r>
    </w:p>
    <w:p w14:paraId="1CB8F1B4" w14:textId="77777777" w:rsidR="00FC1729" w:rsidRDefault="00000000">
      <w:pPr>
        <w:pStyle w:val="BodyText"/>
      </w:pPr>
      <w:r>
        <w:rPr>
          <w:noProof/>
        </w:rPr>
        <w:lastRenderedPageBreak/>
        <w:drawing>
          <wp:inline distT="0" distB="0" distL="0" distR="0" wp14:anchorId="2CF7A052" wp14:editId="32CE3DB6">
            <wp:extent cx="5334000" cy="3809999"/>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uploads/2022/10/med%20hh%20by%20race/eth-1.png"/>
                    <pic:cNvPicPr>
                      <a:picLocks noChangeAspect="1" noChangeArrowheads="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14:paraId="7E1D397D" w14:textId="77777777" w:rsidR="00FC1729" w:rsidRDefault="00000000">
      <w:pPr>
        <w:pStyle w:val="BodyText"/>
      </w:pPr>
      <w:r>
        <w:t>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6"/>
      </w:r>
      <w:r>
        <w:t xml:space="preserve"> Only percent of households in Orleans Parish and only percent of households in Jefferson Parish are connected to the Internet through a home-based internet service, such as broadband (cable, DSL, or fiber), satellite, or dial-up service, compared to percent nationwide. St. Tammany is above the national average at percent of households connected to the Internet by a home-based service internet connection. Internet access without a subscription refers to households who only have access through group access locations such as school, work, a library, or coffee shop.</w:t>
      </w:r>
    </w:p>
    <w:p w14:paraId="42336BF8" w14:textId="77777777" w:rsidR="00FC1729" w:rsidRDefault="00000000">
      <w:pPr>
        <w:pStyle w:val="BodyText"/>
      </w:pPr>
      <w:r>
        <w:t>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percent of households in Orleans Parish only have access through a smartphone. This is compared to percent nationwide.</w:t>
      </w:r>
    </w:p>
    <w:p w14:paraId="49C1D0CD" w14:textId="77777777" w:rsidR="00FC1729" w:rsidRDefault="00000000">
      <w:pPr>
        <w:pStyle w:val="BodyText"/>
      </w:pPr>
      <w:r>
        <w:rPr>
          <w:noProof/>
        </w:rPr>
        <w:lastRenderedPageBreak/>
        <w:drawing>
          <wp:inline distT="0" distB="0" distL="0" distR="0" wp14:anchorId="2D223361" wp14:editId="1419D5ED">
            <wp:extent cx="5334000" cy="3809999"/>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uploads/2022/10/inta-1.png"/>
                    <pic:cNvPicPr>
                      <a:picLocks noChangeAspect="1" noChangeArrowheads="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14:paraId="2B741BCB" w14:textId="77777777" w:rsidR="00FC1729" w:rsidRDefault="00000000">
      <w:pPr>
        <w:pStyle w:val="Heading2"/>
      </w:pPr>
      <w:bookmarkStart w:id="3" w:name="poverty-and-access-to-vehicles"/>
      <w:bookmarkEnd w:id="2"/>
      <w:r>
        <w:t>Poverty and access to vehicles</w:t>
      </w:r>
    </w:p>
    <w:p w14:paraId="205B13FD" w14:textId="77777777" w:rsidR="00FC1729" w:rsidRDefault="00000000">
      <w:pPr>
        <w:pStyle w:val="FirstParagraph"/>
      </w:pPr>
      <w:r>
        <w:t>Individuals living below the poverty level indicate the economy is not providing all residents with the ability to meet their most basic needs, including food, housing, and transportation. The poverty rate in New Orleans decreased from to percent between 1999 and 2020 while the Jefferson Parish poverty rate remained statistically unchanged. Across the U.S., the poverty rate has stayed the same between 1999 and 2020.</w:t>
      </w:r>
    </w:p>
    <w:p w14:paraId="611A9132" w14:textId="77777777" w:rsidR="00FC1729" w:rsidRDefault="00000000">
      <w:pPr>
        <w:pStyle w:val="BodyText"/>
      </w:pPr>
      <w:r>
        <w:rPr>
          <w:noProof/>
        </w:rPr>
        <w:lastRenderedPageBreak/>
        <w:drawing>
          <wp:inline distT="0" distB="0" distL="0" distR="0" wp14:anchorId="3E3095BA" wp14:editId="68ECD5FD">
            <wp:extent cx="5334000" cy="3809999"/>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uploads/2022/10/pov-1.png"/>
                    <pic:cNvPicPr>
                      <a:picLocks noChangeAspect="1" noChangeArrowheads="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14:paraId="53412585" w14:textId="77777777" w:rsidR="00FC1729" w:rsidRDefault="00000000">
      <w:pPr>
        <w:pStyle w:val="BodyText"/>
      </w:pPr>
      <w:r>
        <w:t>As we look at these statistics broken down by race and ethnicity, we see large disparities in the poverty rate at all geographic levels. For example, in metro New Orleans 29 percent of Black people and 19 percent of Hispanic people live in poverty compared to 9 percent of White people and 10 percent of Asian people.</w:t>
      </w:r>
    </w:p>
    <w:p w14:paraId="054950E9" w14:textId="77777777" w:rsidR="00FC1729" w:rsidRDefault="00000000">
      <w:pPr>
        <w:pStyle w:val="BodyText"/>
      </w:pPr>
      <w:r>
        <w:rPr>
          <w:noProof/>
        </w:rPr>
        <w:lastRenderedPageBreak/>
        <w:drawing>
          <wp:inline distT="0" distB="0" distL="0" distR="0" wp14:anchorId="60DA2772" wp14:editId="2C2826C5">
            <wp:extent cx="5334000" cy="3809999"/>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uploads/2022/10/pov%20hist-1.png"/>
                    <pic:cNvPicPr>
                      <a:picLocks noChangeAspect="1" noChangeArrowheads="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14:paraId="68B1BC34" w14:textId="77777777" w:rsidR="00FC1729" w:rsidRDefault="00000000">
      <w:pPr>
        <w:pStyle w:val="BodyText"/>
      </w:pPr>
      <w:r>
        <w:rPr>
          <w:noProof/>
        </w:rPr>
        <w:drawing>
          <wp:inline distT="0" distB="0" distL="0" distR="0" wp14:anchorId="1B640BB1" wp14:editId="68213AA6">
            <wp:extent cx="5334000" cy="3809999"/>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uploads/2022/10/pov%20by%20race/eth-1.png"/>
                    <pic:cNvPicPr>
                      <a:picLocks noChangeAspect="1" noChangeArrowheads="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14:paraId="058E14A0" w14:textId="77777777" w:rsidR="00FC1729" w:rsidRDefault="00000000">
      <w:pPr>
        <w:pStyle w:val="BodyText"/>
      </w:pPr>
      <w:r>
        <w:lastRenderedPageBreak/>
        <w:t>Like the overall poverty rate, the child poverty rate in New Orleans decreased between 1999 and 2020. In Jefferson Parish, the child poverty rate at percent in 2020 is higher than the U.S. child poverty rate.</w:t>
      </w:r>
    </w:p>
    <w:p w14:paraId="36B9E9A9" w14:textId="77777777" w:rsidR="00FC1729" w:rsidRDefault="00000000">
      <w:pPr>
        <w:pStyle w:val="BodyText"/>
      </w:pPr>
      <w:r>
        <w:rPr>
          <w:noProof/>
        </w:rPr>
        <w:drawing>
          <wp:inline distT="0" distB="0" distL="0" distR="0" wp14:anchorId="5DD3D8BB" wp14:editId="232E6363">
            <wp:extent cx="5334000" cy="3606084"/>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uploads/2022/10/childpov-1.png"/>
                    <pic:cNvPicPr>
                      <a:picLocks noChangeAspect="1" noChangeArrowheads="1"/>
                    </pic:cNvPicPr>
                  </pic:nvPicPr>
                  <pic:blipFill>
                    <a:blip r:embed="rId29"/>
                    <a:stretch>
                      <a:fillRect/>
                    </a:stretch>
                  </pic:blipFill>
                  <pic:spPr bwMode="auto">
                    <a:xfrm>
                      <a:off x="0" y="0"/>
                      <a:ext cx="5334000" cy="3606084"/>
                    </a:xfrm>
                    <a:prstGeom prst="rect">
                      <a:avLst/>
                    </a:prstGeom>
                    <a:noFill/>
                    <a:ln w="9525">
                      <a:noFill/>
                      <a:headEnd/>
                      <a:tailEnd/>
                    </a:ln>
                  </pic:spPr>
                </pic:pic>
              </a:graphicData>
            </a:graphic>
          </wp:inline>
        </w:drawing>
      </w:r>
    </w:p>
    <w:p w14:paraId="1545C054" w14:textId="77777777" w:rsidR="00FC1729" w:rsidRDefault="00000000">
      <w:pPr>
        <w:pStyle w:val="BodyText"/>
      </w:pPr>
      <w:r>
        <w:t>In Orleans Parish, about half of all Black children live in poverty while 5 percent of White children are poor. In New Orleans, child poverty rates peaked in 1989 for Black children and have fallen slightly such that they are now virtually the same as in 1979 with one in two Black children living in poverty in 2021. Hispanic children experienced a similar peak in poverty in 1989 and a subsequent downtrend. The White poverty rate has generally declined from one in ten children in poverty in 1979 to about one in 50 in 2021.</w:t>
      </w:r>
    </w:p>
    <w:p w14:paraId="2FF01861" w14:textId="77777777" w:rsidR="00FC1729" w:rsidRDefault="00000000">
      <w:pPr>
        <w:pStyle w:val="BodyText"/>
      </w:pPr>
      <w:r>
        <w:rPr>
          <w:noProof/>
        </w:rPr>
        <w:lastRenderedPageBreak/>
        <w:drawing>
          <wp:inline distT="0" distB="0" distL="0" distR="0" wp14:anchorId="45A7A48E" wp14:editId="4B60C263">
            <wp:extent cx="5334000" cy="3606084"/>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uploads/2022/10/child%20pov%20hist-1.png"/>
                    <pic:cNvPicPr>
                      <a:picLocks noChangeAspect="1" noChangeArrowheads="1"/>
                    </pic:cNvPicPr>
                  </pic:nvPicPr>
                  <pic:blipFill>
                    <a:blip r:embed="rId30"/>
                    <a:stretch>
                      <a:fillRect/>
                    </a:stretch>
                  </pic:blipFill>
                  <pic:spPr bwMode="auto">
                    <a:xfrm>
                      <a:off x="0" y="0"/>
                      <a:ext cx="5334000" cy="3606084"/>
                    </a:xfrm>
                    <a:prstGeom prst="rect">
                      <a:avLst/>
                    </a:prstGeom>
                    <a:noFill/>
                    <a:ln w="9525">
                      <a:noFill/>
                      <a:headEnd/>
                      <a:tailEnd/>
                    </a:ln>
                  </pic:spPr>
                </pic:pic>
              </a:graphicData>
            </a:graphic>
          </wp:inline>
        </w:drawing>
      </w:r>
    </w:p>
    <w:p w14:paraId="28E40E1E" w14:textId="77777777" w:rsidR="00FC1729" w:rsidRDefault="00000000">
      <w:pPr>
        <w:pStyle w:val="BodyText"/>
      </w:pPr>
      <w:r>
        <w:t>Orleans Parish’s very low rate of 5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26 percent of Hispanic children live in poverty – statistically no different from the national rate.</w:t>
      </w:r>
    </w:p>
    <w:p w14:paraId="4FFE564F" w14:textId="77777777" w:rsidR="00FC1729" w:rsidRDefault="00000000">
      <w:pPr>
        <w:pStyle w:val="BodyText"/>
      </w:pPr>
      <w:r>
        <w:rPr>
          <w:noProof/>
        </w:rPr>
        <w:lastRenderedPageBreak/>
        <w:drawing>
          <wp:inline distT="0" distB="0" distL="0" distR="0" wp14:anchorId="5A0E31E5" wp14:editId="6D9D078A">
            <wp:extent cx="5334000" cy="3606084"/>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uploads/2022/10/child%20pov%20race/eth-1.png"/>
                    <pic:cNvPicPr>
                      <a:picLocks noChangeAspect="1" noChangeArrowheads="1"/>
                    </pic:cNvPicPr>
                  </pic:nvPicPr>
                  <pic:blipFill>
                    <a:blip r:embed="rId31"/>
                    <a:stretch>
                      <a:fillRect/>
                    </a:stretch>
                  </pic:blipFill>
                  <pic:spPr bwMode="auto">
                    <a:xfrm>
                      <a:off x="0" y="0"/>
                      <a:ext cx="5334000" cy="3606084"/>
                    </a:xfrm>
                    <a:prstGeom prst="rect">
                      <a:avLst/>
                    </a:prstGeom>
                    <a:noFill/>
                    <a:ln w="9525">
                      <a:noFill/>
                      <a:headEnd/>
                      <a:tailEnd/>
                    </a:ln>
                  </pic:spPr>
                </pic:pic>
              </a:graphicData>
            </a:graphic>
          </wp:inline>
        </w:drawing>
      </w:r>
    </w:p>
    <w:p w14:paraId="6B42047D" w14:textId="77777777" w:rsidR="00FC1729" w:rsidRDefault="00000000">
      <w:pPr>
        <w:pStyle w:val="BodyText"/>
      </w:pPr>
      <w:r>
        <w:t>Post-Katrina, the share of New Orleans households without access to a vehicle dropped from percent in 2000 to percent in 2020. Nonetheless, at percent, New Orleans’ share is more than twice as high as in neighboring parishes, indicating the importance of a robust public transportation system and comprehensive evacuation plan.</w:t>
      </w:r>
    </w:p>
    <w:p w14:paraId="5EB32FE9" w14:textId="77777777" w:rsidR="00FC1729" w:rsidRDefault="00000000">
      <w:pPr>
        <w:pStyle w:val="BodyText"/>
      </w:pPr>
      <w:r>
        <w:rPr>
          <w:noProof/>
        </w:rPr>
        <w:lastRenderedPageBreak/>
        <w:drawing>
          <wp:inline distT="0" distB="0" distL="0" distR="0" wp14:anchorId="3C3721CF" wp14:editId="2A18D299">
            <wp:extent cx="5334000" cy="3809999"/>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uploads/2022/10/veh-1.png"/>
                    <pic:cNvPicPr>
                      <a:picLocks noChangeAspect="1" noChangeArrowheads="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14:paraId="1B41EB44" w14:textId="77777777" w:rsidR="00FC1729" w:rsidRDefault="00000000">
      <w:pPr>
        <w:pStyle w:val="Heading2"/>
      </w:pPr>
      <w:bookmarkStart w:id="4" w:name="X7187bcff5d72451bb72cd123b124e890c5e399f"/>
      <w:bookmarkEnd w:id="3"/>
      <w:r>
        <w:t>Foreign-born population and geographic mobility</w:t>
      </w:r>
    </w:p>
    <w:p w14:paraId="4AEB5F94" w14:textId="77777777" w:rsidR="00FC1729" w:rsidRDefault="00000000">
      <w:pPr>
        <w:pStyle w:val="FirstParagraph"/>
      </w:pPr>
      <w:r>
        <w:t>A rising foreign-born share of the population may reflect expanding economic opportunities for both high-skilled and low-skilled workers.</w:t>
      </w:r>
      <w:r>
        <w:rPr>
          <w:rStyle w:val="FootnoteReference"/>
        </w:rPr>
        <w:footnoteReference w:id="7"/>
      </w:r>
      <w:r>
        <w:t xml:space="preserve"> That share of the population has grown in all three of the most populous metro parishes since 2000, led by a percentage point gain in Jefferson Parish. By 2020, fully percent of Jefferson Parish population was foreign-born, similar to the U.S. share. In Orleans and in St. Tammany parishes the foreign-born share of the population increased by percentage points between 2000 and 2020.</w:t>
      </w:r>
    </w:p>
    <w:p w14:paraId="42BE7C5E" w14:textId="77777777" w:rsidR="00FC1729" w:rsidRDefault="00000000">
      <w:pPr>
        <w:pStyle w:val="BodyText"/>
      </w:pPr>
      <w:r>
        <w:rPr>
          <w:noProof/>
        </w:rPr>
        <w:lastRenderedPageBreak/>
        <w:drawing>
          <wp:inline distT="0" distB="0" distL="0" distR="0" wp14:anchorId="15540D9A" wp14:editId="549A9480">
            <wp:extent cx="5334000" cy="3809999"/>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uploads/2022/10/forbor-1.png"/>
                    <pic:cNvPicPr>
                      <a:picLocks noChangeAspect="1" noChangeArrowheads="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14:paraId="20B6068E" w14:textId="77777777" w:rsidR="00FC1729" w:rsidRDefault="00000000">
      <w:pPr>
        <w:pStyle w:val="BodyText"/>
      </w:pPr>
      <w:r>
        <w:t>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8"/>
      </w:r>
      <w:r>
        <w:t xml:space="preserve"> In addition, the young and well-educated are more likely than others to move long distances.</w:t>
      </w:r>
      <w:r>
        <w:rPr>
          <w:rStyle w:val="FootnoteReference"/>
        </w:rPr>
        <w:footnoteReference w:id="9"/>
      </w:r>
      <w:r>
        <w:t xml:space="preserve"> In 2020, percent of the population in Orleans Parish had moved into </w:t>
      </w:r>
      <w:r>
        <w:lastRenderedPageBreak/>
        <w:t>the parish in the past year, up from percent in 2004. Over percent of the new movers into Orleans Parish came from outside the state of Louisiana. In Jefferson Parish, the share of the population who were new movers into the parish was percent in 2004, and has not significantly changed.</w:t>
      </w:r>
    </w:p>
    <w:p w14:paraId="0226385A" w14:textId="77777777" w:rsidR="00FC1729" w:rsidRDefault="00000000">
      <w:pPr>
        <w:pStyle w:val="BodyText"/>
      </w:pPr>
      <w:r>
        <w:rPr>
          <w:noProof/>
        </w:rPr>
        <w:drawing>
          <wp:inline distT="0" distB="0" distL="0" distR="0" wp14:anchorId="493FDE3F" wp14:editId="323DF85F">
            <wp:extent cx="5334000" cy="32004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uploads/2022/10/mob-1.png"/>
                    <pic:cNvPicPr>
                      <a:picLocks noChangeAspect="1" noChangeArrowheads="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14:paraId="0F4C821B" w14:textId="77777777" w:rsidR="00FC1729" w:rsidRDefault="00000000">
      <w:pPr>
        <w:pStyle w:val="Heading2"/>
      </w:pPr>
      <w:bookmarkStart w:id="5" w:name="homeownership"/>
      <w:bookmarkEnd w:id="4"/>
      <w:r>
        <w:t>Homeownership</w:t>
      </w:r>
    </w:p>
    <w:p w14:paraId="0527FC23" w14:textId="77777777" w:rsidR="00FC1729" w:rsidRDefault="00000000">
      <w:pPr>
        <w:pStyle w:val="FirstParagraph"/>
      </w:pPr>
      <w:r>
        <w:t>Homeownership rates across the U.S. have fallen since 2000 from to percent in 2020. Homeownership rates have held steady in St. Tammany around percent since 2000. In contrast, homeownership rates in New Orleans have increased slightly, but still are a much lower percent.</w:t>
      </w:r>
    </w:p>
    <w:p w14:paraId="6A008947" w14:textId="77777777" w:rsidR="00FC1729" w:rsidRDefault="00000000">
      <w:pPr>
        <w:pStyle w:val="BodyText"/>
      </w:pPr>
      <w:r>
        <w:rPr>
          <w:noProof/>
        </w:rPr>
        <w:lastRenderedPageBreak/>
        <w:drawing>
          <wp:inline distT="0" distB="0" distL="0" distR="0" wp14:anchorId="0E6E140E" wp14:editId="300411C3">
            <wp:extent cx="5334000" cy="3809999"/>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uploads/2022/10/ho-1.png"/>
                    <pic:cNvPicPr>
                      <a:picLocks noChangeAspect="1" noChangeArrowheads="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14:paraId="319F5C55" w14:textId="77777777" w:rsidR="00FC1729" w:rsidRDefault="00000000">
      <w:pPr>
        <w:pStyle w:val="BodyText"/>
      </w:pPr>
      <w:r>
        <w:t>Homeownership rates among African Americans in New Orleans made consistent progress between 1970 and 2010, increasing from 27 percent to 45 percent, but fell to 43 percent in 2021. Still, the difference in homeownership rates between Black and White people in 2021 was significant, with only 43 percent of African Americans in New Orleans owning homes compared to 59 percent of whites.</w:t>
      </w:r>
    </w:p>
    <w:p w14:paraId="49A6062A" w14:textId="77777777" w:rsidR="00FC1729" w:rsidRDefault="00000000">
      <w:pPr>
        <w:pStyle w:val="BodyText"/>
      </w:pPr>
      <w:r>
        <w:rPr>
          <w:noProof/>
        </w:rPr>
        <w:lastRenderedPageBreak/>
        <w:drawing>
          <wp:inline distT="0" distB="0" distL="0" distR="0" wp14:anchorId="272A33EB" wp14:editId="19167C31">
            <wp:extent cx="5334000" cy="3809999"/>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uploads/2022/10/honomo%20hist-1.png"/>
                    <pic:cNvPicPr>
                      <a:picLocks noChangeAspect="1" noChangeArrowheads="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p w14:paraId="01475892" w14:textId="77777777" w:rsidR="00FC1729" w:rsidRDefault="00000000">
      <w:pPr>
        <w:pStyle w:val="BodyText"/>
      </w:pPr>
      <w:r>
        <w:t>Metro homeownership rates mirror national rates, with just over 60 percent of all householders owning their homes and White homeownership rates about 25 percentage points higher than rates for Black homeownership. This disparity is smaller in Orleans Parish, where only 59 percent of White householders own their homes. Homeownership in St. Tammany outstrips Orleans, Jefferson, and the metro overall, with 79 percent of all householders owning their home: a rate of 66 percent for Black householders, 81 percent for White, and 73 percent for Hispanic.</w:t>
      </w:r>
    </w:p>
    <w:p w14:paraId="291D8E51" w14:textId="77777777" w:rsidR="00FC1729" w:rsidRDefault="00000000">
      <w:pPr>
        <w:pStyle w:val="BodyText"/>
      </w:pPr>
      <w:r>
        <w:rPr>
          <w:noProof/>
        </w:rPr>
        <w:lastRenderedPageBreak/>
        <w:drawing>
          <wp:inline distT="0" distB="0" distL="0" distR="0" wp14:anchorId="0EA711A9" wp14:editId="3A5D3A2A">
            <wp:extent cx="5334000" cy="3809999"/>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uploads/2022/10/honomo%20race/eth-1.png"/>
                    <pic:cNvPicPr>
                      <a:picLocks noChangeAspect="1" noChangeArrowheads="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14:paraId="6DE97285" w14:textId="77777777" w:rsidR="00FC1729" w:rsidRDefault="00000000">
      <w:pPr>
        <w:pStyle w:val="BodyText"/>
      </w:pPr>
      <w:r>
        <w:t>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p>
    <w:p w14:paraId="2FDB4D65" w14:textId="77777777" w:rsidR="00FC1729" w:rsidRDefault="00000000">
      <w:pPr>
        <w:pStyle w:val="BodyText"/>
      </w:pPr>
      <w:r>
        <w:rPr>
          <w:noProof/>
        </w:rPr>
        <w:lastRenderedPageBreak/>
        <w:drawing>
          <wp:inline distT="0" distB="0" distL="0" distR="0" wp14:anchorId="258D38D2" wp14:editId="35C9A8C8">
            <wp:extent cx="5334000" cy="3809999"/>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uploads/2022/10/honomo-1.png"/>
                    <pic:cNvPicPr>
                      <a:picLocks noChangeAspect="1" noChangeArrowheads="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14:paraId="0B34DB4F" w14:textId="77777777" w:rsidR="00FC1729" w:rsidRDefault="00000000">
      <w:pPr>
        <w:pStyle w:val="Heading2"/>
      </w:pPr>
      <w:bookmarkStart w:id="6" w:name="X69b755cb956f42ab3887b20d5b9e3ff8373766b"/>
      <w:bookmarkEnd w:id="5"/>
      <w:r>
        <w:t>Housing costs and affordability, housing stock, and commuting</w:t>
      </w:r>
    </w:p>
    <w:p w14:paraId="05CE2159" w14:textId="77777777" w:rsidR="00FC1729" w:rsidRDefault="00000000">
      <w:pPr>
        <w:pStyle w:val="FirstParagraph"/>
      </w:pPr>
      <w:r>
        <w:t>High housing costs can limit a region’s ability to attract and retain the workforce essential for a healthy economy.</w:t>
      </w:r>
      <w:r>
        <w:rPr>
          <w:rStyle w:val="FootnoteReference"/>
        </w:rPr>
        <w:footnoteReference w:id="10"/>
      </w:r>
      <w:r>
        <w:t xml:space="preserve"> Severe housing cost burdens of more than 50 percent of household income indicate a serious problem in housing affordability. In 2004, the share of severely cost-burdened renters in New Orleans and the U.S. was percent. In the 16 years since, that share has spiked to percent in Orleans while remaining at percent nationally. In Jefferson Parish, the share of renters paying more than 50 percent of household income on housing and utilities is percent in 2020.</w:t>
      </w:r>
    </w:p>
    <w:p w14:paraId="4FE1F6EC" w14:textId="77777777" w:rsidR="00FC1729" w:rsidRDefault="00000000">
      <w:pPr>
        <w:pStyle w:val="BodyText"/>
      </w:pPr>
      <w:r>
        <w:rPr>
          <w:noProof/>
        </w:rPr>
        <w:lastRenderedPageBreak/>
        <w:drawing>
          <wp:inline distT="0" distB="0" distL="0" distR="0" wp14:anchorId="145CC7FE" wp14:editId="46710BC1">
            <wp:extent cx="5334000" cy="3809999"/>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uploads/2022/10/rentbur-1.png"/>
                    <pic:cNvPicPr>
                      <a:picLocks noChangeAspect="1" noChangeArrowheads="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14:paraId="2ACAA04A" w14:textId="77777777" w:rsidR="00FC1729" w:rsidRDefault="00000000">
      <w:pPr>
        <w:pStyle w:val="BodyText"/>
      </w:pPr>
      <w:r>
        <w:t>The share of homeowners paying more than 50 percent of household income on their mortgage, taxes, utilities, and insurance is percentage points less in metro area since 2004. There is a clear gap between the rate of housing cost burden for renters vs. homeowners, and that gap has widened.</w:t>
      </w:r>
    </w:p>
    <w:p w14:paraId="3A740795" w14:textId="77777777" w:rsidR="00FC1729" w:rsidRDefault="00000000">
      <w:pPr>
        <w:pStyle w:val="BodyText"/>
      </w:pPr>
      <w:r>
        <w:rPr>
          <w:noProof/>
        </w:rPr>
        <w:lastRenderedPageBreak/>
        <w:drawing>
          <wp:inline distT="0" distB="0" distL="0" distR="0" wp14:anchorId="79DCB297" wp14:editId="22BC5600">
            <wp:extent cx="5334000" cy="3809999"/>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uploads/2022/10/hoburGraphic-1.png"/>
                    <pic:cNvPicPr>
                      <a:picLocks noChangeAspect="1" noChangeArrowheads="1"/>
                    </pic:cNvPicPr>
                  </pic:nvPicPr>
                  <pic:blipFill>
                    <a:blip r:embed="rId40"/>
                    <a:stretch>
                      <a:fillRect/>
                    </a:stretch>
                  </pic:blipFill>
                  <pic:spPr bwMode="auto">
                    <a:xfrm>
                      <a:off x="0" y="0"/>
                      <a:ext cx="5334000" cy="3809999"/>
                    </a:xfrm>
                    <a:prstGeom prst="rect">
                      <a:avLst/>
                    </a:prstGeom>
                    <a:noFill/>
                    <a:ln w="9525">
                      <a:noFill/>
                      <a:headEnd/>
                      <a:tailEnd/>
                    </a:ln>
                  </pic:spPr>
                </pic:pic>
              </a:graphicData>
            </a:graphic>
          </wp:inline>
        </w:drawing>
      </w:r>
    </w:p>
    <w:p w14:paraId="1053AAA9" w14:textId="77777777" w:rsidR="00FC1729" w:rsidRDefault="00000000">
      <w:pPr>
        <w:pStyle w:val="BodyText"/>
      </w:pPr>
      <w:r>
        <w:t>The surge in the share of severely cost-burdened renters in New Orleans is reflective of the surge in the median gross rent (rent plus utilities) in the city. From 2004 to 2020, monthly rent plus utilities rose from to in New Orleans, a percent increase after adjusting for inflation. Meanwhile, median gross rents increased percent metrowide compared to percent nationwide.</w:t>
      </w:r>
    </w:p>
    <w:p w14:paraId="74C6CC77" w14:textId="77777777" w:rsidR="00FC1729" w:rsidRDefault="00000000">
      <w:pPr>
        <w:pStyle w:val="BodyText"/>
      </w:pPr>
      <w:r>
        <w:rPr>
          <w:noProof/>
        </w:rPr>
        <w:lastRenderedPageBreak/>
        <w:drawing>
          <wp:inline distT="0" distB="0" distL="0" distR="0" wp14:anchorId="2E3BFD51" wp14:editId="4E71D28F">
            <wp:extent cx="5334000" cy="3809999"/>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uploads/2022/10/medrent-1.png"/>
                    <pic:cNvPicPr>
                      <a:picLocks noChangeAspect="1" noChangeArrowheads="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14:paraId="099EDE7B" w14:textId="77777777" w:rsidR="00FC1729" w:rsidRDefault="00000000">
      <w:pPr>
        <w:pStyle w:val="BodyText"/>
      </w:pPr>
      <w:r>
        <w:t>America’s aging housing stock represents both a potential problem and an opportunity. Older homes are less energy-efficient and more expensive to maintain.</w:t>
      </w:r>
      <w:r>
        <w:rPr>
          <w:rStyle w:val="FootnoteReference"/>
        </w:rPr>
        <w:footnoteReference w:id="11"/>
      </w:r>
      <w:r>
        <w:t xml:space="preserve"> Moreover, research has shown that lead poisoning in children is correlated strongly with residing in pre-1950 homes.</w:t>
      </w:r>
      <w:r>
        <w:rPr>
          <w:rStyle w:val="FootnoteReference"/>
        </w:rPr>
        <w:footnoteReference w:id="12"/>
      </w:r>
      <w:r>
        <w:t xml:space="preserve"> Conversely, in New Orleans, many older homes are protected by preservation laws that have helped retain the historic character of the city.</w:t>
      </w:r>
    </w:p>
    <w:p w14:paraId="2EC9C1DE" w14:textId="77777777" w:rsidR="00FC1729" w:rsidRDefault="00000000">
      <w:pPr>
        <w:pStyle w:val="BodyText"/>
      </w:pPr>
      <w:r>
        <w:t>In Orleans Parish, fully percent of all housing units are in pre-1950 structures. Meanwhile, in Jefferson Parish, percent of the housing stock was built in the 1950s, 1960s, 1970s, and 1980s, and just percent of housing stock has been built since 1990. In contrast, in St. Tammany, the majority of housing units are in structures that have been built since 1990.</w:t>
      </w:r>
    </w:p>
    <w:p w14:paraId="0D1F296F" w14:textId="77777777" w:rsidR="00FC1729" w:rsidRDefault="00000000">
      <w:pPr>
        <w:pStyle w:val="BodyText"/>
      </w:pPr>
      <w:r>
        <w:rPr>
          <w:noProof/>
        </w:rPr>
        <w:lastRenderedPageBreak/>
        <w:drawing>
          <wp:inline distT="0" distB="0" distL="0" distR="0" wp14:anchorId="7FA79262" wp14:editId="5AA7C305">
            <wp:extent cx="5334000" cy="44450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uploads/2022/10/yrbuilt-1.png"/>
                    <pic:cNvPicPr>
                      <a:picLocks noChangeAspect="1" noChangeArrowheads="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p>
    <w:p w14:paraId="7F853B3F" w14:textId="77777777" w:rsidR="00FC1729" w:rsidRDefault="00000000">
      <w:pPr>
        <w:pStyle w:val="BodyText"/>
      </w:pPr>
      <w:r>
        <w:t>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3"/>
      </w:r>
    </w:p>
    <w:p w14:paraId="353EDB5F" w14:textId="77777777" w:rsidR="00FC1729" w:rsidRDefault="00000000">
      <w:pPr>
        <w:pStyle w:val="BodyText"/>
      </w:pPr>
      <w:r>
        <w:t xml:space="preserve">The share of commuters in New Orleans using public transportation declined sharply from percent in 2000 to percent in 2020, while the share in Jefferson Parish has fallen from percent in 2000, to percent of commuters using public transportation in 2020. But the share of bike commuters in New Orleans rose to percent. An analysis of 2017 ACS data found that New Orleans had the the fifth highest share of bike commuting of the largest 70 </w:t>
      </w:r>
      <w:r>
        <w:lastRenderedPageBreak/>
        <w:t>cities nationwide.</w:t>
      </w:r>
      <w:r>
        <w:rPr>
          <w:rStyle w:val="FootnoteReference"/>
        </w:rPr>
        <w:footnoteReference w:id="14"/>
      </w:r>
      <w:r>
        <w:t xml:space="preserve"> Meanwhile, the metro share of carpoolers fell from percent in 2000 to percent in 2020, as did the Orleans Parish share from percent to percent.</w:t>
      </w:r>
    </w:p>
    <w:p w14:paraId="47728C2D" w14:textId="77777777" w:rsidR="00FC1729" w:rsidRDefault="00000000">
      <w:pPr>
        <w:pStyle w:val="BodyText"/>
      </w:pPr>
      <w:r>
        <w:t>The percentage of workers who commute by driving alone has increased within the metro region since 2000 from percent to percent, driven by a to percent rise in Orleans Parish. This goes against the national trend, where the share driving alone remained steady between 2000 and 2020 and where public transit use has also remained steady.</w:t>
      </w:r>
    </w:p>
    <w:p w14:paraId="10786AD3" w14:textId="77777777" w:rsidR="00FC1729" w:rsidRDefault="00000000">
      <w:pPr>
        <w:pStyle w:val="BodyText"/>
      </w:pPr>
      <w:r>
        <w:rPr>
          <w:noProof/>
        </w:rPr>
        <w:drawing>
          <wp:inline distT="0" distB="0" distL="0" distR="0" wp14:anchorId="70F175BF" wp14:editId="7A3F25E8">
            <wp:extent cx="5334000" cy="3200400"/>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uploads/2022/10/commute-1.png"/>
                    <pic:cNvPicPr>
                      <a:picLocks noChangeAspect="1" noChangeArrowheads="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14:paraId="76A6D746" w14:textId="77777777" w:rsidR="00FC1729" w:rsidRDefault="00000000">
      <w:pPr>
        <w:pStyle w:val="Heading2"/>
      </w:pPr>
      <w:bookmarkStart w:id="7" w:name="data-sources-methodology"/>
      <w:bookmarkEnd w:id="6"/>
      <w:r>
        <w:t>Data Sources / Methodology</w:t>
      </w:r>
    </w:p>
    <w:p w14:paraId="799D823A" w14:textId="77777777" w:rsidR="00FC1729" w:rsidRDefault="00000000">
      <w:pPr>
        <w:pStyle w:val="FirstParagraph"/>
      </w:pPr>
      <w:r>
        <w:t>Data on race/ethnicity and age is from the Census Bureau vintage 2021 population estimates and Census 2000 Summary File 1 (SF1). Other demographic data is from the Census 2000 Summary File 3 (SF3) and American Community Survey 2004, and 2020 (single-year files).</w:t>
      </w:r>
    </w:p>
    <w:p w14:paraId="2A99D732" w14:textId="77777777" w:rsidR="00FC1729" w:rsidRDefault="00000000">
      <w:pPr>
        <w:pStyle w:val="BodyText"/>
      </w:pPr>
      <w:r>
        <w:t>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14:paraId="6AE150D5" w14:textId="77777777" w:rsidR="00FC1729" w:rsidRDefault="00000000">
      <w:pPr>
        <w:pStyle w:val="BodyText"/>
      </w:pPr>
      <w:r>
        <w:t xml:space="preserve">The significance tests require both estimates and their standard errors. Standard errors for the ACS estimates were calculated using formulas from section 7, “Understanding Error and Determining Statistical Significance” available at: </w:t>
      </w:r>
      <w:hyperlink r:id="rId44">
        <w:r>
          <w:rPr>
            <w:rStyle w:val="Hyperlink"/>
          </w:rPr>
          <w:t>https://www.census.gov/content/dam/Census/library/publications/2018/acs/acs_general_handbook_2018.pdf</w:t>
        </w:r>
      </w:hyperlink>
      <w:r>
        <w:t>.</w:t>
      </w:r>
    </w:p>
    <w:p w14:paraId="60E6FA02" w14:textId="77777777" w:rsidR="00FC1729" w:rsidRDefault="00000000">
      <w:pPr>
        <w:pStyle w:val="BodyText"/>
      </w:pPr>
      <w:r>
        <w:t xml:space="preserve">Standard errors for Census 2000 SF3 data were calculated using formulas from Chapter 8 of the Technical Documentation available at: </w:t>
      </w:r>
      <w:hyperlink r:id="rId45">
        <w:r>
          <w:rPr>
            <w:rStyle w:val="Hyperlink"/>
          </w:rPr>
          <w:t>http://www.census.gov/prod/cen2000/doc/sf3.pdf</w:t>
        </w:r>
      </w:hyperlink>
      <w:r>
        <w:t>.</w:t>
      </w:r>
    </w:p>
    <w:p w14:paraId="1811F7AB" w14:textId="77777777" w:rsidR="00FC1729" w:rsidRDefault="00000000">
      <w:pPr>
        <w:pStyle w:val="BodyText"/>
      </w:pPr>
      <w:r>
        <w:t>Standard errors for Census 2000 and Census 2010 SF1 data are zero.</w:t>
      </w:r>
    </w:p>
    <w:p w14:paraId="045725E7" w14:textId="77777777" w:rsidR="00FC1729" w:rsidRDefault="00000000">
      <w:pPr>
        <w:pStyle w:val="Heading2"/>
      </w:pPr>
      <w:bookmarkStart w:id="8" w:name="endnotes"/>
      <w:bookmarkEnd w:id="7"/>
      <w:r>
        <w:t>Endnotes</w:t>
      </w:r>
      <w:bookmarkEnd w:id="8"/>
    </w:p>
    <w:sectPr w:rsidR="00FC17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92B7" w14:textId="77777777" w:rsidR="001B309E" w:rsidRDefault="001B309E">
      <w:pPr>
        <w:spacing w:after="0"/>
      </w:pPr>
      <w:r>
        <w:separator/>
      </w:r>
    </w:p>
  </w:endnote>
  <w:endnote w:type="continuationSeparator" w:id="0">
    <w:p w14:paraId="7B2270D5" w14:textId="77777777" w:rsidR="001B309E" w:rsidRDefault="001B3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78A2" w14:textId="77777777" w:rsidR="001B309E" w:rsidRDefault="001B309E">
      <w:r>
        <w:separator/>
      </w:r>
    </w:p>
  </w:footnote>
  <w:footnote w:type="continuationSeparator" w:id="0">
    <w:p w14:paraId="7ABD08DC" w14:textId="77777777" w:rsidR="001B309E" w:rsidRDefault="001B309E">
      <w:r>
        <w:continuationSeparator/>
      </w:r>
    </w:p>
  </w:footnote>
  <w:footnote w:id="1">
    <w:p w14:paraId="76712BF4" w14:textId="77777777" w:rsidR="00FC1729" w:rsidRDefault="00000000">
      <w:pPr>
        <w:pStyle w:val="FootnoteText"/>
      </w:pPr>
      <w:r>
        <w:rPr>
          <w:rStyle w:val="FootnoteReference"/>
        </w:rPr>
        <w:footnoteRef/>
      </w:r>
      <w:r>
        <w:t xml:space="preserve"> 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
    <w:p w14:paraId="6EB01A30" w14:textId="77777777" w:rsidR="00FC1729" w:rsidRDefault="00000000">
      <w:pPr>
        <w:pStyle w:val="FootnoteText"/>
      </w:pPr>
      <w:r>
        <w:rPr>
          <w:rStyle w:val="FootnoteReference"/>
        </w:rPr>
        <w:footnoteRef/>
      </w:r>
      <w:r>
        <w:t xml:space="preserve"> Throughout this brief “African American/black,” “Asian,” and “white” refer to individuals who report to be only one race and not Hispanic. However, “Hispanics” can be of any race(s).</w:t>
      </w:r>
    </w:p>
  </w:footnote>
  <w:footnote w:id="3">
    <w:p w14:paraId="74E988AA" w14:textId="77777777" w:rsidR="00FC1729" w:rsidRDefault="00000000">
      <w:pPr>
        <w:pStyle w:val="FootnoteText"/>
      </w:pPr>
      <w:r>
        <w:rPr>
          <w:rStyle w:val="FootnoteReference"/>
        </w:rPr>
        <w:footnoteRef/>
      </w:r>
      <w:r>
        <w:t xml:space="preserve"> Taylor, P., Lopez M. H., Martinez, J., and Velasco, G. (2014). When Labels Don’t Fit: Hispanics and Their Views of Identity. Retrieved October 3, 2014 from </w:t>
      </w:r>
      <w:hyperlink r:id="rId1">
        <w:r>
          <w:rPr>
            <w:rStyle w:val="Hyperlink"/>
          </w:rPr>
          <w:t>http://www.pewhispanic.org/2012/04/04/when-labels-dont-fit-hispanics-and-their-views-of-identity</w:t>
        </w:r>
      </w:hyperlink>
      <w:r>
        <w:t>.</w:t>
      </w:r>
    </w:p>
  </w:footnote>
  <w:footnote w:id="4">
    <w:p w14:paraId="3E2CCAE2" w14:textId="77777777" w:rsidR="00FC1729" w:rsidRDefault="00000000">
      <w:pPr>
        <w:pStyle w:val="FootnoteText"/>
      </w:pPr>
      <w:r>
        <w:rPr>
          <w:rStyle w:val="FootnoteReference"/>
        </w:rPr>
        <w:footnoteRef/>
      </w:r>
      <w:r>
        <w:t xml:space="preserve"> Plyer, A. and Ortiz, E. (2011). Drivers of housing demand: Preparing for the impending elder boom. Retrieved July 8, 2013, from </w:t>
      </w:r>
      <w:hyperlink r:id="rId2">
        <w:r>
          <w:rPr>
            <w:rStyle w:val="Hyperlink"/>
          </w:rPr>
          <w:t>http://www.datacenterresearch.org/reports_analysis/drivers-of-housing-demand</w:t>
        </w:r>
      </w:hyperlink>
      <w:r>
        <w:t>.</w:t>
      </w:r>
    </w:p>
  </w:footnote>
  <w:footnote w:id="5">
    <w:p w14:paraId="577013F2" w14:textId="77777777" w:rsidR="00FC1729" w:rsidRDefault="00000000">
      <w:pPr>
        <w:pStyle w:val="FootnoteText"/>
      </w:pPr>
      <w:r>
        <w:rPr>
          <w:rStyle w:val="FootnoteReference"/>
        </w:rPr>
        <w:footnoteRef/>
      </w:r>
      <w:r>
        <w:t xml:space="preserve"> Julian, T. and Kominski, R. (2011). Education and synthetic work-life earnings estimates. Retrieved February 8, 2019 from </w:t>
      </w:r>
      <w:hyperlink r:id="rId3">
        <w:r>
          <w:rPr>
            <w:rStyle w:val="Hyperlink"/>
          </w:rPr>
          <w:t>https://www.census.gov/library/publications/2011/acs/acs-14.html</w:t>
        </w:r>
      </w:hyperlink>
      <w:r>
        <w:t xml:space="preserve">; U.S. Department of Housing and Urban Development. (2012). Conceptualizing and measuring resilience. Retrieved September 18, 2012 from </w:t>
      </w:r>
      <w:hyperlink r:id="rId4" w:anchor="title">
        <w:r>
          <w:rPr>
            <w:rStyle w:val="Hyperlink"/>
          </w:rPr>
          <w:t>http://www.huduser.org/portal/periodicals/em/winter12/highlight2.html#title</w:t>
        </w:r>
      </w:hyperlink>
      <w:r>
        <w:t>.</w:t>
      </w:r>
    </w:p>
  </w:footnote>
  <w:footnote w:id="6">
    <w:p w14:paraId="01BA0E93" w14:textId="77777777" w:rsidR="00FC1729" w:rsidRDefault="00000000">
      <w:pPr>
        <w:pStyle w:val="FootnoteText"/>
      </w:pPr>
      <w:r>
        <w:rPr>
          <w:rStyle w:val="FootnoteReference"/>
        </w:rPr>
        <w:footnoteRef/>
      </w:r>
      <w:r>
        <w:t xml:space="preserve"> Vigdor J. and Ladd, H. (2010). Scaling the Digital Divide: Home Computer Technology and Student Achievement. Retrieved February 8, 2019 from </w:t>
      </w:r>
      <w:hyperlink r:id="rId5">
        <w:r>
          <w:rPr>
            <w:rStyle w:val="Hyperlink"/>
          </w:rPr>
          <w:t>http://citeseerx.ist.psu.edu/viewdoc/download?doi=10.1.1.849.6663&amp;rep=rep1&amp;type=pdf</w:t>
        </w:r>
      </w:hyperlink>
      <w:r>
        <w:t>.</w:t>
      </w:r>
    </w:p>
  </w:footnote>
  <w:footnote w:id="7">
    <w:p w14:paraId="59CDC0D8" w14:textId="77777777" w:rsidR="00FC1729" w:rsidRDefault="00000000">
      <w:pPr>
        <w:pStyle w:val="FootnoteText"/>
      </w:pPr>
      <w:r>
        <w:rPr>
          <w:rStyle w:val="FootnoteReference"/>
        </w:rPr>
        <w:footnoteRef/>
      </w:r>
      <w:r>
        <w:t xml:space="preserve"> De Jong, G.F., Graefe, D.R., Hall, M., and Singer, A. (2001). The geography of immigrant skills: Educational profiles of metropolitan areas. Retrieved February 8, 2019 from </w:t>
      </w:r>
      <w:hyperlink r:id="rId6">
        <w:r>
          <w:rPr>
            <w:rStyle w:val="Hyperlink"/>
          </w:rPr>
          <w:t>https://www.brookings.edu/research/the-geography-of-immigrant-skills-educational-profiles-of-metropolitan-areas/</w:t>
        </w:r>
      </w:hyperlink>
      <w:r>
        <w:t>.</w:t>
      </w:r>
    </w:p>
  </w:footnote>
  <w:footnote w:id="8">
    <w:p w14:paraId="456BF517" w14:textId="77777777" w:rsidR="00FC1729" w:rsidRDefault="00000000">
      <w:pPr>
        <w:pStyle w:val="FootnoteText"/>
      </w:pPr>
      <w:r>
        <w:rPr>
          <w:rStyle w:val="FootnoteReference"/>
        </w:rPr>
        <w:footnoteRef/>
      </w:r>
      <w:r>
        <w:t xml:space="preserve"> 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 </w:t>
      </w:r>
      <w:hyperlink r:id="rId7">
        <w:r>
          <w:rPr>
            <w:rStyle w:val="Hyperlink"/>
          </w:rPr>
          <w:t>https://www.census.gov/topics/population/migration/data/tables/cps.2012.html</w:t>
        </w:r>
      </w:hyperlink>
      <w:r>
        <w:t>.</w:t>
      </w:r>
    </w:p>
  </w:footnote>
  <w:footnote w:id="9">
    <w:p w14:paraId="59A63CEF" w14:textId="77777777" w:rsidR="00FC1729" w:rsidRDefault="00000000">
      <w:pPr>
        <w:pStyle w:val="FootnoteText"/>
      </w:pPr>
      <w:r>
        <w:rPr>
          <w:rStyle w:val="FootnoteReference"/>
        </w:rPr>
        <w:footnoteRef/>
      </w:r>
      <w:r>
        <w:t xml:space="preserve"> 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 </w:t>
      </w:r>
      <w:hyperlink r:id="rId8">
        <w:r>
          <w:rPr>
            <w:rStyle w:val="Hyperlink"/>
          </w:rPr>
          <w:t>https://www.census.gov/topics/population/migration/data/tables/cps.2012.html</w:t>
        </w:r>
      </w:hyperlink>
      <w:r>
        <w:t>.</w:t>
      </w:r>
    </w:p>
  </w:footnote>
  <w:footnote w:id="10">
    <w:p w14:paraId="597C84E6" w14:textId="77777777" w:rsidR="00FC1729" w:rsidRDefault="00000000">
      <w:pPr>
        <w:pStyle w:val="FootnoteText"/>
      </w:pPr>
      <w:r>
        <w:rPr>
          <w:rStyle w:val="FootnoteReference"/>
        </w:rPr>
        <w:footnoteRef/>
      </w:r>
      <w:r>
        <w:t xml:space="preserve"> Plyer, A., Ortiz, E., and Pettit, K. (2009). Post-Katrina housing affordability challenges continue in 2008, worsening among Orleans Parish very low income renters. Retrieved September 17, 2013 from </w:t>
      </w:r>
      <w:hyperlink r:id="rId9">
        <w:r>
          <w:rPr>
            <w:rStyle w:val="Hyperlink"/>
          </w:rPr>
          <w:t>http://www.datacenterresearch.org/reports_analysis/housing-affordability</w:t>
        </w:r>
      </w:hyperlink>
      <w:r>
        <w:t>.</w:t>
      </w:r>
    </w:p>
  </w:footnote>
  <w:footnote w:id="11">
    <w:p w14:paraId="190350DC" w14:textId="77777777" w:rsidR="00FC1729" w:rsidRDefault="00000000">
      <w:pPr>
        <w:pStyle w:val="FootnoteText"/>
      </w:pPr>
      <w:r>
        <w:rPr>
          <w:rStyle w:val="FootnoteReference"/>
        </w:rPr>
        <w:footnoteRef/>
      </w:r>
      <w:r>
        <w:t xml:space="preserve"> Joint Center for Housing Studies of Harvard University (2013). The US Housing Stock: Ready for Renewal. Retrieved October 10, 2014 from </w:t>
      </w:r>
      <w:hyperlink r:id="rId10">
        <w:r>
          <w:rPr>
            <w:rStyle w:val="Hyperlink"/>
          </w:rPr>
          <w:t>http://www.jchs.harvard.edu/sites/jchs.harvard.edu/files/harvard_jchs_remodeling_report_2013.pdf</w:t>
        </w:r>
      </w:hyperlink>
      <w:r>
        <w:t>.</w:t>
      </w:r>
    </w:p>
  </w:footnote>
  <w:footnote w:id="12">
    <w:p w14:paraId="2F41D194" w14:textId="77777777" w:rsidR="00FC1729" w:rsidRDefault="00000000">
      <w:pPr>
        <w:pStyle w:val="FootnoteText"/>
      </w:pPr>
      <w:r>
        <w:rPr>
          <w:rStyle w:val="FootnoteReference"/>
        </w:rPr>
        <w:footnoteRef/>
      </w:r>
      <w:r>
        <w:t xml:space="preserve"> Roberts, J.R., Hulsey, T.C., Curtis, G.B., and Reigart, J.R. (2003). Using Geographic Information Systems to Assess Risk for Elevated Blood Lead Levels in Children. Retrieved October 10, 2014. </w:t>
      </w:r>
      <w:hyperlink r:id="rId11">
        <w:r>
          <w:rPr>
            <w:rStyle w:val="Hyperlink"/>
          </w:rPr>
          <w:t>http://www.ncbi.nlm.nih.gov/pmc/articles/PMC1497528/pdf/12766217.pdf</w:t>
        </w:r>
      </w:hyperlink>
    </w:p>
  </w:footnote>
  <w:footnote w:id="13">
    <w:p w14:paraId="0B11E373" w14:textId="77777777" w:rsidR="00FC1729" w:rsidRDefault="00000000">
      <w:pPr>
        <w:pStyle w:val="FootnoteText"/>
      </w:pPr>
      <w:r>
        <w:rPr>
          <w:rStyle w:val="FootnoteReference"/>
        </w:rPr>
        <w:footnoteRef/>
      </w:r>
      <w:r>
        <w:t xml:space="preserve"> Davis, B., Dutzik, T. (2012). Transportation and the New Generation: Why Young People Are Driving Less and What It Means for Transportation Policy. Retrieved October 10, 2014 from </w:t>
      </w:r>
      <w:hyperlink r:id="rId12">
        <w:r>
          <w:rPr>
            <w:rStyle w:val="Hyperlink"/>
          </w:rPr>
          <w:t>http://www.uspirg.org/sites/pirg/files/reports/Transportation%20%26%20the%20New%20Generation%20vUS_0.pdf</w:t>
        </w:r>
      </w:hyperlink>
      <w:r>
        <w:t>.</w:t>
      </w:r>
    </w:p>
  </w:footnote>
  <w:footnote w:id="14">
    <w:p w14:paraId="484F6D99" w14:textId="77777777" w:rsidR="00FC1729" w:rsidRDefault="00000000">
      <w:pPr>
        <w:pStyle w:val="FootnoteText"/>
      </w:pPr>
      <w:r>
        <w:rPr>
          <w:rStyle w:val="FootnoteReference"/>
        </w:rPr>
        <w:footnoteRef/>
      </w:r>
      <w:r>
        <w:t xml:space="preserve"> The League of American Bicyclists. (2017). Where We Ride: Analysis of Bicycle Commuting in American Cities. Retrieved December 21, 2018 from </w:t>
      </w:r>
      <w:hyperlink r:id="rId13">
        <w:r>
          <w:rPr>
            <w:rStyle w:val="Hyperlink"/>
          </w:rPr>
          <w:t>https://bikeleague.org/sites/default/files/Where_We_Ride_2017_KM_0.pdf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C49F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5251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29"/>
    <w:rsid w:val="001B309E"/>
    <w:rsid w:val="008037E8"/>
    <w:rsid w:val="00FC17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B6BD"/>
  <w15:docId w15:val="{FB8C069C-2242-459A-89CE-15253633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www.census.gov/prod/cen2000/doc/sf3.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census.gov/content/dam/Census/library/publications/2018/acs/acs_general_handbook_2018.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topics/population/migration/data/tables/cps.2012.html" TargetMode="External"/><Relationship Id="rId13" Type="http://schemas.openxmlformats.org/officeDocument/2006/relationships/hyperlink" Target="https://bikeleague.org/sites/default/files/Where_We_Ride_2017_KM_0.pdf" TargetMode="External"/><Relationship Id="rId3" Type="http://schemas.openxmlformats.org/officeDocument/2006/relationships/hyperlink" Target="https://www.census.gov/library/publications/2011/acs/acs-14.html" TargetMode="External"/><Relationship Id="rId7" Type="http://schemas.openxmlformats.org/officeDocument/2006/relationships/hyperlink" Target="https://www.census.gov/topics/population/migration/data/tables/cps.2012.html" TargetMode="External"/><Relationship Id="rId12" Type="http://schemas.openxmlformats.org/officeDocument/2006/relationships/hyperlink" Target="http://www.uspirg.org/sites/pirg/files/reports/Transportation%20%26%20the%20New%20Generation%20vUS_0.pdf" TargetMode="External"/><Relationship Id="rId2" Type="http://schemas.openxmlformats.org/officeDocument/2006/relationships/hyperlink" Target="http://www.datacenterresearch.org/reports_analysis/drivers-of-housing-demand" TargetMode="External"/><Relationship Id="rId1" Type="http://schemas.openxmlformats.org/officeDocument/2006/relationships/hyperlink" Target="http://www.pewhispanic.org/2012/04/04/when-labels-dont-fit-hispanics-and-their-views-of-identity" TargetMode="External"/><Relationship Id="rId6" Type="http://schemas.openxmlformats.org/officeDocument/2006/relationships/hyperlink" Target="https://www.brookings.edu/research/the-geography-of-immigrant-skills-educational-profiles-of-metropolitan-areas/" TargetMode="External"/><Relationship Id="rId11" Type="http://schemas.openxmlformats.org/officeDocument/2006/relationships/hyperlink" Target="http://www.ncbi.nlm.nih.gov/pmc/articles/PMC1497528/pdf/12766217.pdf" TargetMode="External"/><Relationship Id="rId5" Type="http://schemas.openxmlformats.org/officeDocument/2006/relationships/hyperlink" Target="http://citeseerx.ist.psu.edu/viewdoc/download?doi=10.1.1.849.6663&amp;rep=rep1&amp;type=pdf" TargetMode="External"/><Relationship Id="rId10" Type="http://schemas.openxmlformats.org/officeDocument/2006/relationships/hyperlink" Target="http://www.jchs.harvard.edu/sites/jchs.harvard.edu/files/harvard_jchs_remodeling_report_2013.pdf" TargetMode="External"/><Relationship Id="rId4" Type="http://schemas.openxmlformats.org/officeDocument/2006/relationships/hyperlink" Target="http://www.huduser.org/portal/periodicals/em/winter12/highlight2.html" TargetMode="External"/><Relationship Id="rId9" Type="http://schemas.openxmlformats.org/officeDocument/2006/relationships/hyperlink" Target="http://www.datacenterresearch.org/reports_analysis/housing-affor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3018</Words>
  <Characters>17209</Characters>
  <Application>Microsoft Office Word</Application>
  <DocSecurity>0</DocSecurity>
  <Lines>143</Lines>
  <Paragraphs>40</Paragraphs>
  <ScaleCrop>false</ScaleCrop>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Haleigh Tomlin</dc:creator>
  <cp:keywords/>
  <cp:lastModifiedBy>Haleigh Tomlin</cp:lastModifiedBy>
  <cp:revision>2</cp:revision>
  <dcterms:created xsi:type="dcterms:W3CDTF">2022-10-03T15:12:00Z</dcterms:created>
  <dcterms:modified xsi:type="dcterms:W3CDTF">2022-10-03T15:12:00Z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