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PONTIFICIA UNIVERSIDAD CATÓLICA DEL PERÚ</w:t>
      </w:r>
    </w:p>
    <w:p w:rsidR="00000000" w:rsidDel="00000000" w:rsidP="00000000" w:rsidRDefault="00000000" w:rsidRPr="00000000" w14:paraId="00000002">
      <w:pPr>
        <w:jc w:val="both"/>
        <w:rPr/>
      </w:pPr>
      <w:r w:rsidDel="00000000" w:rsidR="00000000" w:rsidRPr="00000000">
        <w:rPr>
          <w:rtl w:val="0"/>
        </w:rPr>
        <w:t xml:space="preserve">FACULTAD DE CIENCIAS SOCIALES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Entregable Nº1</w:t>
      </w:r>
    </w:p>
    <w:p w:rsidR="00000000" w:rsidDel="00000000" w:rsidP="00000000" w:rsidRDefault="00000000" w:rsidRPr="00000000" w14:paraId="00000005">
      <w:pPr>
        <w:jc w:val="both"/>
        <w:rPr/>
      </w:pPr>
      <w:r w:rsidDel="00000000" w:rsidR="00000000" w:rsidRPr="00000000">
        <w:rPr>
          <w:rtl w:val="0"/>
        </w:rPr>
        <w:t xml:space="preserve">Curso: Estadística para el Análisis Político 2</w:t>
      </w:r>
    </w:p>
    <w:p w:rsidR="00000000" w:rsidDel="00000000" w:rsidP="00000000" w:rsidRDefault="00000000" w:rsidRPr="00000000" w14:paraId="00000006">
      <w:pPr>
        <w:jc w:val="both"/>
        <w:rPr/>
      </w:pPr>
      <w:r w:rsidDel="00000000" w:rsidR="00000000" w:rsidRPr="00000000">
        <w:rPr>
          <w:rtl w:val="0"/>
        </w:rPr>
        <w:t xml:space="preserve">Clave: POL 304</w:t>
      </w:r>
    </w:p>
    <w:p w:rsidR="00000000" w:rsidDel="00000000" w:rsidP="00000000" w:rsidRDefault="00000000" w:rsidRPr="00000000" w14:paraId="00000007">
      <w:pPr>
        <w:jc w:val="both"/>
        <w:rPr/>
      </w:pPr>
      <w:r w:rsidDel="00000000" w:rsidR="00000000" w:rsidRPr="00000000">
        <w:rPr>
          <w:rtl w:val="0"/>
        </w:rPr>
        <w:t xml:space="preserve">Horario: 689C</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Integrantes (nombres, apellidos y códigos): Jade Nicol Vidal Camacho 20211213</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Tema de investigación: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Análisis de la Tasa de Deserción en Educación Secundaria en Perú, Año 2017</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ind w:left="720" w:firstLine="0"/>
        <w:jc w:val="both"/>
        <w:rPr>
          <w:i w:val="1"/>
        </w:rPr>
      </w:pPr>
      <w:r w:rsidDel="00000000" w:rsidR="00000000" w:rsidRPr="00000000">
        <w:rPr>
          <w:i w:val="1"/>
          <w:rtl w:val="0"/>
        </w:rPr>
        <w:t xml:space="preserve">Preguntas a responder:</w:t>
      </w:r>
    </w:p>
    <w:p w:rsidR="00000000" w:rsidDel="00000000" w:rsidP="00000000" w:rsidRDefault="00000000" w:rsidRPr="00000000" w14:paraId="00000011">
      <w:pPr>
        <w:ind w:left="720" w:firstLine="0"/>
        <w:jc w:val="both"/>
        <w:rPr>
          <w:i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¿Por qué el tema escogido es relevante en un sentido teórico o práctico?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Según Benítez (2014), “la educación permite actualizar nuestras potencialidades, desarrollar habilidades que nos permiten ser mejores. Es un derecho humano, en tanto es esencial para vivir dignamente. Es, además, un medio para la realización de otros derechos” (como se cita en Reátegui y Salas, 2019). En consecuencia, los Estados tienen la obligación de proporcionar una educación de calidad a todos sus ciudadanos; sin embargo, en el caso de América Latina, se presentan “brechas de equidad en el cumplimiento del derecho a la educación, las cuales son mayores en la secundaria alta” (López, 2019, p. 12). Aquello se ve reflejado en la tasa de deserción escolar entendido como el abandono permanente por parte del estudiante de las instituciones educativas.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el caso de Perú, según Infobae (2023), “el Minedu expuso, en 2021, que la tasa de deserción escolar en el Perú llegó al 6,3%”; así mismo, “una encuesta del Instituto Nacional de Estadística e Informática, en ese mismo año, dejó entrever que 22 de cada 100 jóvenes entre 17 y 18 años no habían finalizado su educación secundaria”. Por ello, el presente trabajo se encargará de analizar estadísticamente la tasa de deserción en educación secundaria a nivel de provincia durante el año 2017 con el objetivo de encontrar los factores que influyen en ella. De esa manera, a raíz de los resultados de dicho análisis, el Estado peruano pueda entender el problema de fondo y así implementar eficientes políticas públicas.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López, F. M. (2019). Diagnóstico, teoría e intervenciones públicas para abatir el abandono escolar en la educación secundaria de segundo ciclo: aprendizajes desde América Latina. Revista Latinoamericana de Educación Comparada: RELEC, 9(14), 11-30.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Reátegui Chujutalli, A. N., &amp; Salas Vega, A. S. (2019). Factores que influyen en la deserción escolar: caso colegio “Simón Bolívar”–Tarapoto, San Martín, Perú.</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Guardamino, B. (24 de octubre de 2023). Deserción escolar en el Perú: más de 360 mil niños y adolescentes no reciben educación. Infobae Perú. </w:t>
      </w:r>
      <w:hyperlink r:id="rId7">
        <w:r w:rsidDel="00000000" w:rsidR="00000000" w:rsidRPr="00000000">
          <w:rPr>
            <w:color w:val="1155cc"/>
            <w:u w:val="single"/>
            <w:rtl w:val="0"/>
          </w:rPr>
          <w:t xml:space="preserve">https://www.infobae.com/peru/2023/10/24/desercion-escolar-en-el-peru-mas-de-360-mil-ninos-y-adolescentes-no-reciben-educacion/#:~:text=Abandono%20escolar%20en%20el%20Per%C3%BA,hab%C3%ADan%20finalizado%20su%20educaci%C3%B3n%20secundaria</w:t>
        </w:r>
      </w:hyperlink>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Variable dependiente: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Porcentaje de retirados en educación secundaria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2">
      <w:pPr>
        <w:ind w:left="720" w:firstLine="0"/>
        <w:jc w:val="both"/>
        <w:rPr>
          <w:i w:val="1"/>
        </w:rPr>
      </w:pPr>
      <w:r w:rsidDel="00000000" w:rsidR="00000000" w:rsidRPr="00000000">
        <w:rPr>
          <w:i w:val="1"/>
          <w:rtl w:val="0"/>
        </w:rPr>
        <w:t xml:space="preserve">Preguntas a responder:</w:t>
      </w:r>
    </w:p>
    <w:p w:rsidR="00000000" w:rsidDel="00000000" w:rsidP="00000000" w:rsidRDefault="00000000" w:rsidRPr="00000000" w14:paraId="00000023">
      <w:pPr>
        <w:ind w:left="720" w:firstLine="0"/>
        <w:jc w:val="both"/>
        <w:rPr>
          <w:i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¿Cómo se va a operacionalizar la variable?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 ser una variable cuantitativa continua, se realizará una regresión lineal.</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¿Qué tipo de variable es?</w:t>
      </w:r>
    </w:p>
    <w:p w:rsidR="00000000" w:rsidDel="00000000" w:rsidP="00000000" w:rsidRDefault="00000000" w:rsidRPr="00000000" w14:paraId="00000029">
      <w:pPr>
        <w:jc w:val="both"/>
        <w:rPr>
          <w:i w:val="1"/>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Es una variable cuantitativa continua.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Variable(s) independiente(s):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E">
      <w:pPr>
        <w:ind w:left="720" w:firstLine="0"/>
        <w:jc w:val="both"/>
        <w:rPr>
          <w:i w:val="1"/>
        </w:rPr>
      </w:pPr>
      <w:r w:rsidDel="00000000" w:rsidR="00000000" w:rsidRPr="00000000">
        <w:rPr>
          <w:i w:val="1"/>
          <w:rtl w:val="0"/>
        </w:rPr>
        <w:t xml:space="preserve">Preguntas a responder:</w:t>
      </w:r>
    </w:p>
    <w:p w:rsidR="00000000" w:rsidDel="00000000" w:rsidP="00000000" w:rsidRDefault="00000000" w:rsidRPr="00000000" w14:paraId="0000002F">
      <w:pPr>
        <w:ind w:left="0" w:firstLine="0"/>
        <w:jc w:val="both"/>
        <w:rPr>
          <w:i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¿Cuántas variables independientes van a ser utilizadas?</w:t>
      </w:r>
      <w:r w:rsidDel="00000000" w:rsidR="00000000" w:rsidRPr="00000000">
        <w:rPr>
          <w:i w:val="1"/>
          <w:rtl w:val="0"/>
        </w:rPr>
        <w:t xml:space="preserve"> </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¿Qué tipo de variable(s) es(son)?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Total de casos atendidos en la Defensoría Municipal del Niño y el Adolescente ( variable cuantitativa DISCRETA)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Pobreza total: Número de habitantes en situación de pobreza (variable cuantitativa continua)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Hogares con acceso a Internet (variable cuantitativa DISCRETA)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¿Cuál es la relación teórica o empírica que justifica la selección de cada una de las variables indicadas como predictores?</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highlight w:val="yellow"/>
        </w:rPr>
      </w:pPr>
      <w:r w:rsidDel="00000000" w:rsidR="00000000" w:rsidRPr="00000000">
        <w:rPr>
          <w:rtl w:val="0"/>
        </w:rPr>
        <w:t xml:space="preserve">La Defensoría Municipal del Niño y del Adolescente (DEMUNA) busca proteger y promover los derechos de los niños, las niñas y los adolescentes. Por ende, atiende y recoge casos de negligencia, abandono, violencia y entre otros que afectan directamente al desarrollo y bienestar del menor. Según la Encuesta Nacional de Hogares (ENAHO), en el 2020, el 12.3% de los estudiantes que abandonaron sus estudios lo hicieron debido a problemas familiares que dicha entidad pública atiende. Por ello, el total de casos atendidos en la Defensoría Municipal del Niño y el Adolescente podría relacionarse con la Tasa de Deserción en Educación Secundaria en el Perú.</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Con respecto al conteo de hogares con acceso a Internet, es una variable que podría relacionarse con la deserción escolar debido a que muchos adolescentes abandonan los estudios por falta de motivación. La tecnología tiene la capacidad de motivar a través de una educación didáctica y poder facilitar el acceso a la información.</w:t>
      </w:r>
    </w:p>
    <w:p w:rsidR="00000000" w:rsidDel="00000000" w:rsidP="00000000" w:rsidRDefault="00000000" w:rsidRPr="00000000" w14:paraId="0000003B">
      <w:pPr>
        <w:jc w:val="both"/>
        <w:rPr>
          <w:b w:val="1"/>
          <w:highlight w:val="yellow"/>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Variables de </w:t>
      </w:r>
      <w:r w:rsidDel="00000000" w:rsidR="00000000" w:rsidRPr="00000000">
        <w:rPr>
          <w:rFonts w:ascii="Calibri" w:cs="Calibri" w:eastAsia="Calibri" w:hAnsi="Calibri"/>
          <w:b w:val="1"/>
          <w:i w:val="0"/>
          <w:smallCaps w:val="0"/>
          <w:strike w:val="0"/>
          <w:color w:val="000000"/>
          <w:u w:val="none"/>
          <w:vertAlign w:val="baseline"/>
          <w:rtl w:val="0"/>
        </w:rPr>
        <w:t xml:space="preserve">control</w:t>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Numero de alumnos matriculados en el sistema educativo básico regular nivel secundario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2">
      <w:pPr>
        <w:ind w:left="720" w:firstLine="0"/>
        <w:jc w:val="both"/>
        <w:rPr>
          <w:i w:val="1"/>
        </w:rPr>
      </w:pPr>
      <w:r w:rsidDel="00000000" w:rsidR="00000000" w:rsidRPr="00000000">
        <w:rPr>
          <w:i w:val="1"/>
          <w:rtl w:val="0"/>
        </w:rPr>
        <w:t xml:space="preserve">Preguntas a responder:</w:t>
      </w:r>
    </w:p>
    <w:p w:rsidR="00000000" w:rsidDel="00000000" w:rsidP="00000000" w:rsidRDefault="00000000" w:rsidRPr="00000000" w14:paraId="00000043">
      <w:pPr>
        <w:ind w:left="720" w:firstLine="0"/>
        <w:jc w:val="both"/>
        <w:rPr>
          <w:i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¿Cuántas variables de control van a ser utilizadas?  </w:t>
      </w:r>
      <w:r w:rsidDel="00000000" w:rsidR="00000000" w:rsidRPr="00000000">
        <w:rPr>
          <w:rFonts w:ascii="Calibri" w:cs="Calibri" w:eastAsia="Calibri" w:hAnsi="Calibri"/>
          <w:b w:val="0"/>
          <w:smallCaps w:val="0"/>
          <w:strike w:val="0"/>
          <w:color w:val="00000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¿Qué tipo de variables son?  </w:t>
      </w:r>
      <w:r w:rsidDel="00000000" w:rsidR="00000000" w:rsidRPr="00000000">
        <w:rPr>
          <w:rtl w:val="0"/>
        </w:rPr>
        <w:t xml:space="preserve">variable cuantitativa DISCRETA</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¿Qué evidencia tiene para justificar la inclusión de las variables indicadas como controles?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Para poder analizar la cantidad de alumnos que desertaron a nivel de secundaria, se debería de recurrir al número de alumnos matriculados en el sistema educativo básico regular nivel secundario porque así se podría tener una relación con el total.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Factibilidad: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D">
      <w:pPr>
        <w:ind w:left="720" w:firstLine="0"/>
        <w:jc w:val="both"/>
        <w:rPr>
          <w:i w:val="1"/>
        </w:rPr>
      </w:pPr>
      <w:r w:rsidDel="00000000" w:rsidR="00000000" w:rsidRPr="00000000">
        <w:rPr>
          <w:i w:val="1"/>
          <w:rtl w:val="0"/>
        </w:rPr>
        <w:t xml:space="preserve">Preguntas a responder:</w:t>
      </w:r>
    </w:p>
    <w:p w:rsidR="00000000" w:rsidDel="00000000" w:rsidP="00000000" w:rsidRDefault="00000000" w:rsidRPr="00000000" w14:paraId="0000004E">
      <w:pPr>
        <w:ind w:left="720" w:firstLine="0"/>
        <w:jc w:val="both"/>
        <w:rPr>
          <w:i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¿Dónde se encuentran alojadas las variables? Indique el sitio web, repositorio, portal en el que se encuentra disponible la data.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hyperlink r:id="rId8">
        <w:r w:rsidDel="00000000" w:rsidR="00000000" w:rsidRPr="00000000">
          <w:rPr>
            <w:b w:val="1"/>
            <w:color w:val="1155cc"/>
            <w:u w:val="single"/>
            <w:rtl w:val="0"/>
          </w:rPr>
          <w:t xml:space="preserve">https://systems.inei.gob.pe/SIRTOD/app/consulta</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hyperlink r:id="rId9">
        <w:r w:rsidDel="00000000" w:rsidR="00000000" w:rsidRPr="00000000">
          <w:rPr>
            <w:b w:val="1"/>
            <w:color w:val="1155cc"/>
            <w:u w:val="single"/>
            <w:rtl w:val="0"/>
          </w:rPr>
          <w:t xml:space="preserve">https://www.ceplan.gob.pe/informacion-sobre-zonas-y-departamentos-del-peru/</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hyperlink r:id="rId10">
        <w:r w:rsidDel="00000000" w:rsidR="00000000" w:rsidRPr="00000000">
          <w:rPr>
            <w:b w:val="1"/>
            <w:color w:val="1155cc"/>
            <w:u w:val="single"/>
            <w:rtl w:val="0"/>
          </w:rPr>
          <w:t xml:space="preserve">https://censos2017.inei.gob.pe/redatam/</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rtl w:val="0"/>
        </w:rPr>
      </w:r>
    </w:p>
    <w:sectPr>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25CB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ensos2017.inei.gob.pe/redatam/" TargetMode="External"/><Relationship Id="rId9" Type="http://schemas.openxmlformats.org/officeDocument/2006/relationships/hyperlink" Target="https://www.ceplan.gob.pe/informacion-sobre-zonas-y-departamentos-del-per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fobae.com/peru/2023/10/24/desercion-escolar-en-el-peru-mas-de-360-mil-ninos-y-adolescentes-no-reciben-educacion/#:~:text=Abandono%20escolar%20en%20el%20Per%C3%BA,hab%C3%ADan%20finalizado%20su%20educaci%C3%B3n%20secundaria" TargetMode="External"/><Relationship Id="rId8" Type="http://schemas.openxmlformats.org/officeDocument/2006/relationships/hyperlink" Target="https://systems.inei.gob.pe/SIRTOD/app/consul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2dmZ7+OX6mYg5UtPpHM1h2ZyQ==">CgMxLjA4AHIhMUEtRU1JZEZQTGxEMmJwT3RRaUVIOE91M0o5VHhpZlNj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2024-04-17T02:25:00Z</dcterms:created>
  <dc:creator>Alexander Benites Alvarado</dc:creator>
</cp:coreProperties>
</file>