
<file path=[Content_Types].xml><?xml version="1.0" encoding="utf-8"?>
<Types xmlns="http://schemas.openxmlformats.org/package/2006/content-types">
  <Default Extension="jpg" ContentType="image/jpe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49EA" w14:textId="77777777" w:rsidR="0007392C" w:rsidRPr="00586A35" w:rsidRDefault="003C3338" w:rsidP="007A502C">
      <w:pPr>
        <w:pStyle w:val="Titledocument"/>
        <w:rPr>
          <w14:ligatures w14:val="standard"/>
        </w:rPr>
      </w:pPr>
      <w:r w:rsidRPr="00586A35">
        <w:rPr>
          <w:bCs/>
          <w14:ligatures w14:val="standard"/>
        </w:rPr>
        <w:t>Autonomous Where Technical, Refusing Where Value-Laden</w:t>
      </w:r>
    </w:p>
    <w:p w14:paraId="58066A73" w14:textId="77777777" w:rsidR="0007392C" w:rsidRPr="00586A35" w:rsidRDefault="003C3338" w:rsidP="007A502C">
      <w:pPr>
        <w:pStyle w:val="Subtitle"/>
        <w:rPr>
          <w14:ligatures w14:val="standard"/>
        </w:rPr>
      </w:pPr>
      <w:r w:rsidRPr="00586A35">
        <w:rPr>
          <w:bCs/>
          <w14:ligatures w14:val="standard"/>
        </w:rPr>
        <w:t>A Multi-Task Siting Agent for Public Health Resource Allocation in Under-Resourced Districts</w:t>
      </w:r>
    </w:p>
    <w:p w14:paraId="092EB2D2"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5F8ECB20" w14:textId="77777777" w:rsidR="00586A35" w:rsidRPr="00586A35" w:rsidRDefault="003C3338" w:rsidP="00586A35">
      <w:pPr>
        <w:pStyle w:val="Authors"/>
        <w:jc w:val="center"/>
        <w:rPr>
          <w14:ligatures w14:val="standard"/>
        </w:rPr>
      </w:pPr>
      <w:r w:rsidRPr="00586A35">
        <w:rPr>
          <w:rStyle w:val="FirstName"/>
          <w14:ligatures w14:val="standard"/>
        </w:rPr>
        <w:t>Zongrong Li</w:t>
        <w:br/>
        <w:t>[[Department]]</w:t>
        <w:br/>
        <w:t>Texas A&amp;M University</w:t>
        <w:br/>
        <w:t>College Station, Texas, USA</w:t>
        <w:br/>
        <w:t>zongrong@tamu.edu</w:t>
      </w:r>
    </w:p>
    <w:p w14:paraId="0413643E" w14:textId="77777777" w:rsidR="00586A35" w:rsidRPr="00586A35" w:rsidRDefault="003C3338" w:rsidP="00586A35">
      <w:pPr>
        <w:pStyle w:val="Authors"/>
        <w:jc w:val="center"/>
        <w:rPr>
          <w14:ligatures w14:val="standard"/>
        </w:rPr>
      </w:pPr>
      <w:r w:rsidRPr="00586A35">
        <w:rPr>
          <w:rStyle w:val="FirstName"/>
          <w14:ligatures w14:val="standard"/>
        </w:rPr>
        <w:t>Yibin Gao</w:t>
        <w:br/>
        <w:t>[[Department]]</w:t>
        <w:br/>
        <w:t>University of Southern California</w:t>
        <w:br/>
        <w:t>Los Angeles, California, USA</w:t>
        <w:br/>
        <w:t>yibingao@usc.edu</w:t>
      </w:r>
    </w:p>
    <w:p w14:paraId="57300BA2" w14:textId="77777777"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693B3977" w14:textId="77777777" w:rsidR="00694749" w:rsidRPr="00586A35" w:rsidRDefault="00694749" w:rsidP="00694749">
      <w:pPr>
        <w:pStyle w:val="AuthNotes"/>
        <w:rPr>
          <w:color w:val="auto"/>
          <w14:ligatures w14:val="standard"/>
        </w:rPr>
      </w:pPr>
    </w:p>
    <w:p w14:paraId="20186E7D"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6453663C" w14:textId="77777777" w:rsidR="0007392C" w:rsidRPr="00586A35" w:rsidRDefault="007A502C" w:rsidP="00694749">
      <w:pPr>
        <w:pStyle w:val="AbsHead"/>
        <w:rPr>
          <w14:ligatures w14:val="standard"/>
        </w:rPr>
      </w:pPr>
      <w:r w:rsidRPr="00586A35">
        <w:rPr>
          <w14:ligatures w14:val="standard"/>
        </w:rPr>
        <w:t>ABSTRACT</w:t>
      </w:r>
    </w:p>
    <w:p w14:paraId="6E85E7CE" w14:textId="77777777" w:rsidR="00DC112E" w:rsidRPr="00586A35" w:rsidRDefault="00DC112E" w:rsidP="007A502C">
      <w:pPr>
        <w:pStyle w:val="Abstract"/>
        <w:rPr>
          <w:rFonts w:eastAsia="Verdana"/>
          <w14:ligatures w14:val="standard"/>
        </w:rPr>
      </w:pPr>
      <w:r w:rsidRPr="00586A35">
        <w:rPr>
          <w:rFonts w:eastAsia="Verdana"/>
          <w14:ligatures w14:val="standard"/>
        </w:rPr>
        <w:t>[[ABSTRACT, target 150 words. Five moves, one or two sentences each: (1) siting tools carry value-laden constants, and the weight of that default is greatest in districts with the least capacity to contest it; (2) we present a multi-task siting agent that is fully autonomous on technical work and refuses to take value judgements on the district's behalf, recording each one against a named person in their own language; (3) a domain-agnostic four-slot compiler, with the water domain implemented here; (4) the Mayuge case, with the headline finding that the reported baseline follows from a definition rather than a measurement; (5) what the account buys a reviewing officer. Write this last.]]</w:t>
      </w:r>
    </w:p>
    <w:p w14:paraId="47B154CB"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790ECAD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47892EF7" w14:textId="7BA12629" w:rsidR="00B4052C" w:rsidRDefault="00B4052C" w:rsidP="00B4052C">
      <w:pPr>
        <w:pStyle w:val="PermissionBlock"/>
        <w:framePr w:w="4680" w:h="1441" w:hRule="exact" w:hSpace="187" w:wrap="around" w:vAnchor="page" w:hAnchor="page" w:x="1089" w:y="12601" w:anchorLock="1"/>
      </w:pPr>
      <w:r>
        <w:t>© 2018 Copyright held by the owner/author(s). 978-1-4503-0000-0/</w:t>
      </w:r>
      <w:r w:rsidR="00F1257F">
        <w:t>2005/06</w:t>
      </w:r>
    </w:p>
    <w:p w14:paraId="74DB99DC"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38273E3A" w14:textId="77777777" w:rsidR="0007392C" w:rsidRPr="00586A35" w:rsidRDefault="00675128" w:rsidP="00675128">
      <w:pPr>
        <w:pStyle w:val="CCSHead"/>
        <w:rPr>
          <w:lang w:eastAsia="it-IT"/>
          <w14:ligatures w14:val="standard"/>
        </w:rPr>
      </w:pPr>
      <w:r w:rsidRPr="00586A35">
        <w:rPr>
          <w:lang w:eastAsia="it-IT"/>
          <w14:ligatures w14:val="standard"/>
        </w:rPr>
        <w:t>CCS CONCEPTS</w:t>
      </w:r>
    </w:p>
    <w:p w14:paraId="548B05AB" w14:textId="77777777" w:rsidR="007D3C28" w:rsidRPr="00586A35" w:rsidRDefault="003C3338" w:rsidP="00675128">
      <w:pPr>
        <w:pStyle w:val="CCSDescription"/>
        <w:rPr>
          <w:rFonts w:cs="Linux Libertine"/>
          <w14:ligatures w14:val="standard"/>
        </w:rPr>
      </w:pPr>
      <w:r w:rsidRPr="00586A35">
        <w:rPr>
          <w14:ligatures w14:val="standard"/>
        </w:rPr>
        <w:t>• Information systems → Geographic information systems • Computing methodologies → Intelligent agents • Applied computing → Health informatics • Human-centered computing → Interactive systems and tools [[confirm against the ACM CCS tool]]</w:t>
      </w:r>
    </w:p>
    <w:p w14:paraId="74655FB6"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7015CD37" w14:textId="77777777" w:rsidR="0007392C" w:rsidRPr="00586A35" w:rsidRDefault="00B46551" w:rsidP="00675128">
      <w:pPr>
        <w:pStyle w:val="KeyWords"/>
        <w:rPr>
          <w:lang w:eastAsia="it-IT"/>
          <w14:ligatures w14:val="standard"/>
        </w:rPr>
      </w:pPr>
      <w:r w:rsidRPr="00586A35">
        <w:rPr>
          <w:lang w:eastAsia="it-IT"/>
          <w14:ligatures w14:val="standard"/>
        </w:rPr>
        <w:t>GeoAI agents, spatial decision support, location-allocation, human-in-the-loop, value alignment, accountability, rural water supply, Uganda</w:t>
      </w:r>
    </w:p>
    <w:p>
      <w:pPr>
        <w:pStyle w:val="Head1"/>
      </w:pPr>
      <w:r>
        <w:t>1 Problem Statement</w:t>
      </w:r>
    </w:p>
    <w:p>
      <w:pPr>
        <w:pStyle w:val="Para"/>
      </w:pPr>
      <w:r>
        <w:t>Where drinking water is short, a siting decision is paid for in disease and in unpaid labour, and the bill falls first on women, girls, and children under five [5]. A district programme funds three to ten facilities in a cycle, so the choice between two sites is a real trade-off and not a scheduling question. Yet the capacity to weigh it is thinnest where it matters most: a district water office is one officer with a capital list, not a GIS unit with a consultancy behind it. A constant written into software therefore weighs differently in the two settings, since a 1,000 m service radius is a rounding error in a dense city and decides whether a whole sub-county counts as served in a lakeshore district. The resulting transfer of authority is regressive: the judgement falls to whoever wrote the tool exactly where nobody in the room can contest it. What is missing is not a stronger analysis but an account of who decided what, one the officer who signs can check line by line.</w:t>
      </w:r>
    </w:p>
    <w:p>
      <w:pPr>
        <w:pStyle w:val="Para"/>
      </w:pPr>
      <w:r>
        <w:t>We present a multi-task siting agent built on one principle: fully autonomous where the task is technical, refusing to act for the district where it is a value judgement. The autonomous half covers retrieval, cleaning, coordinate reference system alignment, and recovery from topological and code errors, with no low-level data handling left to the officer. Above it sits a domain-agnostic compiler in which every domain reduces to the same four slots (demand, candidates, coverage, budget), so a new domain is an adapter and a data handbook rather than a second codebase, and the domain implemented here is water. The interview runs in the officer's own language and stores their reason verbatim rather than translating it, since rewriting a justification in English is itself a value transformation. The refusing half has two modes: manual halts at each value judgement until a person records it, while automatic lets the agent decide, which is a different signature rather than a lower standard, because every such decision is attributed to the agent and never presented as the district's position. What a district receives is therefore a derivation it can check line by line, and what the agent declines to assume is exactly the four judgements below.</w:t>
      </w:r>
    </w:p>
    <w:p>
      <w:pPr>
        <w:pStyle w:val="Para"/>
      </w:pPr>
      <w:r>
        <w:t>Four judgements are load-bearing in any siting problem and none of them follows from the data; the decision register carries all four independently of domain. What counts as served, straight-line distance or walking time over terrain, fixes who the assessment says already has service and therefore how large a gap it reports. Whose need the programme answers, the largest number of people or the worst-served, is a distributional position and not an optimisation detail, since the two objectives return different answers. Whether a register of a given age may direct capital spending is informed by its median record age but not settled by it, because that judgement belongs to the officer who will answer for the spending. How much coverage a local veto may forgo before the loss is escalated is a question of governance, since every veto costs a countable number of people. Three further decisions are recorded on the same terms but differ in kind: the budget is exogenous to the data, while the review floor and the acceptance of the resulting distribution are procedural and post hoc. We offer no definition of equity, optimality, or adequacy; we argue that a siting system must not hold one implicitly, and so we define the slot and refuse to fill it.</w:t>
      </w:r>
    </w:p>
    <w:p>
      <w:pPr>
        <w:pStyle w:val="Para"/>
      </w:pPr>
      <w:r>
        <w:t>We instantiate the water domain in Mayuge District, Uganda (WorldPop 570,781 [7]), chosen because each of the four judgements bites there. The district fronts Lake Victoria and contains six inhabited islands reachable only by boat, so straight-line reach is not a defensible proxy for access. Sub-county safe water coverage ranges from 28% to 95% [4], which turns the choice between reaching the most people and reaching the worst-served into a live distributional question rather than a modelling preference. Every one of the 354 points the register counts as serving is recorded as functional, needs repair, and no plain functional record exists in the district; recent work finds binary operationality indicators reporting 84% to 85% functionality where composite measures of yield and downtime report 11% to 41% [2]. The baseline this district reports is therefore the consequence of a definition and not of a measurement, which is what our claim looks like in a single district.</w:t>
      </w:r>
    </w:p>
    <w:p>
      <w:pPr>
        <w:pStyle w:val="Head1"/>
      </w:pPr>
      <w:r>
        <w:t>2 Agent Design</w:t>
      </w:r>
    </w:p>
    <w:p>
      <w:pPr>
        <w:pStyle w:val="Para"/>
      </w:pPr>
      <w:r>
        <w:t>[[SECTION 2, target 1.3 pages. The four subsections below answer the four phrases of the call verbatim. Figure 1 belongs in this section and should be the architecture diagram.]]</w:t>
      </w:r>
    </w:p>
    <w:p>
      <w:pPr>
        <w:pStyle w:val="Head2"/>
      </w:pPr>
      <w:r>
        <w:t>2.1 Architecture and Tool Orchestration</w:t>
      </w:r>
    </w:p>
    <w:p>
      <w:pPr>
        <w:pStyle w:val="Para"/>
      </w:pPr>
      <w:r>
        <w:t>[[Target 340 words. Cover: the skill and harness split, that skills encode intent and the harness encodes guarantees; the four subagents and their tool grants as the mechanism rather than a convention (data-scout reports and cannot write, spatial-analyst prices choices and cannot write to decisions/, plan-reviewer and map-reviewer can only read); what the harness refuses at the hook level, in particular that siting/ and handbooks/ are read-only during a run, so a failing check is a finding to report rather than a file to change; generator and evaluator separation; state persistence and resume. Cite NORA [9] here and say plainly what is different in this work, namely that the review dimensions are data adequacy, method fitness, spatial rigour, accountability and actionability, and that where NORA pauses for approval this system refuses to assume and prices the disagreement when it arrives.]]</w:t>
      </w:r>
    </w:p>
    <w:p>
      <w:pPr>
        <w:pStyle w:val="Head2"/>
      </w:pPr>
      <w:r>
        <w:t>2.2 Data Acquisition and Spatial Reasoning</w:t>
      </w:r>
    </w:p>
    <w:p>
      <w:pPr>
        <w:pStyle w:val="Para"/>
      </w:pPr>
      <w:r>
        <w:t>[[Target 340 words. Cover: the handbook per source, holding endpoint, semantics, licence and cleaning rules, so cleaning is declared rather than improvised; the sources actually used (WPdx+ [8], WorldPop [7], GADM [10], and the friction surface [6]); the retrieval ledger, so that every figure in either document resolves to a recorded retrieval; that a source without its credential is excluded and the exclusion is printed rather than left to be inferred from a missing figure; the refusal of any synthetic fallback. Then the spatial reasoning: distance computed in a projected CRS with the departure from great circle measured and reported; coverage as the union over facilities, recomputed independently by the evaluator, with the figure a per-facility sum would have claimed reported alongside; the greedy MCLP within 1-1/e of the optimum, the population-weighted p-centre, and the optional exact solve with spopt as a benchmark; the derivation of lattice spacing and minimum separation from the chosen radius, and why those are technical parameters rather than register entries.]]</w:t>
      </w:r>
    </w:p>
    <w:p>
      <w:pPr>
        <w:pStyle w:val="Head2"/>
      </w:pPr>
      <w:r>
        <w:t>2.3 Error Recovery and Spatial Misalignment Handling</w:t>
      </w:r>
    </w:p>
    <w:p>
      <w:pPr>
        <w:pStyle w:val="Para"/>
      </w:pPr>
      <w:r>
        <w:t>[[Target 300 words. Cover: how the area of interest is chosen, namely the administrative boundary where the boundary source and the register can be shown to describe the same place and an envelope around the records where they cannot, with the choice always stated; the status semantics problem, where an equality test against the string Functional would have scored every point in Mayuge as not serving and inflated the gap, and how the handbook's status_semantics block prevents that; unrecognised status strings treated conservatively; deduplication and the drop reasons carried into the record; aggregation sensitivity, boundary exposure and equity tested every run. This is the subsection that most directly answers the call's phrase on dynamic resolution of CRS mismatches at ingestion, so name the mechanism, not the aspiration.]]</w:t>
      </w:r>
    </w:p>
    <w:p>
      <w:pPr>
        <w:pStyle w:val="Head2"/>
      </w:pPr>
      <w:r>
        <w:t>2.4 Value Judgements and Human Attribution</w:t>
      </w:r>
    </w:p>
    <w:p>
      <w:pPr>
        <w:pStyle w:val="Para"/>
      </w:pPr>
      <w:r>
        <w:t>[[Target 320 words, and the most important subsection in the paper. Cover: the decision register and the refusal to run without it, including what the run prints when nothing has been recorded; that the agent may not compose an officer's reason, only copy what they actually said, and that a position decision carries one of its declared choices while conditions live in the reason field printed beside the value everywhere it appears; the verbatim multilingual record, and the argument that paraphrasing a justification into English is a value transformation that detaches the record from the officer; the four override verbs, that an override is never blocked and always priced; automatic mode as a different signature, with the marked paragraph on the cover naming how many judgements were the machine's. State once and plainly that an automatic-mode decision is never described as the district's position.]]</w:t>
      </w:r>
    </w:p>
    <w:p>
      <w:pPr>
        <w:pStyle w:val="Image"/>
      </w:pPr>
    </w:p>
    <w:p>
      <w:pPr>
        <w:pStyle w:val="FigureCaption"/>
      </w:pPr>
      <w:r>
        <w:t>Figure 1: [[Architecture. Suggested content: the two halves of the principle, with the autonomous pipeline on one side and the decision register interrupting it on the other; the four subagents with their tool grants shown as read or write; the harness hooks; and the single results file from which both documents compile. Provide alt text.]]</w:t>
      </w:r>
    </w:p>
    <w:p>
      <w:pPr>
        <w:pStyle w:val="Head1"/>
      </w:pPr>
      <w:r>
        <w:t>3 Results and Analysis</w:t>
      </w:r>
    </w:p>
    <w:p>
      <w:pPr>
        <w:pStyle w:val="Head2"/>
      </w:pPr>
      <w:r>
        <w:t>3.1 Case and Baseline</w:t>
      </w:r>
    </w:p>
    <w:p>
      <w:pPr>
        <w:pStyle w:val="Para"/>
      </w:pPr>
      <w:r>
        <w:t>[[Target 300 words. The register as retrieved, the decisions as recorded with the officer's own reasons, and the baseline that follows from them. Note that the official atlas and WPdx describe the same district differently, which is itself evidence that data adequacy is a judgement rather than a threshold. Table 1 belongs here.]]</w:t>
      </w:r>
    </w:p>
    <w:p>
      <w:pPr>
        <w:pStyle w:val="Head2"/>
      </w:pPr>
      <w:r>
        <w:t>3.2 Recommendation, Override, and Sensitivity</w:t>
      </w:r>
    </w:p>
    <w:p>
      <w:pPr>
        <w:pStyle w:val="Para"/>
      </w:pPr>
      <w:r>
        <w:t>[[Target 400 words. The plan and what each site buys, the flattening of the marginal return, the rehabilitation among the new builds; the objective trade-off measured on this district; one priced override; sensitivity across radius and coverage basis. Figure 2 belongs here.]]</w:t>
      </w:r>
    </w:p>
    <w:p>
      <w:pPr>
        <w:pStyle w:val="Head2"/>
      </w:pPr>
      <w:r>
        <w:t>3.3 Internal Consistency and Failure Cases</w:t>
      </w:r>
    </w:p>
    <w:p>
      <w:pPr>
        <w:pStyle w:val="Para"/>
      </w:pPr>
      <w:r>
        <w:t>[[Target 320 words. The independent recomputation of coverage against what a per-facility sum would have claimed; the cartographic check, and the finding that walking-time reach was drawn as uniform circles, so that a reader of the map alone would conclude the plan touched far less of the district than the coverage figure credits; the run halting rather than issuing; the state that failed to attach to the run; and the fact that the agent declined to edit the instrument to clear its own gate. Say plainly which of these is a finding about the district and which is a defect in the tool.]]</w:t>
      </w:r>
    </w:p>
    <w:p>
      <w:pPr>
        <w:pStyle w:val="Image"/>
      </w:pPr>
    </w:p>
    <w:p>
      <w:pPr>
        <w:pStyle w:val="FigureCaption"/>
      </w:pPr>
      <w:r>
        <w:t>Figure 2: [[Suggested content: the recommended sites over the demand surface, with reach drawn on the basis the district actually chose, beside the coverage against budget curve. Provide alt text.]]</w:t>
      </w:r>
    </w:p>
    <w:p>
      <w:pPr>
        <w:pStyle w:val="Head1"/>
      </w:pPr>
      <w:r>
        <w:t>4 Social Impact and Reflection</w:t>
      </w:r>
    </w:p>
    <w:p>
      <w:pPr>
        <w:pStyle w:val="Para"/>
      </w:pPr>
      <w:r>
        <w:t>[[Target 0.5 page, no subheadings. Four moves. What the account buys a district that a coordinate list does not, and who is able to use it. The ethical position on automated decision making, namely that the objection is not to machine judgement but to unattributed machine judgement, and what automatic mode does about that. Lessons learned, including the two the transcript supplies: that an officer's first answer is often a position with no reasoning attached, and that a system which will not compose their reason for them changes what gets recorded. Limitations: one district, one domain, a modelled friction surface that does not know local footpaths, a register whose serving category is not what it appears to be, and the fact that this system improves the account rather than the water supply.]]</w:t>
      </w:r>
    </w:p>
    <w:p>
      <w:pPr>
        <w:pStyle w:val="Head1"/>
      </w:pPr>
      <w:r>
        <w:t>5 Eligibility and Contribution Statement</w:t>
      </w:r>
    </w:p>
    <w:p>
      <w:pPr>
        <w:pStyle w:val="Para"/>
      </w:pPr>
      <w:r>
        <w:t>[[Required by the call. Confirm the student status of every author and state each member's contribution in one sentence. Keep to three or four lines.]]</w:t>
      </w:r>
    </w:p>
    <w:p>
      <w:pPr>
        <w:pStyle w:val="AckHead"/>
      </w:pPr>
      <w:r>
        <w:t>ACKNOWLEDGMENTS</w:t>
      </w:r>
    </w:p>
    <w:p>
      <w:pPr>
        <w:pStyle w:val="AckPara"/>
      </w:pPr>
      <w:r>
        <w:t>[[Optional. Delete if not needed, since the four page limit includes references.]]</w:t>
      </w:r>
    </w:p>
    <w:p>
      <w:pPr>
        <w:pStyle w:val="ReferenceHead"/>
      </w:pPr>
      <w:r>
        <w:t>REFERENCES</w:t>
      </w:r>
    </w:p>
    <w:p>
      <w:pPr>
        <w:pStyle w:val="Bibentry"/>
      </w:pPr>
      <w:r>
        <w:t>[1]</w:t>
        <w:tab/>
        <w:t>Tim Foster. 2013. Predictors of sustainability for community-managed handpumps in sub-Saharan Africa: evidence from Liberia, Sierra Leone, and Uganda. Environmental Science &amp; Technology 47, 21 (2013), 12037-12046. [[VERIFY authors and pagination]]</w:t>
      </w:r>
    </w:p>
    <w:p>
      <w:pPr>
        <w:pStyle w:val="Bibentry"/>
      </w:pPr>
      <w:r>
        <w:t>[2]</w:t>
        <w:tab/>
        <w:t>Caroline McManus, Kelsey Lane, Seydou Diarra, and Ryan Cronk. 2025. Alternative indicators of handpump functionality: toward consistent performance-oriented monitoring. PLOS Water 4, 5 (2025), e0000271. https://doi.org/10.1371/journal.pwat.0000271</w:t>
      </w:r>
    </w:p>
    <w:p>
      <w:pPr>
        <w:pStyle w:val="Bibentry"/>
      </w:pPr>
      <w:r>
        <w:t>[3]</w:t>
        <w:tab/>
        <w:t>A. Murray et al. 2024. Rural water point functionality estimates and associations: evidence from nine countries in sub-Saharan Africa and South Asia. Water Resources Research 60 (2024). https://doi.org/10.1029/2023WR034679 [[VERIFY author list]]</w:t>
      </w:r>
    </w:p>
    <w:p>
      <w:pPr>
        <w:pStyle w:val="Bibentry"/>
      </w:pPr>
      <w:r>
        <w:t>[4]</w:t>
        <w:tab/>
        <w:t>Ministry of Water and Environment, Uganda. Uganda Water Supply Atlas: Mayuge District. Retrieved [[date]] from http://wsdb.mwe.go.ug/index.php/reports/district/58 [[VERIFY the sub-county coverage range against the live page before submission]]</w:t>
      </w:r>
    </w:p>
    <w:p>
      <w:pPr>
        <w:pStyle w:val="Bibentry"/>
      </w:pPr>
      <w:r>
        <w:t>[5]</w:t>
        <w:tab/>
        <w:t>WHO and UNICEF Joint Monitoring Programme for Water Supply, Sanitation and Hygiene. [[year]]. Progress on household drinking water, sanitation and hygiene. WHO and UNICEF, Geneva. [[VERIFY edition and the figure cited in Section 1]]</w:t>
      </w:r>
    </w:p>
    <w:p>
      <w:pPr>
        <w:pStyle w:val="Bibentry"/>
      </w:pPr>
      <w:r>
        <w:t>[6]</w:t>
        <w:tab/>
        <w:t>D. J. Weiss et al. 2018. A global map of travel time to cities to assess inequalities in accessibility in 2015. Nature 553 (2018), 333-336. [[VERIFY that this is the friction surface release the run actually used]]</w:t>
      </w:r>
    </w:p>
    <w:p>
      <w:pPr>
        <w:pStyle w:val="Bibentry"/>
      </w:pPr>
      <w:r>
        <w:t>[7]</w:t>
        <w:tab/>
        <w:t>WorldPop. Population counts, Uganda. University of Southampton. https://www.worldpop.org [[add the dataset year and DOI actually retrieved]]</w:t>
      </w:r>
    </w:p>
    <w:p>
      <w:pPr>
        <w:pStyle w:val="Bibentry"/>
      </w:pPr>
      <w:r>
        <w:t>[8]</w:t>
        <w:tab/>
        <w:t>Water Point Data Exchange (WPdx+). Global Water Challenge. https://www.waterpointdata.org [[add the retrieval date recorded in the run ledger]]</w:t>
      </w:r>
    </w:p>
    <w:p>
      <w:pPr>
        <w:pStyle w:val="Bibentry"/>
      </w:pPr>
      <w:r>
        <w:t>[9]</w:t>
        <w:tab/>
        <w:t>Zhou, Huang, Ning, Wu, Li, and Zhang. 2026. NORA. arXiv:2605.02092. [[complete the author given names and the full title]]</w:t>
      </w:r>
    </w:p>
    <w:p>
      <w:pPr>
        <w:pStyle w:val="Bibentry"/>
      </w:pPr>
      <w:r>
        <w:t>[10]</w:t>
        <w:tab/>
        <w:t>GADM. Database of global administrative areas, version [[x]]. https://gadm.org</w:t>
      </w:r>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FD78E" w14:textId="77777777" w:rsidR="005C0062" w:rsidRDefault="005C0062">
      <w:r>
        <w:separator/>
      </w:r>
    </w:p>
  </w:endnote>
  <w:endnote w:type="continuationSeparator" w:id="0">
    <w:p w14:paraId="44EFDEA7" w14:textId="77777777" w:rsidR="005C0062" w:rsidRDefault="005C0062">
      <w:r>
        <w:continuationSeparator/>
      </w:r>
    </w:p>
  </w:endnote>
  <w:endnote w:type="continuationNotice" w:id="1">
    <w:p w14:paraId="7046FBEE" w14:textId="77777777" w:rsidR="005C0062" w:rsidRDefault="005C0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4D3A" w14:textId="77777777" w:rsidR="00586A35" w:rsidRPr="00586A35" w:rsidRDefault="00586A35" w:rsidP="00586A35">
    <w:pPr>
      <w:pStyle w:val="Footer"/>
      <w:rPr>
        <w:rStyle w:val="PageNumber"/>
        <w:rFonts w:ascii="Linux Biolinum" w:hAnsi="Linux Biolinum" w:cs="Linux Biolinum"/>
      </w:rPr>
    </w:pPr>
  </w:p>
  <w:p w14:paraId="530B8BDA"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0FC3A"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E058" w14:textId="77777777" w:rsidR="005C0062" w:rsidRDefault="005C0062">
      <w:r>
        <w:separator/>
      </w:r>
    </w:p>
  </w:footnote>
  <w:footnote w:type="continuationSeparator" w:id="0">
    <w:p w14:paraId="0A0135D0" w14:textId="77777777" w:rsidR="005C0062" w:rsidRDefault="005C0062">
      <w:r>
        <w:continuationSeparator/>
      </w:r>
    </w:p>
  </w:footnote>
  <w:footnote w:type="continuationNotice" w:id="1">
    <w:p w14:paraId="47D2A9CE" w14:textId="77777777" w:rsidR="005C0062" w:rsidRDefault="005C0062"/>
  </w:footnote>
  <w:footnote w:id="2">
    <w:p w14:paraId="6DE04DD5" w14:textId="77777777" w:rsidR="00DC112E" w:rsidRDefault="00DC112E" w:rsidP="00DC112E">
      <w:pPr>
        <w:pStyle w:val="FootnoteText"/>
      </w:pPr>
      <w:r>
        <w:rPr>
          <w:rStyle w:val="FootnoteReference"/>
        </w:rPr>
        <w:footnoteRef/>
      </w:r>
      <w:r>
        <w:t xml:space="preserve"> The existing Bibstrip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B8C25DF" w14:textId="77777777" w:rsidTr="00586A35">
      <w:tc>
        <w:tcPr>
          <w:tcW w:w="2500" w:type="pct"/>
          <w:vAlign w:val="center"/>
        </w:tcPr>
        <w:p w14:paraId="0839EA99"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14:paraId="30E991D3"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1A9583C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5D496121" w14:textId="77777777" w:rsidTr="00586A35">
      <w:tc>
        <w:tcPr>
          <w:tcW w:w="2500" w:type="pct"/>
          <w:vAlign w:val="center"/>
        </w:tcPr>
        <w:p w14:paraId="6C8BF813"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50B8D17C"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14:paraId="63201C15"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3650852">
    <w:abstractNumId w:val="28"/>
  </w:num>
  <w:num w:numId="2" w16cid:durableId="501240163">
    <w:abstractNumId w:val="14"/>
  </w:num>
  <w:num w:numId="3" w16cid:durableId="403140966">
    <w:abstractNumId w:val="10"/>
  </w:num>
  <w:num w:numId="4" w16cid:durableId="2032146662">
    <w:abstractNumId w:val="27"/>
  </w:num>
  <w:num w:numId="5" w16cid:durableId="556864577">
    <w:abstractNumId w:val="19"/>
  </w:num>
  <w:num w:numId="6" w16cid:durableId="1659116087">
    <w:abstractNumId w:val="15"/>
  </w:num>
  <w:num w:numId="7" w16cid:durableId="1430470961">
    <w:abstractNumId w:val="25"/>
  </w:num>
  <w:num w:numId="8" w16cid:durableId="1307123707">
    <w:abstractNumId w:val="21"/>
  </w:num>
  <w:num w:numId="9" w16cid:durableId="594291693">
    <w:abstractNumId w:val="24"/>
  </w:num>
  <w:num w:numId="10" w16cid:durableId="992831064">
    <w:abstractNumId w:val="9"/>
  </w:num>
  <w:num w:numId="11" w16cid:durableId="1407144677">
    <w:abstractNumId w:val="7"/>
  </w:num>
  <w:num w:numId="12" w16cid:durableId="21171856">
    <w:abstractNumId w:val="6"/>
  </w:num>
  <w:num w:numId="13" w16cid:durableId="1648627468">
    <w:abstractNumId w:val="5"/>
  </w:num>
  <w:num w:numId="14" w16cid:durableId="1804421974">
    <w:abstractNumId w:val="4"/>
  </w:num>
  <w:num w:numId="15" w16cid:durableId="402339594">
    <w:abstractNumId w:val="8"/>
  </w:num>
  <w:num w:numId="16" w16cid:durableId="1452673133">
    <w:abstractNumId w:val="3"/>
  </w:num>
  <w:num w:numId="17" w16cid:durableId="23412387">
    <w:abstractNumId w:val="2"/>
  </w:num>
  <w:num w:numId="18" w16cid:durableId="1267300860">
    <w:abstractNumId w:val="1"/>
  </w:num>
  <w:num w:numId="19" w16cid:durableId="1357927709">
    <w:abstractNumId w:val="0"/>
  </w:num>
  <w:num w:numId="20" w16cid:durableId="1565919636">
    <w:abstractNumId w:val="20"/>
  </w:num>
  <w:num w:numId="21" w16cid:durableId="1326400843">
    <w:abstractNumId w:val="23"/>
  </w:num>
  <w:num w:numId="22" w16cid:durableId="1852333500">
    <w:abstractNumId w:val="29"/>
  </w:num>
  <w:num w:numId="23" w16cid:durableId="2082436269">
    <w:abstractNumId w:val="13"/>
  </w:num>
  <w:num w:numId="24" w16cid:durableId="1157301503">
    <w:abstractNumId w:val="26"/>
  </w:num>
  <w:num w:numId="25" w16cid:durableId="844056796">
    <w:abstractNumId w:val="22"/>
  </w:num>
  <w:num w:numId="26" w16cid:durableId="24916285">
    <w:abstractNumId w:val="16"/>
  </w:num>
  <w:num w:numId="27" w16cid:durableId="86293774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81486442">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40905605">
    <w:abstractNumId w:val="17"/>
  </w:num>
  <w:num w:numId="30" w16cid:durableId="1748456568">
    <w:abstractNumId w:val="12"/>
  </w:num>
  <w:num w:numId="31" w16cid:durableId="2122071075">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ttachedTemplate r:id="rId1"/>
  <w:linkStyles/>
  <w:defaultTabStop w:val="708"/>
  <w:hyphenationZone w:val="283"/>
  <w:evenAndOddHeaders/>
  <w:characterSpacingControl w:val="doNotCompress"/>
  <w:hdrShapeDefaults>
    <o:shapedefaults v:ext="edit" spidmax="4097"/>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8121B9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email@email.com" TargetMode="External"/><Relationship Id="rId18" Type="http://schemas.openxmlformats.org/officeDocument/2006/relationships/image" Target="media/image2.jp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wmf"/><Relationship Id="rId10" Type="http://schemas.openxmlformats.org/officeDocument/2006/relationships/header" Target="header2.xml"/><Relationship Id="rId19" Type="http://schemas.openxmlformats.org/officeDocument/2006/relationships/hyperlink" Target="https://doi.org/"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s://www.acm.org/publications/proceedings-templ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5</TotalTime>
  <Pages>2</Pages>
  <Words>1281</Words>
  <Characters>7302</Characters>
  <Application>Microsoft Office Word</Application>
  <DocSecurity>0</DocSecurity>
  <Lines>60</Lines>
  <Paragraphs>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8566</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Craig Rodkin</cp:lastModifiedBy>
  <cp:revision>4</cp:revision>
  <cp:lastPrinted>2018-05-22T11:24:00Z</cp:lastPrinted>
  <dcterms:created xsi:type="dcterms:W3CDTF">2019-10-29T19:38:00Z</dcterms:created>
  <dcterms:modified xsi:type="dcterms:W3CDTF">2025-07-09T15:06:00Z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