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4EAEE" w14:textId="77777777" w:rsidR="0007392C" w:rsidRPr="00586A35" w:rsidRDefault="003C3338" w:rsidP="007A502C">
      <w:pPr>
        <w:pStyle w:val="Titledocument"/>
        <w:rPr>
          <w14:ligatures w14:val="standard"/>
        </w:rPr>
      </w:pPr>
      <w:r w:rsidRPr="00586A35">
        <w:rPr>
          <w:bCs/>
          <w14:ligatures w14:val="standard"/>
        </w:rPr>
        <w:t>Autonomous Where Technical, Refusing Where Value-Laden</w:t>
      </w:r>
    </w:p>
    <w:p w14:paraId="4A05A578" w14:textId="77777777" w:rsidR="0007392C" w:rsidRPr="00586A35" w:rsidRDefault="003C3338" w:rsidP="007A502C">
      <w:pPr>
        <w:pStyle w:val="Subtitle"/>
        <w:rPr>
          <w14:ligatures w14:val="standard"/>
        </w:rPr>
      </w:pPr>
      <w:r w:rsidRPr="00586A35">
        <w:rPr>
          <w:bCs/>
          <w14:ligatures w14:val="standard"/>
        </w:rPr>
        <w:t>A Multi-Task Siting Agent for Public Health Resource Allocation in Under-Resourced Districts</w:t>
      </w:r>
    </w:p>
    <w:p w14:paraId="55A9D3EB" w14:textId="77777777" w:rsidR="00586A35" w:rsidRPr="00586A35" w:rsidRDefault="00586A35" w:rsidP="00F3231F">
      <w:pPr>
        <w:pStyle w:val="Authors"/>
        <w:rPr>
          <w:rStyle w:val="FirstName"/>
          <w14:ligatures w14:val="standard"/>
        </w:rPr>
        <w:sectPr w:rsidR="00586A35" w:rsidRPr="00586A35"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F33CAB7" w14:textId="77777777" w:rsidR="00D87692" w:rsidRPr="00D87692" w:rsidRDefault="003C3338" w:rsidP="00D87692">
      <w:pPr>
        <w:pStyle w:val="Authors"/>
        <w:jc w:val="center"/>
        <w:rPr>
          <w:rStyle w:val="FirstName"/>
          <w:sz w:val="20"/>
          <w:szCs w:val="18"/>
          <w:lang w:eastAsia="zh-CN"/>
          <w14:ligatures w14:val="standard"/>
        </w:rPr>
      </w:pPr>
      <w:proofErr w:type="spellStart"/>
      <w:r w:rsidRPr="00586A35">
        <w:rPr>
          <w:rStyle w:val="FirstName"/>
          <w14:ligatures w14:val="standard"/>
        </w:rPr>
        <w:t>Zongrong</w:t>
      </w:r>
      <w:proofErr w:type="spellEnd"/>
      <w:r w:rsidRPr="00586A35">
        <w:rPr>
          <w:rStyle w:val="FirstName"/>
          <w14:ligatures w14:val="standard"/>
        </w:rPr>
        <w:t xml:space="preserve"> Li</w:t>
      </w:r>
      <w:r w:rsidRPr="00586A35">
        <w:rPr>
          <w:rStyle w:val="FirstName"/>
          <w14:ligatures w14:val="standard"/>
        </w:rPr>
        <w:br/>
      </w:r>
      <w:r w:rsidRPr="00D87692">
        <w:rPr>
          <w:rStyle w:val="FirstName"/>
          <w:sz w:val="20"/>
          <w:szCs w:val="18"/>
          <w14:ligatures w14:val="standard"/>
        </w:rPr>
        <w:t>[[Department]]</w:t>
      </w:r>
      <w:r w:rsidRPr="00D87692">
        <w:rPr>
          <w:rStyle w:val="FirstName"/>
          <w:sz w:val="20"/>
          <w:szCs w:val="18"/>
          <w14:ligatures w14:val="standard"/>
        </w:rPr>
        <w:br/>
        <w:t>Texas A&amp;M University</w:t>
      </w:r>
      <w:r w:rsidRPr="00D87692">
        <w:rPr>
          <w:rStyle w:val="FirstName"/>
          <w:sz w:val="20"/>
          <w:szCs w:val="18"/>
          <w14:ligatures w14:val="standard"/>
        </w:rPr>
        <w:br/>
        <w:t>College Station, Texas, USA</w:t>
      </w:r>
      <w:r w:rsidRPr="00D87692">
        <w:rPr>
          <w:rStyle w:val="FirstName"/>
          <w:sz w:val="20"/>
          <w:szCs w:val="18"/>
          <w14:ligatures w14:val="standard"/>
        </w:rPr>
        <w:br/>
        <w:t>zongrong@tamu.edu</w:t>
      </w:r>
    </w:p>
    <w:p w14:paraId="30F4C159" w14:textId="77777777" w:rsidR="00D87692" w:rsidRPr="00D87692" w:rsidRDefault="003C3338" w:rsidP="00D87692">
      <w:pPr>
        <w:pStyle w:val="Authors"/>
        <w:jc w:val="center"/>
        <w:rPr>
          <w:sz w:val="20"/>
          <w:szCs w:val="18"/>
          <w:lang w:eastAsia="zh-CN"/>
          <w14:ligatures w14:val="standard"/>
        </w:rPr>
        <w:sectPr w:rsidR="00D87692" w:rsidRPr="00D87692" w:rsidSect="00D87692">
          <w:endnotePr>
            <w:numFmt w:val="decimal"/>
          </w:endnotePr>
          <w:type w:val="continuous"/>
          <w:pgSz w:w="12240" w:h="15840" w:code="9"/>
          <w:pgMar w:top="1500" w:right="1080" w:bottom="1600" w:left="1080" w:header="1080" w:footer="1080" w:gutter="0"/>
          <w:pgNumType w:start="1"/>
          <w:cols w:num="2" w:space="720"/>
          <w:titlePg/>
          <w:docGrid w:linePitch="360"/>
        </w:sectPr>
      </w:pPr>
      <w:r w:rsidRPr="00586A35">
        <w:rPr>
          <w:rStyle w:val="FirstName"/>
          <w14:ligatures w14:val="standard"/>
        </w:rPr>
        <w:t>Yibin Gao</w:t>
      </w:r>
      <w:r w:rsidRPr="00586A35">
        <w:rPr>
          <w:rStyle w:val="FirstName"/>
          <w14:ligatures w14:val="standard"/>
        </w:rPr>
        <w:br/>
      </w:r>
      <w:r w:rsidR="006B170C">
        <w:rPr>
          <w:rStyle w:val="FirstName"/>
          <w:rFonts w:hint="eastAsia"/>
          <w:sz w:val="20"/>
          <w:szCs w:val="18"/>
          <w:lang w:eastAsia="zh-CN"/>
          <w14:ligatures w14:val="standard"/>
        </w:rPr>
        <w:t>Spatial</w:t>
      </w:r>
      <w:r w:rsidR="006B170C">
        <w:rPr>
          <w:rStyle w:val="FirstName"/>
          <w:sz w:val="20"/>
          <w:szCs w:val="18"/>
          <w:lang w:eastAsia="zh-CN"/>
          <w14:ligatures w14:val="standard"/>
        </w:rPr>
        <w:t xml:space="preserve"> Science Institute</w:t>
      </w:r>
      <w:r w:rsidRPr="00D87692">
        <w:rPr>
          <w:rStyle w:val="FirstName"/>
          <w:sz w:val="20"/>
          <w:szCs w:val="18"/>
          <w14:ligatures w14:val="standard"/>
        </w:rPr>
        <w:br/>
        <w:t>University of Southern California</w:t>
      </w:r>
      <w:r w:rsidRPr="00D87692">
        <w:rPr>
          <w:rStyle w:val="FirstName"/>
          <w:sz w:val="20"/>
          <w:szCs w:val="18"/>
          <w14:ligatures w14:val="standard"/>
        </w:rPr>
        <w:br/>
        <w:t>Los Angeles, California, USA</w:t>
      </w:r>
      <w:r w:rsidRPr="00D87692">
        <w:rPr>
          <w:rStyle w:val="FirstName"/>
          <w:sz w:val="20"/>
          <w:szCs w:val="18"/>
          <w14:ligatures w14:val="standard"/>
        </w:rPr>
        <w:br/>
        <w:t>yibingao@usc.ed</w:t>
      </w:r>
      <w:r w:rsidR="00D87692" w:rsidRPr="00D87692">
        <w:rPr>
          <w:rStyle w:val="FirstName"/>
          <w:sz w:val="20"/>
          <w:szCs w:val="18"/>
          <w14:ligatures w14:val="standard"/>
        </w:rPr>
        <w:t>u</w:t>
      </w:r>
    </w:p>
    <w:p w14:paraId="38AA3857" w14:textId="77777777" w:rsidR="00D87692" w:rsidRPr="00586A35" w:rsidRDefault="00D87692" w:rsidP="00694749">
      <w:pPr>
        <w:pStyle w:val="TitleNote"/>
        <w:rPr>
          <w:rFonts w:ascii="Cambria Math" w:hAnsi="Cambria Math" w:cs="Cambria Math"/>
          <w:bCs/>
          <w:color w:val="auto"/>
          <w:vertAlign w:val="superscript"/>
          <w:lang w:eastAsia="zh-CN"/>
          <w14:ligatures w14:val="standard"/>
        </w:rPr>
        <w:sectPr w:rsidR="00D87692" w:rsidRPr="00586A35" w:rsidSect="00D87692">
          <w:endnotePr>
            <w:numFmt w:val="decimal"/>
          </w:endnotePr>
          <w:type w:val="continuous"/>
          <w:pgSz w:w="12240" w:h="15840" w:code="9"/>
          <w:pgMar w:top="1503" w:right="1077" w:bottom="1599" w:left="1077" w:header="1077" w:footer="1077" w:gutter="0"/>
          <w:pgNumType w:start="1"/>
          <w:cols w:num="3" w:space="720"/>
          <w:titlePg/>
          <w:docGrid w:linePitch="360"/>
        </w:sectPr>
      </w:pPr>
    </w:p>
    <w:p w14:paraId="7540469B" w14:textId="77777777" w:rsidR="00D87692" w:rsidRPr="00586A35" w:rsidRDefault="00D87692" w:rsidP="00D87692">
      <w:pPr>
        <w:pStyle w:val="TitleNote"/>
        <w:rPr>
          <w:rFonts w:ascii="Cambria Math" w:hAnsi="Cambria Math" w:cs="Cambria Math"/>
          <w:bCs/>
          <w:color w:val="auto"/>
          <w:vertAlign w:val="superscript"/>
          <w:lang w:eastAsia="zh-CN"/>
          <w14:ligatures w14:val="standard"/>
        </w:rPr>
        <w:sectPr w:rsidR="00D87692" w:rsidRPr="00586A35" w:rsidSect="00D87692">
          <w:headerReference w:type="even" r:id="rId13"/>
          <w:headerReference w:type="default" r:id="rId14"/>
          <w:footerReference w:type="even" r:id="rId15"/>
          <w:footerReference w:type="default" r:id="rId16"/>
          <w:endnotePr>
            <w:numFmt w:val="decimal"/>
          </w:endnotePr>
          <w:type w:val="continuous"/>
          <w:pgSz w:w="12240" w:h="15840" w:code="9"/>
          <w:pgMar w:top="1503" w:right="1077" w:bottom="1599" w:left="1077" w:header="1077" w:footer="1077" w:gutter="0"/>
          <w:pgNumType w:start="1"/>
          <w:cols w:num="3" w:space="720"/>
          <w:titlePg/>
          <w:docGrid w:linePitch="360"/>
        </w:sectPr>
      </w:pPr>
    </w:p>
    <w:p w14:paraId="3DE1A2D1" w14:textId="77777777" w:rsidR="00D87692" w:rsidRPr="00D87692" w:rsidRDefault="00D87692" w:rsidP="00694749">
      <w:pPr>
        <w:pStyle w:val="AbsHead"/>
        <w:rPr>
          <w:lang w:val="en-US" w:eastAsia="zh-CN"/>
          <w14:ligatures w14:val="standard"/>
        </w:rPr>
      </w:pPr>
    </w:p>
    <w:p w14:paraId="1430052B" w14:textId="77777777" w:rsidR="0007392C" w:rsidRPr="00586A35" w:rsidRDefault="007A502C" w:rsidP="00694749">
      <w:pPr>
        <w:pStyle w:val="AbsHead"/>
        <w:rPr>
          <w14:ligatures w14:val="standard"/>
        </w:rPr>
      </w:pPr>
      <w:r w:rsidRPr="00586A35">
        <w:rPr>
          <w14:ligatures w14:val="standard"/>
        </w:rPr>
        <w:t>ABSTRACT</w:t>
      </w:r>
    </w:p>
    <w:p w14:paraId="114302EA" w14:textId="77777777" w:rsidR="00DC112E" w:rsidRPr="00586A35" w:rsidRDefault="00DC112E" w:rsidP="00D87692">
      <w:pPr>
        <w:pStyle w:val="Abstract"/>
        <w:spacing w:line="240" w:lineRule="auto"/>
        <w:rPr>
          <w:rFonts w:eastAsia="Verdana"/>
          <w14:ligatures w14:val="standard"/>
        </w:rPr>
      </w:pPr>
      <w:r w:rsidRPr="00586A35">
        <w:rPr>
          <w:rFonts w:eastAsia="Verdana"/>
          <w14:ligatures w14:val="standard"/>
        </w:rPr>
        <w:t xml:space="preserve">[[ABSTRACT, target 150 words. Five moves, one or two sentences each: (1) siting tools carry value-laden constants, and the weight of that default is greatest in districts with the least capacity to contest it; (2) we present a multi-task siting agent that is fully autonomous on technical work and refuses to take value judgements on the district's behalf, recording each one against a named person in their own language; (3) a domain-agnostic four-slot compiler, with the water domain implemented here; (4) the </w:t>
      </w:r>
      <w:proofErr w:type="spellStart"/>
      <w:r w:rsidRPr="00586A35">
        <w:rPr>
          <w:rFonts w:eastAsia="Verdana"/>
          <w14:ligatures w14:val="standard"/>
        </w:rPr>
        <w:t>Mayuge</w:t>
      </w:r>
      <w:proofErr w:type="spellEnd"/>
      <w:r w:rsidRPr="00586A35">
        <w:rPr>
          <w:rFonts w:eastAsia="Verdana"/>
          <w14:ligatures w14:val="standard"/>
        </w:rPr>
        <w:t xml:space="preserve"> case, with the headline finding that the reported baseline follows from a definition rather than a measurement; (5) what the account buys a reviewing officer. Write this last.]]</w:t>
      </w:r>
    </w:p>
    <w:p w14:paraId="52D378A3" w14:textId="77777777" w:rsidR="00B4052C" w:rsidRDefault="00B4052C" w:rsidP="00B4052C">
      <w:pPr>
        <w:pStyle w:val="PermissionBlock"/>
        <w:framePr w:w="4680" w:h="1441" w:hRule="exact" w:hSpace="187" w:wrap="around" w:vAnchor="page" w:hAnchor="page" w:x="1089" w:y="12601" w:anchorLock="1"/>
      </w:pPr>
      <w:r>
        <w:t xml:space="preserve">Permission to make digital or hard copies of part or </w:t>
      </w:r>
      <w:proofErr w:type="gramStart"/>
      <w:r>
        <w:t>all of</w:t>
      </w:r>
      <w:proofErr w:type="gramEnd"/>
      <w:r>
        <w:t xml:space="preserve"> this work for personal or classroom use is granted without fee </w:t>
      </w:r>
      <w:proofErr w:type="gramStart"/>
      <w:r>
        <w:t>provided that</w:t>
      </w:r>
      <w:proofErr w:type="gramEnd"/>
      <w:r>
        <w:t xml:space="preserve"> copies are not made or distributed for profit or commercial advantage and that copies bear this notice and the full citation on the first page. Copyrights for third-party components of this work must be honored. For all other uses, contact the owner/author(s).</w:t>
      </w:r>
    </w:p>
    <w:p w14:paraId="15C7F6CF" w14:textId="77777777" w:rsidR="00B4052C" w:rsidRPr="00586A35" w:rsidRDefault="00B4052C" w:rsidP="00B4052C">
      <w:pPr>
        <w:pStyle w:val="VersoLRH"/>
        <w:framePr w:w="4680" w:h="1441" w:hRule="exact" w:hSpace="187" w:wrap="around" w:vAnchor="page" w:hAnchor="page" w:x="1089" w:y="12601" w:anchorLock="1"/>
        <w:rPr>
          <w:i/>
        </w:rPr>
      </w:pPr>
      <w:r w:rsidRPr="00586A35">
        <w:rPr>
          <w:i/>
        </w:rPr>
        <w:t xml:space="preserve">WOODSTOCK’18, </w:t>
      </w:r>
      <w:proofErr w:type="gramStart"/>
      <w:r w:rsidRPr="00586A35">
        <w:rPr>
          <w:i/>
        </w:rPr>
        <w:t>June,</w:t>
      </w:r>
      <w:proofErr w:type="gramEnd"/>
      <w:r w:rsidRPr="00586A35">
        <w:rPr>
          <w:i/>
        </w:rPr>
        <w:t xml:space="preserve"> 2018, El Paso, Texas USA</w:t>
      </w:r>
    </w:p>
    <w:p w14:paraId="335424C3" w14:textId="77777777" w:rsidR="00B4052C" w:rsidRDefault="00B4052C" w:rsidP="00B4052C">
      <w:pPr>
        <w:pStyle w:val="PermissionBlock"/>
        <w:framePr w:w="4680" w:h="1441" w:hRule="exact" w:hSpace="187" w:wrap="around" w:vAnchor="page" w:hAnchor="page" w:x="1089" w:y="12601" w:anchorLock="1"/>
      </w:pPr>
      <w:r>
        <w:t>© 2018 Copyright held by the owner/author(s). 978-1-4503-0000-0/</w:t>
      </w:r>
      <w:r w:rsidR="00F1257F">
        <w:t>2005/06</w:t>
      </w:r>
    </w:p>
    <w:p w14:paraId="3E132435" w14:textId="77777777" w:rsidR="00B4052C" w:rsidRPr="004636DF" w:rsidRDefault="00B4052C" w:rsidP="00B4052C">
      <w:pPr>
        <w:framePr w:w="4680" w:h="1441" w:hRule="exact" w:hSpace="187" w:wrap="around" w:vAnchor="page" w:hAnchor="page" w:x="1089" w:y="12601" w:anchorLock="1"/>
        <w:rPr>
          <w:iCs/>
          <w14:ligatures w14:val="standard"/>
        </w:rPr>
      </w:pPr>
      <w:r>
        <w:t>https://doi.org/10.1145/1234567890</w:t>
      </w:r>
    </w:p>
    <w:p w14:paraId="7F60D726" w14:textId="77777777" w:rsidR="0007392C" w:rsidRPr="00586A35" w:rsidRDefault="00675128" w:rsidP="00675128">
      <w:pPr>
        <w:pStyle w:val="CCSHead"/>
        <w:rPr>
          <w:lang w:eastAsia="it-IT"/>
          <w14:ligatures w14:val="standard"/>
        </w:rPr>
      </w:pPr>
      <w:r w:rsidRPr="00586A35">
        <w:rPr>
          <w:lang w:eastAsia="it-IT"/>
          <w14:ligatures w14:val="standard"/>
        </w:rPr>
        <w:t>CCS CONCEPTS</w:t>
      </w:r>
    </w:p>
    <w:p w14:paraId="412ABB19" w14:textId="77777777" w:rsidR="007D3C28" w:rsidRPr="00586A35" w:rsidRDefault="003C3338" w:rsidP="00675128">
      <w:pPr>
        <w:pStyle w:val="CCSDescription"/>
        <w:rPr>
          <w:rFonts w:cs="Linux Libertine"/>
          <w14:ligatures w14:val="standard"/>
        </w:rPr>
      </w:pPr>
      <w:r w:rsidRPr="00586A35">
        <w:rPr>
          <w14:ligatures w14:val="standard"/>
        </w:rPr>
        <w:t>• Information systems → Geographic information systems • Computing methodologies → Intelligent agents • Applied computing → Health informatics • Human-centered computing → Interactive systems and tools</w:t>
      </w:r>
    </w:p>
    <w:p w14:paraId="1F58964F" w14:textId="77777777" w:rsidR="0007392C" w:rsidRPr="00586A35" w:rsidRDefault="00675128" w:rsidP="00675128">
      <w:pPr>
        <w:pStyle w:val="KeyWordHead"/>
        <w:rPr>
          <w:lang w:eastAsia="it-IT"/>
          <w14:ligatures w14:val="standard"/>
        </w:rPr>
      </w:pPr>
      <w:r w:rsidRPr="00586A35">
        <w:rPr>
          <w:lang w:eastAsia="it-IT"/>
          <w14:ligatures w14:val="standard"/>
        </w:rPr>
        <w:t>KEYWORDS</w:t>
      </w:r>
    </w:p>
    <w:p w14:paraId="248B2194" w14:textId="77777777" w:rsidR="0007392C" w:rsidRPr="00586A35" w:rsidRDefault="00B46551" w:rsidP="00675128">
      <w:pPr>
        <w:pStyle w:val="KeyWords"/>
        <w:rPr>
          <w:lang w:eastAsia="it-IT"/>
          <w14:ligatures w14:val="standard"/>
        </w:rPr>
      </w:pPr>
      <w:proofErr w:type="spellStart"/>
      <w:r w:rsidRPr="00586A35">
        <w:rPr>
          <w:lang w:eastAsia="it-IT"/>
          <w14:ligatures w14:val="standard"/>
        </w:rPr>
        <w:t>GeoAI</w:t>
      </w:r>
      <w:proofErr w:type="spellEnd"/>
      <w:r w:rsidRPr="00586A35">
        <w:rPr>
          <w:lang w:eastAsia="it-IT"/>
          <w14:ligatures w14:val="standard"/>
        </w:rPr>
        <w:t xml:space="preserve"> agents, spatial decision support, location-allocation, human-in-the-loop, value alignment, accountability, rural water supply, Uganda</w:t>
      </w:r>
    </w:p>
    <w:p w14:paraId="0893EC2F" w14:textId="77777777" w:rsidR="00B95336" w:rsidRDefault="00000000" w:rsidP="007C5B71">
      <w:pPr>
        <w:pStyle w:val="Head1"/>
        <w:rPr>
          <w:lang w:eastAsia="zh-CN"/>
        </w:rPr>
      </w:pPr>
      <w:r>
        <w:t>1 Problem Statement</w:t>
      </w:r>
    </w:p>
    <w:p w14:paraId="2DD86A24" w14:textId="77777777" w:rsidR="007C5B71" w:rsidRDefault="00F040D1" w:rsidP="0079317C">
      <w:pPr>
        <w:pStyle w:val="Para"/>
        <w:ind w:firstLine="0"/>
        <w:rPr>
          <w:lang w:eastAsia="zh-CN"/>
        </w:rPr>
      </w:pPr>
      <w:r w:rsidRPr="00F040D1">
        <w:rPr>
          <w:lang w:eastAsia="zh-CN"/>
        </w:rPr>
        <w:t>Under-resourced districts face real siting decisions with real stakes: a handful of new water points chosen from one register, where a bad choice is paid for in disease and in the hours women and girls spend fetching water [5]. They</w:t>
      </w:r>
      <w:r>
        <w:rPr>
          <w:lang w:eastAsia="zh-CN"/>
        </w:rPr>
        <w:t xml:space="preserve"> may</w:t>
      </w:r>
      <w:r w:rsidRPr="00F040D1">
        <w:rPr>
          <w:lang w:eastAsia="zh-CN"/>
        </w:rPr>
        <w:t xml:space="preserve"> face them without a spatial analyst, so an agent that retrieves, cleans, and optimises on its own is worth more to a district water office than to any better-staffed institution. The same absence leaves the tool unaudited: </w:t>
      </w:r>
      <w:r w:rsidRPr="00F040D1">
        <w:rPr>
          <w:lang w:eastAsia="zh-CN"/>
        </w:rPr>
        <w:t xml:space="preserve">where analysts are plentiful a default is recomputed by a second team and contested in review, while a district office has nobody whose job it is to reopen it. Whatever the software fixed in advance therefore becomes the district's position without anyone having taken it: what distance counts as served, whose need the programme answers, whether a two-year-old register may direct spending. Automation is most valuable exactly where it is least checkable, so it </w:t>
      </w:r>
      <w:proofErr w:type="gramStart"/>
      <w:r w:rsidRPr="00F040D1">
        <w:rPr>
          <w:lang w:eastAsia="zh-CN"/>
        </w:rPr>
        <w:t>has to</w:t>
      </w:r>
      <w:proofErr w:type="gramEnd"/>
      <w:r w:rsidRPr="00F040D1">
        <w:rPr>
          <w:lang w:eastAsia="zh-CN"/>
        </w:rPr>
        <w:t xml:space="preserve"> arrive together with an account of who decided what.</w:t>
      </w:r>
    </w:p>
    <w:p w14:paraId="626CC137" w14:textId="628EFA68" w:rsidR="00DC2FE2" w:rsidRDefault="00DC2FE2" w:rsidP="0079317C">
      <w:pPr>
        <w:pStyle w:val="Para"/>
        <w:rPr>
          <w:lang w:eastAsia="zh-CN"/>
        </w:rPr>
      </w:pPr>
      <w:r w:rsidRPr="00DC2FE2">
        <w:rPr>
          <w:lang w:eastAsia="zh-CN"/>
        </w:rPr>
        <w:t>We present a multi-task siting agent built on one principle: fully autonomous where the task is technical, refusing to act for the district where it is a value judgement. The autonomous half covers retrieval, cleaning, coordinate reference system alignment, and recovery from topological and code errors. Above it sits a domain-agnostic compiler in which every domain reduces to the same four slots (demand, candidates, coverage, budget), so a new domain is an adapter and a data handbook rather than a second codebase, and the domain implemented here is water. The pipeline is entered two ways (Figure 1): a browser interview that needs nothing installed, for the officer who holds the decision, and the agent harness in Claude Code, which needs a local setup but opens the subagents and every artefact of a run to whoever will check it. The interview runs in the officer's own language and stores their reason verbatim rather than translating it, since rewriting a justification in English is itself a value transformation. The refusing half has two modes: manual halts at each value judgement until a person records it, while automatic lets the agent decide, which is a different signature rather than a lower standard, because every such decision is attributed to the agent and never presented as the district's position. What a district receives is therefore a derivation it can check line by line, and what the agent declines to assume is exactly the register below</w:t>
      </w:r>
      <w:r w:rsidR="00A676F0">
        <w:rPr>
          <w:lang w:eastAsia="zh-C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89"/>
        <w:gridCol w:w="2527"/>
      </w:tblGrid>
      <w:tr w:rsidR="00A676F0" w14:paraId="7AA96286" w14:textId="77777777" w:rsidTr="00A676F0">
        <w:tc>
          <w:tcPr>
            <w:tcW w:w="2508" w:type="dxa"/>
            <w:vAlign w:val="center"/>
          </w:tcPr>
          <w:p w14:paraId="6AAF9851" w14:textId="5488D80E" w:rsidR="00A676F0" w:rsidRDefault="00A676F0" w:rsidP="00A676F0">
            <w:pPr>
              <w:pStyle w:val="Para"/>
              <w:ind w:firstLine="0"/>
              <w:jc w:val="center"/>
              <w:rPr>
                <w:lang w:eastAsia="zh-CN"/>
              </w:rPr>
            </w:pPr>
            <w:r>
              <w:rPr>
                <w:noProof/>
                <w:lang w:eastAsia="zh-CN"/>
              </w:rPr>
              <w:drawing>
                <wp:inline distT="0" distB="0" distL="0" distR="0" wp14:anchorId="20D57D5C" wp14:editId="3786055A">
                  <wp:extent cx="1661012" cy="1000760"/>
                  <wp:effectExtent l="0" t="0" r="3175" b="2540"/>
                  <wp:docPr id="134895330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53307" name="Picture 5" descr="A screenshot of a computer&#10;&#10;AI-generated content may be incorrect."/>
                          <pic:cNvPicPr/>
                        </pic:nvPicPr>
                        <pic:blipFill>
                          <a:blip r:embed="rId17"/>
                          <a:stretch>
                            <a:fillRect/>
                          </a:stretch>
                        </pic:blipFill>
                        <pic:spPr>
                          <a:xfrm>
                            <a:off x="0" y="0"/>
                            <a:ext cx="1698335" cy="1023247"/>
                          </a:xfrm>
                          <a:prstGeom prst="rect">
                            <a:avLst/>
                          </a:prstGeom>
                        </pic:spPr>
                      </pic:pic>
                    </a:graphicData>
                  </a:graphic>
                </wp:inline>
              </w:drawing>
            </w:r>
          </w:p>
        </w:tc>
        <w:tc>
          <w:tcPr>
            <w:tcW w:w="2508" w:type="dxa"/>
            <w:vAlign w:val="center"/>
          </w:tcPr>
          <w:p w14:paraId="6D73484B" w14:textId="61819934" w:rsidR="00A676F0" w:rsidRDefault="00A676F0" w:rsidP="00A676F0">
            <w:pPr>
              <w:pStyle w:val="Para"/>
              <w:ind w:firstLine="0"/>
              <w:jc w:val="center"/>
              <w:rPr>
                <w:lang w:eastAsia="zh-CN"/>
              </w:rPr>
            </w:pPr>
            <w:r>
              <w:rPr>
                <w:noProof/>
                <w:lang w:eastAsia="zh-CN"/>
              </w:rPr>
              <w:drawing>
                <wp:inline distT="0" distB="0" distL="0" distR="0" wp14:anchorId="43DF3BE8" wp14:editId="6A3240F6">
                  <wp:extent cx="1692113" cy="1001167"/>
                  <wp:effectExtent l="0" t="0" r="0" b="2540"/>
                  <wp:docPr id="2791512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5128" name="Picture 6" descr="A screenshot of a computer&#10;&#10;AI-generated content may be incorrect."/>
                          <pic:cNvPicPr/>
                        </pic:nvPicPr>
                        <pic:blipFill>
                          <a:blip r:embed="rId18"/>
                          <a:stretch>
                            <a:fillRect/>
                          </a:stretch>
                        </pic:blipFill>
                        <pic:spPr>
                          <a:xfrm>
                            <a:off x="0" y="0"/>
                            <a:ext cx="1717430" cy="1016146"/>
                          </a:xfrm>
                          <a:prstGeom prst="rect">
                            <a:avLst/>
                          </a:prstGeom>
                        </pic:spPr>
                      </pic:pic>
                    </a:graphicData>
                  </a:graphic>
                </wp:inline>
              </w:drawing>
            </w:r>
          </w:p>
        </w:tc>
      </w:tr>
      <w:tr w:rsidR="00A676F0" w14:paraId="13E9B6D0" w14:textId="77777777" w:rsidTr="00A676F0">
        <w:tc>
          <w:tcPr>
            <w:tcW w:w="2508" w:type="dxa"/>
            <w:vAlign w:val="center"/>
          </w:tcPr>
          <w:p w14:paraId="4F35A37E" w14:textId="124E4DAD" w:rsidR="00A676F0" w:rsidRDefault="00A676F0" w:rsidP="00A676F0">
            <w:pPr>
              <w:pStyle w:val="Para"/>
              <w:numPr>
                <w:ilvl w:val="0"/>
                <w:numId w:val="32"/>
              </w:numPr>
              <w:jc w:val="center"/>
              <w:rPr>
                <w:lang w:eastAsia="zh-CN"/>
              </w:rPr>
            </w:pPr>
            <w:r>
              <w:rPr>
                <w:lang w:eastAsia="zh-CN"/>
              </w:rPr>
              <w:lastRenderedPageBreak/>
              <w:t>Web version</w:t>
            </w:r>
          </w:p>
        </w:tc>
        <w:tc>
          <w:tcPr>
            <w:tcW w:w="2508" w:type="dxa"/>
            <w:vAlign w:val="center"/>
          </w:tcPr>
          <w:p w14:paraId="57CDF981" w14:textId="5C798A88" w:rsidR="00A676F0" w:rsidRPr="00A676F0" w:rsidRDefault="00A676F0" w:rsidP="00A676F0">
            <w:pPr>
              <w:pStyle w:val="Para"/>
              <w:ind w:firstLine="0"/>
              <w:jc w:val="center"/>
              <w:rPr>
                <w:b/>
                <w:bCs/>
                <w:lang w:eastAsia="zh-CN"/>
              </w:rPr>
            </w:pPr>
            <w:r>
              <w:rPr>
                <w:lang w:eastAsia="zh-CN"/>
              </w:rPr>
              <w:t xml:space="preserve">b. </w:t>
            </w:r>
            <w:r>
              <w:rPr>
                <w:lang w:eastAsia="zh-CN"/>
              </w:rPr>
              <w:t>Claude Code</w:t>
            </w:r>
          </w:p>
        </w:tc>
      </w:tr>
    </w:tbl>
    <w:p w14:paraId="7147D90F" w14:textId="2E916BDA" w:rsidR="00A676F0" w:rsidRDefault="00A676F0" w:rsidP="00A676F0">
      <w:pPr>
        <w:pStyle w:val="Para"/>
        <w:ind w:firstLine="0"/>
        <w:rPr>
          <w:lang w:eastAsia="zh-CN"/>
        </w:rPr>
      </w:pPr>
      <w:r>
        <w:rPr>
          <w:lang w:eastAsia="zh-CN"/>
        </w:rPr>
        <w:t>Figure 1</w:t>
      </w:r>
    </w:p>
    <w:p w14:paraId="013D4888" w14:textId="77777777" w:rsidR="0079317C" w:rsidRDefault="0079317C" w:rsidP="0079317C">
      <w:pPr>
        <w:pStyle w:val="Para"/>
        <w:rPr>
          <w:lang w:eastAsia="zh-CN"/>
        </w:rPr>
      </w:pPr>
      <w:r w:rsidRPr="0079317C">
        <w:rPr>
          <w:lang w:eastAsia="zh-CN"/>
        </w:rPr>
        <w:t xml:space="preserve">Every judgement the analysis cannot derive sits in one domain-independent register: seven positions of four kinds, and a budget taken from the capital </w:t>
      </w:r>
      <w:proofErr w:type="spellStart"/>
      <w:r w:rsidRPr="0079317C">
        <w:rPr>
          <w:lang w:eastAsia="zh-CN"/>
        </w:rPr>
        <w:t>programme</w:t>
      </w:r>
      <w:proofErr w:type="spellEnd"/>
      <w:r w:rsidRPr="0079317C">
        <w:rPr>
          <w:lang w:eastAsia="zh-CN"/>
        </w:rPr>
        <w:t xml:space="preserve"> rather than from a position. Two fix the terms: what counts as served, and whether reach is straight-line or over terrain, which together set how large a gap the assessment reports. Two are distributional: whether the </w:t>
      </w:r>
      <w:proofErr w:type="spellStart"/>
      <w:r w:rsidRPr="0079317C">
        <w:rPr>
          <w:lang w:eastAsia="zh-CN"/>
        </w:rPr>
        <w:t>programme</w:t>
      </w:r>
      <w:proofErr w:type="spellEnd"/>
      <w:r w:rsidRPr="0079317C">
        <w:rPr>
          <w:lang w:eastAsia="zh-CN"/>
        </w:rPr>
        <w:t xml:space="preserve"> answers the largest number or the worst-served, and whether the resulting distribution is accepted. One is evidential: whether a register of a given age may direct capital spending, which its median record age informs but cannot settle. Two govern the account: how much coverage a veto may forgo before it is escalated, and how complete the account must be before issue. We therefore offer no definition of equity or optimality, but the slot, the question it answers, and the reason it has no default; the analysis refuses to run until someone has filled it.</w:t>
      </w:r>
    </w:p>
    <w:p w14:paraId="27142BF3" w14:textId="77777777" w:rsidR="0079317C" w:rsidRDefault="0079317C" w:rsidP="007C5B71">
      <w:pPr>
        <w:pStyle w:val="Para"/>
        <w:rPr>
          <w:lang w:eastAsia="zh-CN"/>
        </w:rPr>
      </w:pPr>
      <w:r w:rsidRPr="0079317C">
        <w:rPr>
          <w:lang w:eastAsia="zh-CN"/>
        </w:rPr>
        <w:t xml:space="preserve">We instantiate the water domain in </w:t>
      </w:r>
      <w:proofErr w:type="spellStart"/>
      <w:r w:rsidRPr="0079317C">
        <w:rPr>
          <w:lang w:eastAsia="zh-CN"/>
        </w:rPr>
        <w:t>Mayuge</w:t>
      </w:r>
      <w:proofErr w:type="spellEnd"/>
      <w:r w:rsidRPr="0079317C">
        <w:rPr>
          <w:lang w:eastAsia="zh-CN"/>
        </w:rPr>
        <w:t xml:space="preserve"> District, Uganda, chosen because each kind of judgement bites there. It fronts Lake Victoria and includes inhabited islands reachable only by boat, so straight-line reach is not a defensible proxy for access. Safe water coverage ranges from 28% to 95% across its sub-counties [4], so the distributional judgement is live rather than academic. Every point the register counts as serving is recorded as functional, needs repair, and no plain functional record exists in the district, a distinction that binary operationality monitoring collapses and that separates an 84% functionality figure from rates as low as 11% [2]. The baseline this district reports is therefore the consequence of a definition rather than of a measurement.</w:t>
      </w:r>
    </w:p>
    <w:p w14:paraId="4BE6D900" w14:textId="77777777" w:rsidR="00B95336" w:rsidRDefault="00000000">
      <w:pPr>
        <w:pStyle w:val="Head1"/>
      </w:pPr>
      <w:r>
        <w:t>2 Agent Design</w:t>
      </w:r>
    </w:p>
    <w:p w14:paraId="721FC487" w14:textId="77777777" w:rsidR="00B95336" w:rsidRDefault="00000000">
      <w:pPr>
        <w:pStyle w:val="Head2"/>
      </w:pPr>
      <w:r>
        <w:t>2.1 Architecture and Tool Orchestration</w:t>
      </w:r>
    </w:p>
    <w:p w14:paraId="47C36A60" w14:textId="77777777" w:rsidR="008A76E9" w:rsidRDefault="008A76E9" w:rsidP="008A76E9">
      <w:pPr>
        <w:pStyle w:val="Para"/>
        <w:ind w:firstLine="0"/>
        <w:rPr>
          <w:lang w:eastAsia="zh-CN"/>
        </w:rPr>
      </w:pPr>
      <w:r>
        <w:t>The system</w:t>
      </w:r>
      <w:r w:rsidR="00B667B0">
        <w:rPr>
          <w:rFonts w:hint="eastAsia"/>
        </w:rPr>
        <w:t xml:space="preserve"> </w:t>
      </w:r>
      <w:r w:rsidR="00B667B0" w:rsidRPr="00B667B0">
        <w:t xml:space="preserve">(Figure </w:t>
      </w:r>
      <w:r w:rsidR="00DC2FE2">
        <w:t>2</w:t>
      </w:r>
      <w:r w:rsidR="00B667B0" w:rsidRPr="00B667B0">
        <w:t>)</w:t>
      </w:r>
      <w:r>
        <w:t xml:space="preserve"> is two loops rather than one agent: a conversational agent conducts the assessment, and an eight-stage pipeline — retrieve through issue — runs beneath it as a subprocess it invokes but cannot alter. The outer loop owns sequencing, because the skill it reads states what must be considered and where to stop rather than an order of operations. The inner loop does not </w:t>
      </w:r>
      <w:proofErr w:type="gramStart"/>
      <w:r>
        <w:t>vary, and</w:t>
      </w:r>
      <w:proofErr w:type="gramEnd"/>
      <w:r>
        <w:t xml:space="preserve"> is one code path whether it is driven by the conversation or from the command line. A contract holds at each end of it: below compile, every stage reads a single four-slot instance, so a further domain is an adapter and a source handbook rather than a second pipeline. Above it, the evidence </w:t>
      </w:r>
      <w:proofErr w:type="gramStart"/>
      <w:r>
        <w:t>bundle</w:t>
      </w:r>
      <w:proofErr w:type="gramEnd"/>
      <w:r>
        <w:t xml:space="preserve">, the assessment report and the interface all compile from one </w:t>
      </w:r>
      <w:proofErr w:type="spellStart"/>
      <w:proofErr w:type="gramStart"/>
      <w:r w:rsidRPr="008A76E9">
        <w:rPr>
          <w:rStyle w:val="HTMLCode"/>
          <w:rFonts w:eastAsiaTheme="minorHAnsi"/>
          <w:sz w:val="16"/>
          <w:szCs w:val="16"/>
        </w:rPr>
        <w:t>results.json</w:t>
      </w:r>
      <w:proofErr w:type="spellEnd"/>
      <w:proofErr w:type="gramEnd"/>
      <w:r>
        <w:t>, so no two of them can state a figure differently.</w:t>
      </w:r>
    </w:p>
    <w:p w14:paraId="2ED4BDF7" w14:textId="77777777" w:rsidR="008A76E9" w:rsidRDefault="008A76E9" w:rsidP="008A76E9">
      <w:pPr>
        <w:pStyle w:val="Para"/>
        <w:rPr>
          <w:lang w:eastAsia="zh-CN"/>
        </w:rPr>
      </w:pPr>
      <w:r w:rsidRPr="008A76E9">
        <w:rPr>
          <w:lang w:eastAsia="zh-CN"/>
        </w:rPr>
        <w:t xml:space="preserve">Work that needs a different vantage point is delegated to four subagents, each declared in the repository with the tool grant its role requires. Two </w:t>
      </w:r>
      <w:proofErr w:type="gramStart"/>
      <w:r w:rsidRPr="008A76E9">
        <w:rPr>
          <w:lang w:eastAsia="zh-CN"/>
        </w:rPr>
        <w:t>produce</w:t>
      </w:r>
      <w:proofErr w:type="gramEnd"/>
      <w:r w:rsidRPr="008A76E9">
        <w:rPr>
          <w:lang w:eastAsia="zh-CN"/>
        </w:rPr>
        <w:t xml:space="preserve">: data-scout reports what the register holds for a district before any analysis is designed, and spatial-analyst solves that district once per option, so each decision reaches the officer as priced alternatives rather than adjectives. </w:t>
      </w:r>
      <w:r w:rsidRPr="008A76E9">
        <w:rPr>
          <w:lang w:eastAsia="zh-CN"/>
        </w:rPr>
        <w:t xml:space="preserve">Two judge and hold Read alone — plan-reviewer on the account, map-reviewer on the rendered figures — so each verdict is a finding the run must answer rather than an edit it absorbs. The scoring reviewer is isolated by the same means, receiving </w:t>
      </w:r>
      <w:proofErr w:type="spellStart"/>
      <w:proofErr w:type="gramStart"/>
      <w:r w:rsidRPr="008A76E9">
        <w:rPr>
          <w:rStyle w:val="HTMLCode"/>
          <w:rFonts w:eastAsiaTheme="minorHAnsi"/>
          <w:sz w:val="16"/>
          <w:szCs w:val="16"/>
        </w:rPr>
        <w:t>results.json</w:t>
      </w:r>
      <w:proofErr w:type="spellEnd"/>
      <w:proofErr w:type="gramEnd"/>
      <w:r w:rsidRPr="008A76E9">
        <w:rPr>
          <w:lang w:eastAsia="zh-CN"/>
        </w:rPr>
        <w:t xml:space="preserve"> and nothing else, and scores five floored dimensions: data adequacy, method fitness, spatial </w:t>
      </w:r>
      <w:proofErr w:type="spellStart"/>
      <w:r w:rsidRPr="008A76E9">
        <w:rPr>
          <w:lang w:eastAsia="zh-CN"/>
        </w:rPr>
        <w:t>rigour</w:t>
      </w:r>
      <w:proofErr w:type="spellEnd"/>
      <w:r w:rsidRPr="008A76E9">
        <w:rPr>
          <w:lang w:eastAsia="zh-CN"/>
        </w:rPr>
        <w:t>, accountability, and actionability. Nothing is issued until the account clears them. The strategy is therefore to allocate authority by tool grant, so that preparing a choice and making it, and producing a plan and certifying it, are separated structurally rather than by convention.</w:t>
      </w:r>
    </w:p>
    <w:p w14:paraId="32888572" w14:textId="77777777" w:rsidR="00B667B0" w:rsidRDefault="008A76E9" w:rsidP="00B667B0">
      <w:pPr>
        <w:pStyle w:val="Para"/>
        <w:rPr>
          <w:lang w:eastAsia="zh-CN"/>
        </w:rPr>
      </w:pPr>
      <w:r w:rsidRPr="008A76E9">
        <w:rPr>
          <w:lang w:eastAsia="zh-CN"/>
        </w:rPr>
        <w:t xml:space="preserve">The harness works on the run's lifecycle rather than on its content, and it never silently </w:t>
      </w:r>
      <w:proofErr w:type="gramStart"/>
      <w:r w:rsidRPr="008A76E9">
        <w:rPr>
          <w:lang w:eastAsia="zh-CN"/>
        </w:rPr>
        <w:t>permits:</w:t>
      </w:r>
      <w:proofErr w:type="gramEnd"/>
      <w:r w:rsidRPr="008A76E9">
        <w:rPr>
          <w:lang w:eastAsia="zh-CN"/>
        </w:rPr>
        <w:t xml:space="preserve"> at each point it either allows and records why that was </w:t>
      </w:r>
      <w:proofErr w:type="gramStart"/>
      <w:r w:rsidRPr="008A76E9">
        <w:rPr>
          <w:lang w:eastAsia="zh-CN"/>
        </w:rPr>
        <w:t>safe, or</w:t>
      </w:r>
      <w:proofErr w:type="gramEnd"/>
      <w:r w:rsidRPr="008A76E9">
        <w:rPr>
          <w:lang w:eastAsia="zh-CN"/>
        </w:rPr>
        <w:t xml:space="preserve"> refuses and records what was refused [9]. The analysis code and the source handbooks are closed to writes for the duration of a run by a </w:t>
      </w:r>
      <w:proofErr w:type="spellStart"/>
      <w:r w:rsidRPr="008A76E9">
        <w:rPr>
          <w:lang w:eastAsia="zh-CN"/>
        </w:rPr>
        <w:t>PreToolUse</w:t>
      </w:r>
      <w:proofErr w:type="spellEnd"/>
      <w:r w:rsidRPr="008A76E9">
        <w:rPr>
          <w:lang w:eastAsia="zh-CN"/>
        </w:rPr>
        <w:t xml:space="preserve"> hook present on both entry paths, so a diagnostic that fails is a finding the run reports rather than a file it edits. Lifecycle hooks bracket every stage, validating that it may run and persisting what it produced, so a run interrupted part-way still leaves an account of itself. </w:t>
      </w:r>
      <w:r w:rsidRPr="008A76E9">
        <w:rPr>
          <w:rStyle w:val="HTMLCode"/>
          <w:rFonts w:eastAsiaTheme="minorHAnsi"/>
          <w:sz w:val="16"/>
          <w:szCs w:val="16"/>
        </w:rPr>
        <w:t>--resume</w:t>
      </w:r>
      <w:r w:rsidRPr="008A76E9">
        <w:rPr>
          <w:lang w:eastAsia="zh-CN"/>
        </w:rPr>
        <w:t xml:space="preserve"> continues at the stage that did not complete, re-executing from the local cache the five stages that hold their results in memory and skipping only the three that read from disk, and the log records which of the two happened for each.</w:t>
      </w:r>
    </w:p>
    <w:p w14:paraId="3A7442A7" w14:textId="77777777" w:rsidR="00B95336" w:rsidRDefault="00000000">
      <w:pPr>
        <w:pStyle w:val="Head2"/>
      </w:pPr>
      <w:r>
        <w:t>2.2 Data Acquisition and Spatial Reasoning</w:t>
      </w:r>
    </w:p>
    <w:p w14:paraId="192DCB26" w14:textId="77777777" w:rsidR="00626950" w:rsidRPr="00626950" w:rsidRDefault="00626950" w:rsidP="00626950">
      <w:pPr>
        <w:pStyle w:val="Para"/>
        <w:ind w:firstLine="0"/>
      </w:pPr>
      <w:r w:rsidRPr="00626950">
        <w:t xml:space="preserve">Each source has a handbook giving its endpoint, field meanings, </w:t>
      </w:r>
      <w:proofErr w:type="spellStart"/>
      <w:r w:rsidRPr="00626950">
        <w:t>licence</w:t>
      </w:r>
      <w:proofErr w:type="spellEnd"/>
      <w:r w:rsidRPr="00626950">
        <w:t xml:space="preserve"> and cleaning rules, so cleaning is declared in advance rather than improvised. Four are used here: a register of the water points already on the ground (</w:t>
      </w:r>
      <w:proofErr w:type="spellStart"/>
      <w:r w:rsidRPr="00626950">
        <w:t>WPdx</w:t>
      </w:r>
      <w:proofErr w:type="spellEnd"/>
      <w:r w:rsidRPr="00626950">
        <w:t>+ [8]), gridded population (</w:t>
      </w:r>
      <w:proofErr w:type="spellStart"/>
      <w:r w:rsidRPr="00626950">
        <w:t>WorldPop</w:t>
      </w:r>
      <w:proofErr w:type="spellEnd"/>
      <w:r w:rsidRPr="00626950">
        <w:t xml:space="preserve"> [7]), administrative boundaries (GADM [10]), and a friction surface for walking time (MAP [6]). The rules run in order and each </w:t>
      </w:r>
      <w:proofErr w:type="gramStart"/>
      <w:r w:rsidRPr="00626950">
        <w:t>reports</w:t>
      </w:r>
      <w:proofErr w:type="gramEnd"/>
      <w:r w:rsidRPr="00626950">
        <w:t xml:space="preserve"> how many rows it dropped, so every drop is attributable to a named rule. Every retrieval leaves a record (endpoint, query as executed, row counts before and after cleaning, drops, and whether the data came from the network or the cache), and a figure whose source has no such record is rejected. A source whose credential is missing is excluded and the exclusion is printed, and synthetic data is never substituted for a retrieval that failed.</w:t>
      </w:r>
    </w:p>
    <w:p w14:paraId="0CD7396A" w14:textId="77777777" w:rsidR="00C40E85" w:rsidRPr="00C40E85" w:rsidRDefault="00626950" w:rsidP="0076675C">
      <w:pPr>
        <w:pStyle w:val="Para"/>
        <w:ind w:firstLine="400"/>
        <w:rPr>
          <w:lang w:eastAsia="zh-CN"/>
        </w:rPr>
      </w:pPr>
      <w:r w:rsidRPr="00626950">
        <w:t>One rule governs the spatial half: we claim no more precision than the method has, and each shortfall is reported as a number rather than a caveat. Coverage is the union over facilities, recomputed independently by the evaluator, which also reports what a per-facility sum would have claimed, so the reader sees how large that error would have been. Because each override re-solves the plan and an exact solve takes minutes, selection is greedy, within 1−1/e of the optimum, rather than exact. The plan is therefore never called optimal, and the exact solver is run separately to report how far short it falls. The system sets any parameter that follows from the radius, such as lattice spacing and raster aggregation, but not one that decides who counts as served.</w:t>
      </w:r>
    </w:p>
    <w:p w14:paraId="37C24B5C" w14:textId="77777777" w:rsidR="00B95336" w:rsidRDefault="00000000">
      <w:pPr>
        <w:pStyle w:val="Head2"/>
      </w:pPr>
      <w:r>
        <w:lastRenderedPageBreak/>
        <w:t>2.3 Error Recovery and Spatial Misalignment Handling</w:t>
      </w:r>
    </w:p>
    <w:p w14:paraId="33D1D693" w14:textId="77777777" w:rsidR="00C91145" w:rsidRDefault="00C91145" w:rsidP="0076675C">
      <w:pPr>
        <w:pStyle w:val="Para"/>
        <w:ind w:firstLine="0"/>
      </w:pPr>
      <w:r w:rsidRPr="00C91145">
        <w:t xml:space="preserve">The risk in assembling public sources is not a run that breaks but one that is internally consistent about somewhere else, so alignment here must be demonstrated rather than assumed. Coordinates are the easy layer: distance is computed in a projected CRS, and the residual is measured and reported — six </w:t>
      </w:r>
      <w:proofErr w:type="spellStart"/>
      <w:r w:rsidRPr="00C91145">
        <w:t>metres</w:t>
      </w:r>
      <w:proofErr w:type="spellEnd"/>
      <w:r w:rsidRPr="00C91145">
        <w:t xml:space="preserve"> on a </w:t>
      </w:r>
      <w:proofErr w:type="spellStart"/>
      <w:r w:rsidRPr="00C91145">
        <w:t>kilometre</w:t>
      </w:r>
      <w:proofErr w:type="spellEnd"/>
      <w:r w:rsidRPr="00C91145">
        <w:t xml:space="preserve"> — rather than called negligible. Units are harder, because a name is not a unit. Districts are redrawn between two sources' vintages and neither's level numbering transfers to the other, so the boundary is the polygon that can be shown to contain the register, not the one whose name matches. Where none can, the area of interest falls back to an envelope around the records and the assessment states which it used, since consistency over a denominator inflated by two fifths is worse than an extent that admits it is approximate. Meanings need the same discipline: no record in this district reads plainly </w:t>
      </w:r>
      <w:r w:rsidRPr="00C91145">
        <w:rPr>
          <w:i/>
          <w:iCs/>
        </w:rPr>
        <w:t>Functional</w:t>
      </w:r>
      <w:r w:rsidRPr="00C91145">
        <w:t xml:space="preserve">, and the obvious equality test would have reported it wholly unserved, so each status is declared before the data is read and anything </w:t>
      </w:r>
      <w:proofErr w:type="spellStart"/>
      <w:r w:rsidRPr="00C91145">
        <w:t>unrecognised</w:t>
      </w:r>
      <w:proofErr w:type="spellEnd"/>
      <w:r w:rsidRPr="00C91145">
        <w:t xml:space="preserve"> is taken conservatively. Recovery follows one rule: a failure enters the account and never resolves into a number — degrade to the cache where that is possible, stop where it is not, invent in neither case.</w:t>
      </w:r>
    </w:p>
    <w:p w14:paraId="14218A31" w14:textId="77777777" w:rsidR="00B95336" w:rsidRDefault="00000000">
      <w:pPr>
        <w:pStyle w:val="Head2"/>
      </w:pPr>
      <w:r>
        <w:t>2.4 Value Judgements and Human Attribution</w:t>
      </w:r>
    </w:p>
    <w:p w14:paraId="65BF2389" w14:textId="77777777" w:rsidR="00B95336" w:rsidRDefault="00C91145" w:rsidP="00C91145">
      <w:pPr>
        <w:pStyle w:val="Image"/>
        <w:jc w:val="left"/>
      </w:pPr>
      <w:r w:rsidRPr="00C91145">
        <w:t xml:space="preserve">A constraint that can be argued out of is not a constraint, so each guarantee here is a capability the agent lacks rather than an instruction it is asked to </w:t>
      </w:r>
      <w:r w:rsidR="0076675C" w:rsidRPr="00C91145">
        <w:t>honor</w:t>
      </w:r>
      <w:r w:rsidRPr="00C91145">
        <w:t>. It cannot decide: the judgements that do not follow from data sit in one register, and a run missing any of them refuses to proceed and prints why that question has no default — the refusal is an output, not a failure to produce one. It cannot speak for the officer: the tool that records a reason takes only something the officer said, never text the agent composed, which makes "the report carries their own words" checkable rather than claimed; where they answered in another language the original is what is printed, since translating a justification is itself a value transformation. It cannot obstruct: a reviewing decision is never refused, only priced. Automatic mode follows from the same position — a different signature, not a lower standard — and is best read in what the agent still declines there: whether the register is current enough to direct spending, and whether the plan's distribution is acceptable, both left unresolved for want of a defensible machine basis. An automatic-mode decision is never described as the district's position.</w:t>
      </w:r>
    </w:p>
    <w:p w14:paraId="70C31F46" w14:textId="77777777" w:rsidR="0076675C" w:rsidRDefault="0076675C" w:rsidP="00C91145">
      <w:pPr>
        <w:pStyle w:val="Image"/>
        <w:jc w:val="left"/>
      </w:pPr>
      <w:r>
        <w:rPr>
          <w:noProof/>
        </w:rPr>
        <w:drawing>
          <wp:inline distT="0" distB="0" distL="0" distR="0" wp14:anchorId="05454541" wp14:editId="4D7E798C">
            <wp:extent cx="3048000" cy="1266190"/>
            <wp:effectExtent l="0" t="0" r="0" b="3810"/>
            <wp:docPr id="575500101" name="Picture 1" descr="A diagram of a st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00101" name="Picture 1" descr="A diagram of a stage&#10;&#10;AI-generated content may be incorrect."/>
                    <pic:cNvPicPr/>
                  </pic:nvPicPr>
                  <pic:blipFill>
                    <a:blip r:embed="rId19"/>
                    <a:stretch>
                      <a:fillRect/>
                    </a:stretch>
                  </pic:blipFill>
                  <pic:spPr>
                    <a:xfrm>
                      <a:off x="0" y="0"/>
                      <a:ext cx="3048000" cy="1266190"/>
                    </a:xfrm>
                    <a:prstGeom prst="rect">
                      <a:avLst/>
                    </a:prstGeom>
                  </pic:spPr>
                </pic:pic>
              </a:graphicData>
            </a:graphic>
          </wp:inline>
        </w:drawing>
      </w:r>
    </w:p>
    <w:p w14:paraId="0893BED6" w14:textId="77777777" w:rsidR="00B95336" w:rsidRDefault="00000000">
      <w:pPr>
        <w:pStyle w:val="FigureCaption"/>
      </w:pPr>
      <w:r>
        <w:t xml:space="preserve">Figure </w:t>
      </w:r>
      <w:r w:rsidR="00DC2FE2">
        <w:t>2</w:t>
      </w:r>
      <w:r>
        <w:t xml:space="preserve">: </w:t>
      </w:r>
      <w:r w:rsidR="0076675C">
        <w:rPr>
          <w:rFonts w:hint="eastAsia"/>
          <w:lang w:eastAsia="zh-CN"/>
        </w:rPr>
        <w:t>System</w:t>
      </w:r>
      <w:r w:rsidR="0076675C">
        <w:rPr>
          <w:lang w:eastAsia="zh-CN"/>
        </w:rPr>
        <w:t xml:space="preserve"> </w:t>
      </w:r>
      <w:r>
        <w:t xml:space="preserve">Architecture. </w:t>
      </w:r>
    </w:p>
    <w:p w14:paraId="270CDBB4" w14:textId="77777777" w:rsidR="00B95336" w:rsidRDefault="00000000">
      <w:pPr>
        <w:pStyle w:val="Head1"/>
      </w:pPr>
      <w:r>
        <w:t>3 Results and Analysis</w:t>
      </w:r>
    </w:p>
    <w:p w14:paraId="33555891" w14:textId="77777777" w:rsidR="00B95336" w:rsidRDefault="00000000">
      <w:pPr>
        <w:pStyle w:val="Head2"/>
      </w:pPr>
      <w:r>
        <w:t>3.1 Case and Baseline</w:t>
      </w:r>
    </w:p>
    <w:p w14:paraId="13675DAC" w14:textId="39636D8E" w:rsidR="00E267FB" w:rsidRDefault="00000000" w:rsidP="00E267FB">
      <w:pPr>
        <w:pStyle w:val="Image"/>
        <w:jc w:val="left"/>
        <w:rPr>
          <w:lang w:eastAsia="zh-CN"/>
        </w:rPr>
      </w:pPr>
      <w:r>
        <w:t>Compiling those eight answers puts the baseline the programme is judged against at 65.2% covered, 198,832 people short (</w:t>
      </w:r>
      <w:r w:rsidR="00E267FB">
        <w:rPr>
          <w:rFonts w:hint="eastAsia"/>
        </w:rPr>
        <w:t>F</w:t>
      </w:r>
      <w:r w:rsidR="00E267FB">
        <w:t>igure 3</w:t>
      </w:r>
      <w:r>
        <w:t xml:space="preserve">); the district’s own atlas reports functionality between 28% and 95% by sub-county under a different definition [4]. That gap belongs to the decisions behind it as much as to the district — Section 3.2 reports what the same pipeline returns </w:t>
      </w:r>
      <w:proofErr w:type="spellStart"/>
      <w:r>
        <w:t>a</w:t>
      </w:r>
      <w:r w:rsidR="00E267FB">
        <w:t>This</w:t>
      </w:r>
      <w:proofErr w:type="spellEnd"/>
      <w:r w:rsidR="00E267FB">
        <w:t xml:space="preserve"> run rests on eight decisions, not one measurement. </w:t>
      </w:r>
    </w:p>
    <w:p w14:paraId="25225883" w14:textId="016B2020" w:rsidR="00A676F0" w:rsidRDefault="00A676F0" w:rsidP="00E267FB">
      <w:pPr>
        <w:pStyle w:val="Image"/>
        <w:jc w:val="left"/>
        <w:rPr>
          <w:lang w:eastAsia="zh-CN"/>
        </w:rPr>
      </w:pPr>
      <w:r w:rsidRPr="00A676F0">
        <w:rPr>
          <w:lang w:eastAsia="zh-CN"/>
        </w:rPr>
        <w:drawing>
          <wp:inline distT="0" distB="0" distL="0" distR="0" wp14:anchorId="05BC0E65" wp14:editId="6E7A276D">
            <wp:extent cx="3048000" cy="1245235"/>
            <wp:effectExtent l="0" t="0" r="0" b="0"/>
            <wp:docPr id="1326932012"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932012" name="Picture 1" descr="A screenshot of a table&#10;&#10;AI-generated content may be incorrect."/>
                    <pic:cNvPicPr/>
                  </pic:nvPicPr>
                  <pic:blipFill>
                    <a:blip r:embed="rId20"/>
                    <a:stretch>
                      <a:fillRect/>
                    </a:stretch>
                  </pic:blipFill>
                  <pic:spPr>
                    <a:xfrm>
                      <a:off x="0" y="0"/>
                      <a:ext cx="3048000" cy="1245235"/>
                    </a:xfrm>
                    <a:prstGeom prst="rect">
                      <a:avLst/>
                    </a:prstGeom>
                  </pic:spPr>
                </pic:pic>
              </a:graphicData>
            </a:graphic>
          </wp:inline>
        </w:drawing>
      </w:r>
    </w:p>
    <w:p w14:paraId="50F7BA54" w14:textId="5B62E679" w:rsidR="00A676F0" w:rsidRDefault="00A676F0" w:rsidP="00E267FB">
      <w:pPr>
        <w:pStyle w:val="Image"/>
        <w:jc w:val="left"/>
        <w:rPr>
          <w:lang w:eastAsia="zh-CN"/>
        </w:rPr>
      </w:pPr>
      <w:r>
        <w:rPr>
          <w:lang w:eastAsia="zh-CN"/>
        </w:rPr>
        <w:t>Figure 3</w:t>
      </w:r>
    </w:p>
    <w:p w14:paraId="291DC6EA" w14:textId="0D58C556" w:rsidR="00E267FB" w:rsidRDefault="00E267FB" w:rsidP="00E267FB">
      <w:pPr>
        <w:pStyle w:val="Para"/>
        <w:ind w:firstLine="400"/>
      </w:pPr>
      <w:r>
        <w:t xml:space="preserve">Before any site is chosen, 65.2% of </w:t>
      </w:r>
      <w:proofErr w:type="spellStart"/>
      <w:r>
        <w:t>Mayuge</w:t>
      </w:r>
      <w:proofErr w:type="spellEnd"/>
      <w:r>
        <w:t xml:space="preserve"> is already served. The remaining 198,832 people are the gap this run tries to close. That gap is not a fact about the district. It is the output of eight choices, and each could have gone differently.</w:t>
      </w:r>
      <w:r>
        <w:t xml:space="preserve"> </w:t>
      </w:r>
      <w:r>
        <w:t xml:space="preserve">Two of the eight decisions matter most for what follows. The radius is 1,000 m because that is the threshold </w:t>
      </w:r>
      <w:proofErr w:type="spellStart"/>
      <w:r>
        <w:t>Mayuge's</w:t>
      </w:r>
      <w:proofErr w:type="spellEnd"/>
      <w:r>
        <w:t xml:space="preserve"> own sector reporting already uses. It is not the terrain-appropriate figure. On the district's median friction, 1,000 m is closer to a 42-minute round trip than the JMP's 30-minute threshold. The officer chose comparability over </w:t>
      </w:r>
      <w:proofErr w:type="gramStart"/>
      <w:r>
        <w:t>accuracy, and</w:t>
      </w:r>
      <w:proofErr w:type="gramEnd"/>
      <w:r>
        <w:t xml:space="preserve"> said so.</w:t>
      </w:r>
      <w:r>
        <w:t xml:space="preserve"> </w:t>
      </w:r>
      <w:r>
        <w:t xml:space="preserve">The Uganda Water Supply Atlas reports coverage for </w:t>
      </w:r>
      <w:proofErr w:type="spellStart"/>
      <w:r>
        <w:t>Mayuge</w:t>
      </w:r>
      <w:proofErr w:type="spellEnd"/>
      <w:r>
        <w:t xml:space="preserve"> between 28% and 95% across sub-counties [4]. This </w:t>
      </w:r>
      <w:proofErr w:type="gramStart"/>
      <w:r>
        <w:t>run</w:t>
      </w:r>
      <w:proofErr w:type="gramEnd"/>
      <w:r>
        <w:t xml:space="preserve"> reports 65.2%. Neither number is wrong. They rest on different definitions of served, and only one of those definitions is written down. That is why the definition belongs in a register a person signs, not a default buried in code.</w:t>
      </w:r>
    </w:p>
    <w:p w14:paraId="50C05C97" w14:textId="2FF80C38" w:rsidR="00A676F0" w:rsidRDefault="00A676F0" w:rsidP="00E267FB">
      <w:pPr>
        <w:pStyle w:val="Para"/>
        <w:ind w:firstLine="400"/>
      </w:pPr>
    </w:p>
    <w:p w14:paraId="1F56B772" w14:textId="3807421A" w:rsidR="00E267FB" w:rsidRDefault="00E267FB" w:rsidP="00E267FB">
      <w:pPr>
        <w:pStyle w:val="Head2"/>
      </w:pPr>
      <w:r>
        <w:t>3.2 Recommendation</w:t>
      </w:r>
      <w:r w:rsidRPr="00E267FB">
        <w:t>, Override, and Sensitivity</w:t>
      </w:r>
    </w:p>
    <w:p w14:paraId="764B0DE1" w14:textId="007854B3" w:rsidR="00E267FB" w:rsidRDefault="00E267FB" w:rsidP="00E267FB">
      <w:pPr>
        <w:pStyle w:val="Para"/>
        <w:ind w:firstLine="0"/>
      </w:pPr>
      <w:r>
        <w:t xml:space="preserve">The plan is not the first thing the solver returned. At the original budget of 10 sites, coverage reaches 75.7%. The marginal return per site is falling, but slowly. Site 10 still adds 4,207 people. Site 7 added 4,609. The curve has not </w:t>
      </w:r>
      <w:r>
        <w:t>flattened. The</w:t>
      </w:r>
      <w:r>
        <w:t xml:space="preserve"> officer read this curve and overrode the budget. Ten sites </w:t>
      </w:r>
      <w:r>
        <w:t>were</w:t>
      </w:r>
      <w:r>
        <w:t xml:space="preserve"> not enough to know where the curve levels off. The override is RESCOPE, to 14 sites. It costs nothing — coverage </w:t>
      </w:r>
      <w:r>
        <w:t>only rises</w:t>
      </w:r>
      <w:r>
        <w:t xml:space="preserve"> to 78.6%, 448,414 people. One of the fourteen sites is not a new build. It is a rehabilitation: an existing non-functional </w:t>
      </w:r>
      <w:r>
        <w:t>tap stand</w:t>
      </w:r>
      <w:r>
        <w:t>, 7.5 km from the nearest working point, reaching 6,100 people on its own.</w:t>
      </w:r>
    </w:p>
    <w:p w14:paraId="617F5897" w14:textId="77777777" w:rsidR="00A676F0" w:rsidRDefault="00E267FB" w:rsidP="00E267FB">
      <w:pPr>
        <w:pStyle w:val="Para"/>
      </w:pPr>
      <w:r>
        <w:t xml:space="preserve">The choice of objective is priced, not asserted. At the same budget of 10, </w:t>
      </w:r>
      <w:r>
        <w:t>maximizing</w:t>
      </w:r>
      <w:r>
        <w:t xml:space="preserve"> coverage reaches 432,157 people, a median 4,572 m from an existing working point. </w:t>
      </w:r>
      <w:r>
        <w:t>Minimizing</w:t>
      </w:r>
      <w:r>
        <w:t xml:space="preserve"> the worst case reaches 391,790 instead — 40,367 fewer — but those people are a median 11,612 m out, one as far as 30 km. Both objectives still favor dense settlements. Max coverage passes its </w:t>
      </w:r>
      <w:r>
        <w:lastRenderedPageBreak/>
        <w:t xml:space="preserve">equity check at 53% in the densest quartile. Worst case still fails it, at 61%, even while </w:t>
      </w:r>
      <w:r>
        <w:t>optimizing</w:t>
      </w:r>
      <w:r>
        <w:t xml:space="preserve"> for the opposite. Choosing the worst-served narrows the imbalance. It does not remove it.</w:t>
      </w:r>
      <w:r>
        <w:t xml:space="preserve"> </w:t>
      </w:r>
      <w:r>
        <w:t>The plan is one point on a curve the officer can see in full. Doubling the budget to 28 sites adds 60,012 people. Halving it to 7 costs 13,329. Rehabilitation alone, no new drilling, reaches 32,076 fewer than the mixed plan the solver returned.</w:t>
      </w:r>
    </w:p>
    <w:p w14:paraId="7664D4DF" w14:textId="3D90F5A0" w:rsidR="00E267FB" w:rsidRDefault="00A676F0" w:rsidP="00E267FB">
      <w:pPr>
        <w:pStyle w:val="Para"/>
        <w:rPr>
          <w:noProof/>
        </w:rPr>
      </w:pPr>
      <w:r w:rsidRPr="00A676F0">
        <w:rPr>
          <w:noProof/>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0"/>
        <w:gridCol w:w="3046"/>
      </w:tblGrid>
      <w:tr w:rsidR="00A676F0" w14:paraId="3AE1CDFD" w14:textId="77777777" w:rsidTr="00A676F0">
        <w:tc>
          <w:tcPr>
            <w:tcW w:w="2508" w:type="dxa"/>
            <w:vAlign w:val="bottom"/>
          </w:tcPr>
          <w:p w14:paraId="3AF5A55F" w14:textId="64952050" w:rsidR="00A676F0" w:rsidRDefault="00A676F0" w:rsidP="00A676F0">
            <w:pPr>
              <w:pStyle w:val="Para"/>
              <w:ind w:firstLine="0"/>
              <w:jc w:val="center"/>
            </w:pPr>
            <w:r>
              <w:rPr>
                <w:noProof/>
              </w:rPr>
              <w:drawing>
                <wp:inline distT="0" distB="0" distL="0" distR="0" wp14:anchorId="48057FD2" wp14:editId="25C0A5F3">
                  <wp:extent cx="1181253" cy="1792605"/>
                  <wp:effectExtent l="0" t="0" r="0" b="0"/>
                  <wp:docPr id="354347887"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47887" name="Picture 1" descr="A screenshot of a map&#10;&#10;AI-generated content may be incorrect."/>
                          <pic:cNvPicPr/>
                        </pic:nvPicPr>
                        <pic:blipFill>
                          <a:blip r:embed="rId21"/>
                          <a:stretch>
                            <a:fillRect/>
                          </a:stretch>
                        </pic:blipFill>
                        <pic:spPr>
                          <a:xfrm>
                            <a:off x="0" y="0"/>
                            <a:ext cx="1241324" cy="1883765"/>
                          </a:xfrm>
                          <a:prstGeom prst="rect">
                            <a:avLst/>
                          </a:prstGeom>
                        </pic:spPr>
                      </pic:pic>
                    </a:graphicData>
                  </a:graphic>
                </wp:inline>
              </w:drawing>
            </w:r>
          </w:p>
        </w:tc>
        <w:tc>
          <w:tcPr>
            <w:tcW w:w="2508" w:type="dxa"/>
            <w:vAlign w:val="bottom"/>
          </w:tcPr>
          <w:p w14:paraId="7CD60DF1" w14:textId="584470D6" w:rsidR="00A676F0" w:rsidRDefault="00A676F0" w:rsidP="00A676F0">
            <w:pPr>
              <w:pStyle w:val="Para"/>
              <w:ind w:firstLine="0"/>
              <w:jc w:val="center"/>
            </w:pPr>
            <w:r>
              <w:rPr>
                <w:noProof/>
              </w:rPr>
              <w:drawing>
                <wp:inline distT="0" distB="0" distL="0" distR="0" wp14:anchorId="54A99EE1" wp14:editId="561C3CD0">
                  <wp:extent cx="1906312" cy="1546892"/>
                  <wp:effectExtent l="0" t="0" r="0" b="2540"/>
                  <wp:docPr id="577597814" name="Picture 2"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97814" name="Picture 2" descr="A graph with a blue line&#10;&#10;AI-generated content may be incorrect."/>
                          <pic:cNvPicPr/>
                        </pic:nvPicPr>
                        <pic:blipFill>
                          <a:blip r:embed="rId22"/>
                          <a:stretch>
                            <a:fillRect/>
                          </a:stretch>
                        </pic:blipFill>
                        <pic:spPr>
                          <a:xfrm>
                            <a:off x="0" y="0"/>
                            <a:ext cx="1930624" cy="1566620"/>
                          </a:xfrm>
                          <a:prstGeom prst="rect">
                            <a:avLst/>
                          </a:prstGeom>
                        </pic:spPr>
                      </pic:pic>
                    </a:graphicData>
                  </a:graphic>
                </wp:inline>
              </w:drawing>
            </w:r>
          </w:p>
        </w:tc>
      </w:tr>
      <w:tr w:rsidR="00A676F0" w14:paraId="778F8DA5" w14:textId="77777777" w:rsidTr="00A676F0">
        <w:tc>
          <w:tcPr>
            <w:tcW w:w="2508" w:type="dxa"/>
          </w:tcPr>
          <w:p w14:paraId="03A82AEC" w14:textId="444FBB03" w:rsidR="00A676F0" w:rsidRDefault="00A676F0" w:rsidP="00A676F0">
            <w:pPr>
              <w:pStyle w:val="Para"/>
              <w:ind w:firstLine="0"/>
              <w:jc w:val="center"/>
            </w:pPr>
            <w:r>
              <w:t>a.</w:t>
            </w:r>
          </w:p>
        </w:tc>
        <w:tc>
          <w:tcPr>
            <w:tcW w:w="2508" w:type="dxa"/>
          </w:tcPr>
          <w:p w14:paraId="65834233" w14:textId="6BFBD662" w:rsidR="00A676F0" w:rsidRDefault="00A676F0" w:rsidP="00A676F0">
            <w:pPr>
              <w:pStyle w:val="Para"/>
              <w:ind w:firstLine="0"/>
              <w:jc w:val="center"/>
            </w:pPr>
            <w:r>
              <w:t>b.</w:t>
            </w:r>
          </w:p>
        </w:tc>
      </w:tr>
    </w:tbl>
    <w:p w14:paraId="1137FAD8" w14:textId="4407C404" w:rsidR="00A676F0" w:rsidRDefault="00A676F0" w:rsidP="00E267FB">
      <w:pPr>
        <w:pStyle w:val="Para"/>
      </w:pPr>
      <w:r>
        <w:t>Figure 4</w:t>
      </w:r>
    </w:p>
    <w:p w14:paraId="0E78D2FE" w14:textId="5D29CBDA" w:rsidR="00E267FB" w:rsidRPr="00E267FB" w:rsidRDefault="00E267FB" w:rsidP="00E267FB">
      <w:pPr>
        <w:pStyle w:val="Head2"/>
        <w:rPr>
          <w:lang w:val="en-CN"/>
        </w:rPr>
      </w:pPr>
      <w:r>
        <w:t>3.</w:t>
      </w:r>
      <w:r>
        <w:t>3</w:t>
      </w:r>
      <w:r>
        <w:t> </w:t>
      </w:r>
      <w:r w:rsidRPr="00E267FB">
        <w:t>Internal Consistency and Failure Cases</w:t>
      </w:r>
    </w:p>
    <w:p w14:paraId="0DEF6915" w14:textId="4545D944" w:rsidR="00E267FB" w:rsidRDefault="00E267FB" w:rsidP="00E267FB">
      <w:pPr>
        <w:pStyle w:val="Para"/>
        <w:ind w:firstLine="0"/>
      </w:pPr>
      <w:r>
        <w:t>The clearest self-correction here is small and mechanical. On the worst-case comparison run, the map review did not attach. The harness caught a malformed entry and rejected it rather than accept it. The run issued anyway, with cartographic consistency marked unreviewed. Nothing was rewritten to clear that flag.</w:t>
      </w:r>
    </w:p>
    <w:p w14:paraId="53561A2B" w14:textId="23ACD401" w:rsidR="00E267FB" w:rsidRDefault="00E267FB" w:rsidP="00E267FB">
      <w:pPr>
        <w:pStyle w:val="Para"/>
      </w:pPr>
      <w:r>
        <w:t>Two more checks recompute the plan rather than trust it. Summed per facility, the 14 sites would claim 85,726 people covered. The true union is 84,860. The 867-person gap is exactly what a naive count would have missed at overlapping service areas. Four of the 14 sites sit within one radius of the district boundary, nearest at 625 m. Population on the far side of that line is not counted at all.</w:t>
      </w:r>
    </w:p>
    <w:p w14:paraId="3584D8BA" w14:textId="384DFD16" w:rsidR="00E267FB" w:rsidRDefault="00E267FB" w:rsidP="00E267FB">
      <w:pPr>
        <w:pStyle w:val="Para"/>
      </w:pPr>
      <w:r>
        <w:t xml:space="preserve">One finding is about the tool, not the district. Figure 2 draws a service circle around each of the 14 new or rehabilitated sites. It draws none around the 354 points already serving the district. A reader of that figure alone could underestimate how much of </w:t>
      </w:r>
      <w:proofErr w:type="spellStart"/>
      <w:r>
        <w:t>Mayuge</w:t>
      </w:r>
      <w:proofErr w:type="spellEnd"/>
      <w:r>
        <w:t xml:space="preserve"> is already covered. The map is accurate. It is not complete on its own.</w:t>
      </w:r>
    </w:p>
    <w:p w14:paraId="66315AE4" w14:textId="447B324F" w:rsidR="00E267FB" w:rsidRDefault="00E267FB" w:rsidP="00E267FB">
      <w:pPr>
        <w:pStyle w:val="Para"/>
      </w:pPr>
      <w:r>
        <w:t xml:space="preserve">The data-currency and boundary findings are about </w:t>
      </w:r>
      <w:proofErr w:type="spellStart"/>
      <w:r>
        <w:t>Mayuge</w:t>
      </w:r>
      <w:proofErr w:type="spellEnd"/>
      <w:r>
        <w:t>. The map's silence on existing coverage, and the unreviewed flag on the comparison run, are about the instrument. Only the second kind is something this system should fix.</w:t>
      </w:r>
    </w:p>
    <w:p w14:paraId="36A6E611" w14:textId="77777777" w:rsidR="00B95336" w:rsidRDefault="00000000">
      <w:pPr>
        <w:pStyle w:val="Head1"/>
      </w:pPr>
      <w:r>
        <w:t>4 Social Impact and Reflection</w:t>
      </w:r>
    </w:p>
    <w:p w14:paraId="3BD4E7F4" w14:textId="77777777" w:rsidR="006B170C" w:rsidRDefault="006B170C" w:rsidP="006B170C">
      <w:pPr>
        <w:pStyle w:val="Para"/>
        <w:ind w:firstLine="0"/>
        <w:rPr>
          <w:lang w:val="en-CN" w:eastAsia="zh-CN"/>
        </w:rPr>
      </w:pPr>
      <w:r w:rsidRPr="006B170C">
        <w:rPr>
          <w:lang w:val="en-CN" w:eastAsia="zh-CN"/>
        </w:rPr>
        <w:t xml:space="preserve">What a district water office lacks is not an algorithm for choosing sites but a way of turning a choice into something it can raise </w:t>
      </w:r>
      <w:r w:rsidRPr="006B170C">
        <w:rPr>
          <w:lang w:val="en-CN" w:eastAsia="zh-CN"/>
        </w:rPr>
        <w:t>money against and defend afterwards. The output is organised by the claim each exhibit supports rather than by the order the analysis ran, so it can be submitted alongside a capital request, which a list of coordinates cannot. It also returns a definition to the district, since the defaults in a model brought in from outside are drawn from practice elsewhere and here each one is a slot a local officer signs: Mayuge's 1 km rests on the threshold the district already reports against, not on the international figure it coincides with. The rest is cost: public sources, an ordinary machine, a cache that re-runs where connectivity is poor, and a neighbouring district that needs a source handbook rather than a second system. Together these make an assessment something a district repeats for itself rather than commissions, and the person who holds a decision need not be the person who can install anything.</w:t>
      </w:r>
    </w:p>
    <w:p w14:paraId="71D343F2" w14:textId="77777777" w:rsidR="006B170C" w:rsidRPr="006B170C" w:rsidRDefault="0076675C" w:rsidP="006B170C">
      <w:pPr>
        <w:pStyle w:val="Para"/>
      </w:pPr>
      <w:r w:rsidRPr="0076675C">
        <w:t>Limits of two kinds remain, and the first belongs to the design: a signature settles who answers for a judgement, not whether it was thought about. An officer will not always supply the reasoning the design assumes, and a question put back can return the same position a second time, or a reason that ends up standing for several decisions which are not the same question. What turned a position into a reason was not the refusal but the pricing, since an option with a cost attached gives an officer something to disagree with. Where even that does not work, the thinness stays on the page, which a tool emitting coordinates conceals along with everything else.</w:t>
      </w:r>
      <w:r>
        <w:t xml:space="preserve"> </w:t>
      </w:r>
      <w:r w:rsidR="006B170C" w:rsidRPr="006B170C">
        <w:t>The second kind belongs to this implementation: the assessment covers one district and one domain, and though the four-slot compiler is domain-agnostic by construction, only a second domain would show it. This system improves the account, not the water supply. It makes a wrong decision identifiable, not less likely.</w:t>
      </w:r>
    </w:p>
    <w:p w14:paraId="50E27F9E" w14:textId="77777777" w:rsidR="00B95336" w:rsidRDefault="00000000">
      <w:pPr>
        <w:pStyle w:val="ReferenceHead"/>
      </w:pPr>
      <w:r>
        <w:t>REFERENCES</w:t>
      </w:r>
    </w:p>
    <w:p w14:paraId="1C46AF09" w14:textId="77777777" w:rsidR="00B95336" w:rsidRDefault="00000000">
      <w:pPr>
        <w:pStyle w:val="Bibentry"/>
      </w:pPr>
      <w:r>
        <w:t>[1]</w:t>
      </w:r>
      <w:r>
        <w:tab/>
        <w:t>Tim Foster. 2013. Predictors of sustainability for community-managed handpumps in sub-Saharan Africa: evidence from Liberia, Sierra Leone, and Uganda. Environmental Science &amp; Technology 47, 21 (2013), 12037-12046. [[VERIFY authors and pagination]]</w:t>
      </w:r>
    </w:p>
    <w:p w14:paraId="5EB5AF8E" w14:textId="77777777" w:rsidR="00B95336" w:rsidRDefault="00000000">
      <w:pPr>
        <w:pStyle w:val="Bibentry"/>
      </w:pPr>
      <w:r>
        <w:t>[2]</w:t>
      </w:r>
      <w:r>
        <w:tab/>
        <w:t>Caroline McManus, Kelsey Lane, Seydou Diarra, and Ryan Cronk. 2025. Alternative indicators of handpump functionality: toward consistent performance-oriented monitoring. PLOS Water 4, 5 (2025), e0000271. https://doi.org/10.1371/journal.pwat.0000271</w:t>
      </w:r>
    </w:p>
    <w:p w14:paraId="7B1CB8C4" w14:textId="77777777" w:rsidR="00B95336" w:rsidRDefault="00000000">
      <w:pPr>
        <w:pStyle w:val="Bibentry"/>
      </w:pPr>
      <w:r>
        <w:t>[3]</w:t>
      </w:r>
      <w:r>
        <w:tab/>
        <w:t xml:space="preserve">A. Murray et al. 2024. Rural water </w:t>
      </w:r>
      <w:proofErr w:type="gramStart"/>
      <w:r>
        <w:t>point</w:t>
      </w:r>
      <w:proofErr w:type="gramEnd"/>
      <w:r>
        <w:t xml:space="preserve"> functionality estimates and associations: evidence from nine countries in sub-Saharan Africa and South Asia. Water Resources Research 60 (2024). https://doi.org/10.1029/2023WR034679 [[VERIFY author list]]</w:t>
      </w:r>
    </w:p>
    <w:p w14:paraId="17E943C5" w14:textId="77777777" w:rsidR="00B95336" w:rsidRDefault="00000000">
      <w:pPr>
        <w:pStyle w:val="Bibentry"/>
      </w:pPr>
      <w:r>
        <w:t>[4]</w:t>
      </w:r>
      <w:r>
        <w:tab/>
        <w:t xml:space="preserve">Ministry of Water and Environment, Uganda. Uganda Water Supply Atlas: </w:t>
      </w:r>
      <w:proofErr w:type="spellStart"/>
      <w:r>
        <w:t>Mayuge</w:t>
      </w:r>
      <w:proofErr w:type="spellEnd"/>
      <w:r>
        <w:t xml:space="preserve"> District. Retrieved [[date]] from http://wsdb.mwe.go.ug/index.php/reports/district/58 [[VERIFY the sub-county coverage range against the live page before submission]]</w:t>
      </w:r>
    </w:p>
    <w:p w14:paraId="6AD9AD1D" w14:textId="77777777" w:rsidR="00B95336" w:rsidRDefault="00000000">
      <w:pPr>
        <w:pStyle w:val="Bibentry"/>
      </w:pPr>
      <w:r>
        <w:t>[5]</w:t>
      </w:r>
      <w:r>
        <w:tab/>
        <w:t xml:space="preserve">WHO and UNICEF Joint Monitoring </w:t>
      </w:r>
      <w:proofErr w:type="spellStart"/>
      <w:r>
        <w:t>Programme</w:t>
      </w:r>
      <w:proofErr w:type="spellEnd"/>
      <w:r>
        <w:t xml:space="preserve"> for Water Supply, Sanitation and Hygiene. [[year]]. Progress on household drinking water, sanitation and hygiene. WHO and UNICEF, Geneva. [[VERIFY edition and the figure cited in Section 1]]</w:t>
      </w:r>
    </w:p>
    <w:p w14:paraId="3BD3157D" w14:textId="77777777" w:rsidR="00B95336" w:rsidRDefault="00000000">
      <w:pPr>
        <w:pStyle w:val="Bibentry"/>
      </w:pPr>
      <w:r>
        <w:t>[6]</w:t>
      </w:r>
      <w:r>
        <w:tab/>
        <w:t xml:space="preserve">D. J. Weiss et al. 2018. A global map of travel time to cities to assess inequalities in accessibility in 2015. Nature 553 (2018), 333-336. [[VERIFY that this is the friction surface release the run </w:t>
      </w:r>
      <w:proofErr w:type="gramStart"/>
      <w:r>
        <w:t>actually used</w:t>
      </w:r>
      <w:proofErr w:type="gramEnd"/>
      <w:r>
        <w:t>]]</w:t>
      </w:r>
    </w:p>
    <w:p w14:paraId="2BEC4217" w14:textId="77777777" w:rsidR="00B95336" w:rsidRDefault="00000000">
      <w:pPr>
        <w:pStyle w:val="Bibentry"/>
      </w:pPr>
      <w:r>
        <w:t>[7]</w:t>
      </w:r>
      <w:r>
        <w:tab/>
      </w:r>
      <w:proofErr w:type="spellStart"/>
      <w:r>
        <w:t>WorldPop</w:t>
      </w:r>
      <w:proofErr w:type="spellEnd"/>
      <w:r>
        <w:t xml:space="preserve">. Population counts, Uganda. University of Southampton. https://www.worldpop.org [[add the dataset year and DOI </w:t>
      </w:r>
      <w:proofErr w:type="gramStart"/>
      <w:r>
        <w:t>actually retrieved</w:t>
      </w:r>
      <w:proofErr w:type="gramEnd"/>
      <w:r>
        <w:t>]]</w:t>
      </w:r>
    </w:p>
    <w:p w14:paraId="21B0327E" w14:textId="77777777" w:rsidR="00B95336" w:rsidRDefault="00000000">
      <w:pPr>
        <w:pStyle w:val="Bibentry"/>
      </w:pPr>
      <w:r>
        <w:t>[8]</w:t>
      </w:r>
      <w:r>
        <w:tab/>
        <w:t>Water Point Data Exchange (</w:t>
      </w:r>
      <w:proofErr w:type="spellStart"/>
      <w:r>
        <w:t>WPdx</w:t>
      </w:r>
      <w:proofErr w:type="spellEnd"/>
      <w:r>
        <w:t>+). Global Water Challenge. https://www.waterpointdata.org [[add the retrieval date recorded in the run ledger]]</w:t>
      </w:r>
    </w:p>
    <w:p w14:paraId="7F8DBFD8" w14:textId="77777777" w:rsidR="00B95336" w:rsidRDefault="00000000">
      <w:pPr>
        <w:pStyle w:val="Bibentry"/>
      </w:pPr>
      <w:r>
        <w:t>[9]</w:t>
      </w:r>
      <w:r>
        <w:tab/>
        <w:t>Zhou, Huang, Ning, Wu, Li, and Zhang. 2026. NORA. arXiv:2605.02092. [[complete the author given names and the full title]]</w:t>
      </w:r>
    </w:p>
    <w:p w14:paraId="7C05CAE2" w14:textId="77777777" w:rsidR="00B95336" w:rsidRDefault="00000000">
      <w:pPr>
        <w:pStyle w:val="Bibentry"/>
      </w:pPr>
      <w:r>
        <w:t>[10]</w:t>
      </w:r>
      <w:r>
        <w:tab/>
        <w:t>GADM. Database of global administrative areas, version [[x]]. https://gadm.org</w:t>
      </w:r>
    </w:p>
    <w:sectPr w:rsidR="00B9533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51443" w14:textId="77777777" w:rsidR="007578AE" w:rsidRDefault="007578AE">
      <w:r>
        <w:separator/>
      </w:r>
    </w:p>
  </w:endnote>
  <w:endnote w:type="continuationSeparator" w:id="0">
    <w:p w14:paraId="16087BA7" w14:textId="77777777" w:rsidR="007578AE" w:rsidRDefault="007578AE">
      <w:r>
        <w:continuationSeparator/>
      </w:r>
    </w:p>
  </w:endnote>
  <w:endnote w:type="continuationNotice" w:id="1">
    <w:p w14:paraId="6910B420" w14:textId="77777777" w:rsidR="007578AE" w:rsidRDefault="007578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Linux Libertine">
    <w:altName w:val="Times New Roman"/>
    <w:panose1 w:val="020B0604020202020204"/>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panose1 w:val="020B0604020202020204"/>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D08A2" w14:textId="77777777" w:rsidR="00586A35" w:rsidRPr="00586A35" w:rsidRDefault="00586A35" w:rsidP="00586A35">
    <w:pPr>
      <w:pStyle w:val="Footer"/>
      <w:rPr>
        <w:rStyle w:val="PageNumber"/>
        <w:rFonts w:ascii="Linux Biolinum" w:hAnsi="Linux Biolinum" w:cs="Linux Biolinum"/>
      </w:rPr>
    </w:pPr>
  </w:p>
  <w:p w14:paraId="0350DA2A"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F3A3F" w14:textId="77777777" w:rsidR="002B01E4" w:rsidRPr="00586A35" w:rsidRDefault="002B01E4">
    <w:pPr>
      <w:pStyle w:val="Footer"/>
      <w:ind w:right="360"/>
      <w:rPr>
        <w:rFonts w:ascii="Linux Biolinum" w:hAnsi="Linux Biolinum" w:cs="Linux Biolinum"/>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BAE5F" w14:textId="77777777" w:rsidR="00D87692" w:rsidRPr="00586A35" w:rsidRDefault="00D87692" w:rsidP="00586A35">
    <w:pPr>
      <w:pStyle w:val="Footer"/>
      <w:rPr>
        <w:rStyle w:val="PageNumber"/>
        <w:rFonts w:ascii="Linux Biolinum" w:hAnsi="Linux Biolinum" w:cs="Linux Biolinum"/>
      </w:rPr>
    </w:pPr>
  </w:p>
  <w:p w14:paraId="527D4408" w14:textId="77777777" w:rsidR="00D87692" w:rsidRPr="00586A35" w:rsidRDefault="00D87692" w:rsidP="00586A35">
    <w:pPr>
      <w:pStyle w:val="Footer"/>
      <w:ind w:right="360"/>
      <w:rPr>
        <w:rFonts w:ascii="Linux Biolinum" w:hAnsi="Linux Biolinum" w:cs="Linux Biolinum"/>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207AE" w14:textId="77777777" w:rsidR="00D87692" w:rsidRPr="00586A35" w:rsidRDefault="00D87692">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03E356" w14:textId="77777777" w:rsidR="007578AE" w:rsidRDefault="007578AE">
      <w:r>
        <w:separator/>
      </w:r>
    </w:p>
  </w:footnote>
  <w:footnote w:type="continuationSeparator" w:id="0">
    <w:p w14:paraId="0E2B6B3A" w14:textId="77777777" w:rsidR="007578AE" w:rsidRDefault="007578AE">
      <w:r>
        <w:continuationSeparator/>
      </w:r>
    </w:p>
  </w:footnote>
  <w:footnote w:type="continuationNotice" w:id="1">
    <w:p w14:paraId="23FD0AB4" w14:textId="77777777" w:rsidR="007578AE" w:rsidRDefault="007578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1E37FC65" w14:textId="77777777" w:rsidTr="00586A35">
      <w:tc>
        <w:tcPr>
          <w:tcW w:w="2500" w:type="pct"/>
          <w:vAlign w:val="center"/>
        </w:tcPr>
        <w:p w14:paraId="29263258"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 xml:space="preserve">WOODSTOCK’18, </w:t>
          </w:r>
          <w:proofErr w:type="gramStart"/>
          <w:r w:rsidRPr="00586A35">
            <w:rPr>
              <w:rFonts w:ascii="Linux Biolinum" w:hAnsi="Linux Biolinum" w:cs="Linux Biolinum"/>
            </w:rPr>
            <w:t>June,</w:t>
          </w:r>
          <w:proofErr w:type="gramEnd"/>
          <w:r w:rsidRPr="00586A35">
            <w:rPr>
              <w:rFonts w:ascii="Linux Biolinum" w:hAnsi="Linux Biolinum" w:cs="Linux Biolinum"/>
            </w:rPr>
            <w:t xml:space="preserve"> 2018, El Paso, Texas USA</w:t>
          </w:r>
        </w:p>
      </w:tc>
      <w:tc>
        <w:tcPr>
          <w:tcW w:w="2500" w:type="pct"/>
          <w:vAlign w:val="center"/>
        </w:tcPr>
        <w:p w14:paraId="39662220"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F. Surname et al.</w:t>
          </w:r>
        </w:p>
      </w:tc>
    </w:tr>
  </w:tbl>
  <w:p w14:paraId="64DA6F34"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38502302" w14:textId="77777777" w:rsidTr="00586A35">
      <w:tc>
        <w:tcPr>
          <w:tcW w:w="2500" w:type="pct"/>
          <w:vAlign w:val="center"/>
        </w:tcPr>
        <w:p w14:paraId="48B6589C" w14:textId="77777777" w:rsidR="00586A35" w:rsidRPr="00586A35" w:rsidRDefault="00586A35"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Insert Your Title Here</w:t>
          </w:r>
        </w:p>
      </w:tc>
      <w:tc>
        <w:tcPr>
          <w:tcW w:w="2500" w:type="pct"/>
          <w:vAlign w:val="center"/>
        </w:tcPr>
        <w:p w14:paraId="167241B9" w14:textId="77777777" w:rsidR="00586A35" w:rsidRPr="00586A35" w:rsidRDefault="00586A35"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 xml:space="preserve">WOODSTOCK’18, </w:t>
          </w:r>
          <w:proofErr w:type="gramStart"/>
          <w:r w:rsidRPr="00586A35">
            <w:rPr>
              <w:rFonts w:ascii="Linux Biolinum" w:hAnsi="Linux Biolinum" w:cs="Linux Biolinum"/>
            </w:rPr>
            <w:t>June,</w:t>
          </w:r>
          <w:proofErr w:type="gramEnd"/>
          <w:r w:rsidRPr="00586A35">
            <w:rPr>
              <w:rFonts w:ascii="Linux Biolinum" w:hAnsi="Linux Biolinum" w:cs="Linux Biolinum"/>
            </w:rPr>
            <w:t xml:space="preserve"> 2018, El Paso, Texas USA</w:t>
          </w:r>
        </w:p>
      </w:tc>
    </w:tr>
  </w:tbl>
  <w:p w14:paraId="755BE488" w14:textId="77777777" w:rsidR="002B01E4" w:rsidRPr="00586A35" w:rsidRDefault="002B01E4" w:rsidP="00586A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51"/>
      <w:gridCol w:w="5151"/>
    </w:tblGrid>
    <w:tr w:rsidR="00D87692" w:rsidRPr="00586A35" w14:paraId="1AFEAE9C" w14:textId="77777777" w:rsidTr="00586A35">
      <w:tc>
        <w:tcPr>
          <w:tcW w:w="2500" w:type="pct"/>
          <w:vAlign w:val="center"/>
        </w:tcPr>
        <w:p w14:paraId="7E38A3E8" w14:textId="77777777" w:rsidR="00D87692" w:rsidRPr="00586A35" w:rsidRDefault="00D87692"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 xml:space="preserve">WOODSTOCK’18, </w:t>
          </w:r>
          <w:proofErr w:type="gramStart"/>
          <w:r w:rsidRPr="00586A35">
            <w:rPr>
              <w:rFonts w:ascii="Linux Biolinum" w:hAnsi="Linux Biolinum" w:cs="Linux Biolinum"/>
            </w:rPr>
            <w:t>June,</w:t>
          </w:r>
          <w:proofErr w:type="gramEnd"/>
          <w:r w:rsidRPr="00586A35">
            <w:rPr>
              <w:rFonts w:ascii="Linux Biolinum" w:hAnsi="Linux Biolinum" w:cs="Linux Biolinum"/>
            </w:rPr>
            <w:t xml:space="preserve"> 2018, El Paso, Texas USA</w:t>
          </w:r>
        </w:p>
      </w:tc>
      <w:tc>
        <w:tcPr>
          <w:tcW w:w="2500" w:type="pct"/>
          <w:vAlign w:val="center"/>
        </w:tcPr>
        <w:p w14:paraId="5DF4FF9A" w14:textId="77777777" w:rsidR="00D87692" w:rsidRPr="00586A35" w:rsidRDefault="00D87692"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F. Surname et al.</w:t>
          </w:r>
        </w:p>
      </w:tc>
    </w:tr>
  </w:tbl>
  <w:p w14:paraId="377D4D38" w14:textId="77777777" w:rsidR="00D87692" w:rsidRPr="00586A35" w:rsidRDefault="00D87692" w:rsidP="00586A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51"/>
      <w:gridCol w:w="5151"/>
    </w:tblGrid>
    <w:tr w:rsidR="00D87692" w:rsidRPr="00586A35" w14:paraId="4DF59FD9" w14:textId="77777777" w:rsidTr="00586A35">
      <w:tc>
        <w:tcPr>
          <w:tcW w:w="2500" w:type="pct"/>
          <w:vAlign w:val="center"/>
        </w:tcPr>
        <w:p w14:paraId="2092C83B" w14:textId="77777777" w:rsidR="00D87692" w:rsidRPr="00586A35" w:rsidRDefault="00D87692" w:rsidP="00586A35">
          <w:pPr>
            <w:pStyle w:val="Header"/>
            <w:tabs>
              <w:tab w:val="clear" w:pos="4320"/>
              <w:tab w:val="clear" w:pos="8640"/>
            </w:tabs>
            <w:jc w:val="left"/>
            <w:rPr>
              <w:rFonts w:ascii="Linux Biolinum" w:hAnsi="Linux Biolinum" w:cs="Linux Biolinum"/>
            </w:rPr>
          </w:pPr>
          <w:r w:rsidRPr="00586A35">
            <w:rPr>
              <w:rFonts w:ascii="Linux Biolinum" w:hAnsi="Linux Biolinum" w:cs="Linux Biolinum"/>
            </w:rPr>
            <w:t>Insert Your Title Here</w:t>
          </w:r>
        </w:p>
      </w:tc>
      <w:tc>
        <w:tcPr>
          <w:tcW w:w="2500" w:type="pct"/>
          <w:vAlign w:val="center"/>
        </w:tcPr>
        <w:p w14:paraId="3A1836A8" w14:textId="77777777" w:rsidR="00D87692" w:rsidRPr="00586A35" w:rsidRDefault="00D87692" w:rsidP="00586A35">
          <w:pPr>
            <w:pStyle w:val="Header"/>
            <w:tabs>
              <w:tab w:val="clear" w:pos="4320"/>
              <w:tab w:val="clear" w:pos="8640"/>
            </w:tabs>
            <w:jc w:val="right"/>
            <w:rPr>
              <w:rFonts w:ascii="Linux Biolinum" w:hAnsi="Linux Biolinum" w:cs="Linux Biolinum"/>
            </w:rPr>
          </w:pPr>
          <w:r w:rsidRPr="00586A35">
            <w:rPr>
              <w:rFonts w:ascii="Linux Biolinum" w:hAnsi="Linux Biolinum" w:cs="Linux Biolinum"/>
            </w:rPr>
            <w:t xml:space="preserve">WOODSTOCK’18, </w:t>
          </w:r>
          <w:proofErr w:type="gramStart"/>
          <w:r w:rsidRPr="00586A35">
            <w:rPr>
              <w:rFonts w:ascii="Linux Biolinum" w:hAnsi="Linux Biolinum" w:cs="Linux Biolinum"/>
            </w:rPr>
            <w:t>June,</w:t>
          </w:r>
          <w:proofErr w:type="gramEnd"/>
          <w:r w:rsidRPr="00586A35">
            <w:rPr>
              <w:rFonts w:ascii="Linux Biolinum" w:hAnsi="Linux Biolinum" w:cs="Linux Biolinum"/>
            </w:rPr>
            <w:t xml:space="preserve"> 2018, El Paso, Texas USA</w:t>
          </w:r>
        </w:p>
      </w:tc>
    </w:tr>
  </w:tbl>
  <w:p w14:paraId="63023959" w14:textId="77777777" w:rsidR="00D87692" w:rsidRPr="00586A35" w:rsidRDefault="00D87692"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5E2754B2"/>
    <w:multiLevelType w:val="hybridMultilevel"/>
    <w:tmpl w:val="925AF0C4"/>
    <w:lvl w:ilvl="0" w:tplc="771CF618">
      <w:start w:val="1"/>
      <w:numFmt w:val="upperLetter"/>
      <w:lvlText w:val="%1."/>
      <w:lvlJc w:val="left"/>
      <w:pPr>
        <w:ind w:left="598" w:hanging="360"/>
      </w:pPr>
      <w:rPr>
        <w:rFonts w:hint="default"/>
      </w:rPr>
    </w:lvl>
    <w:lvl w:ilvl="1" w:tplc="04090019" w:tentative="1">
      <w:start w:val="1"/>
      <w:numFmt w:val="lowerLetter"/>
      <w:lvlText w:val="%2."/>
      <w:lvlJc w:val="left"/>
      <w:pPr>
        <w:ind w:left="1318" w:hanging="360"/>
      </w:pPr>
    </w:lvl>
    <w:lvl w:ilvl="2" w:tplc="0409001B" w:tentative="1">
      <w:start w:val="1"/>
      <w:numFmt w:val="lowerRoman"/>
      <w:lvlText w:val="%3."/>
      <w:lvlJc w:val="right"/>
      <w:pPr>
        <w:ind w:left="2038" w:hanging="180"/>
      </w:pPr>
    </w:lvl>
    <w:lvl w:ilvl="3" w:tplc="0409000F" w:tentative="1">
      <w:start w:val="1"/>
      <w:numFmt w:val="decimal"/>
      <w:lvlText w:val="%4."/>
      <w:lvlJc w:val="left"/>
      <w:pPr>
        <w:ind w:left="2758" w:hanging="360"/>
      </w:pPr>
    </w:lvl>
    <w:lvl w:ilvl="4" w:tplc="04090019" w:tentative="1">
      <w:start w:val="1"/>
      <w:numFmt w:val="lowerLetter"/>
      <w:lvlText w:val="%5."/>
      <w:lvlJc w:val="left"/>
      <w:pPr>
        <w:ind w:left="3478" w:hanging="360"/>
      </w:pPr>
    </w:lvl>
    <w:lvl w:ilvl="5" w:tplc="0409001B" w:tentative="1">
      <w:start w:val="1"/>
      <w:numFmt w:val="lowerRoman"/>
      <w:lvlText w:val="%6."/>
      <w:lvlJc w:val="right"/>
      <w:pPr>
        <w:ind w:left="4198" w:hanging="180"/>
      </w:pPr>
    </w:lvl>
    <w:lvl w:ilvl="6" w:tplc="0409000F" w:tentative="1">
      <w:start w:val="1"/>
      <w:numFmt w:val="decimal"/>
      <w:lvlText w:val="%7."/>
      <w:lvlJc w:val="left"/>
      <w:pPr>
        <w:ind w:left="4918" w:hanging="360"/>
      </w:pPr>
    </w:lvl>
    <w:lvl w:ilvl="7" w:tplc="04090019" w:tentative="1">
      <w:start w:val="1"/>
      <w:numFmt w:val="lowerLetter"/>
      <w:lvlText w:val="%8."/>
      <w:lvlJc w:val="left"/>
      <w:pPr>
        <w:ind w:left="5638" w:hanging="360"/>
      </w:pPr>
    </w:lvl>
    <w:lvl w:ilvl="8" w:tplc="0409001B" w:tentative="1">
      <w:start w:val="1"/>
      <w:numFmt w:val="lowerRoman"/>
      <w:lvlText w:val="%9."/>
      <w:lvlJc w:val="right"/>
      <w:pPr>
        <w:ind w:left="6358" w:hanging="180"/>
      </w:pPr>
    </w:lvl>
  </w:abstractNum>
  <w:abstractNum w:abstractNumId="23"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6"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7"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9"/>
  </w:num>
  <w:num w:numId="2" w16cid:durableId="501240163">
    <w:abstractNumId w:val="14"/>
  </w:num>
  <w:num w:numId="3" w16cid:durableId="403140966">
    <w:abstractNumId w:val="10"/>
  </w:num>
  <w:num w:numId="4" w16cid:durableId="2032146662">
    <w:abstractNumId w:val="28"/>
  </w:num>
  <w:num w:numId="5" w16cid:durableId="556864577">
    <w:abstractNumId w:val="19"/>
  </w:num>
  <w:num w:numId="6" w16cid:durableId="1659116087">
    <w:abstractNumId w:val="15"/>
  </w:num>
  <w:num w:numId="7" w16cid:durableId="1430470961">
    <w:abstractNumId w:val="26"/>
  </w:num>
  <w:num w:numId="8" w16cid:durableId="1307123707">
    <w:abstractNumId w:val="21"/>
  </w:num>
  <w:num w:numId="9" w16cid:durableId="594291693">
    <w:abstractNumId w:val="25"/>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4"/>
  </w:num>
  <w:num w:numId="22" w16cid:durableId="1852333500">
    <w:abstractNumId w:val="30"/>
  </w:num>
  <w:num w:numId="23" w16cid:durableId="2082436269">
    <w:abstractNumId w:val="13"/>
  </w:num>
  <w:num w:numId="24" w16cid:durableId="1157301503">
    <w:abstractNumId w:val="27"/>
  </w:num>
  <w:num w:numId="25" w16cid:durableId="844056796">
    <w:abstractNumId w:val="23"/>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 w:numId="32" w16cid:durableId="720907264">
    <w:abstractNumId w:val="2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326"/>
    <w:rsid w:val="00077680"/>
    <w:rsid w:val="00080E27"/>
    <w:rsid w:val="000819C0"/>
    <w:rsid w:val="0008431E"/>
    <w:rsid w:val="000C050B"/>
    <w:rsid w:val="000C4D63"/>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19E4"/>
    <w:rsid w:val="00152510"/>
    <w:rsid w:val="001566AE"/>
    <w:rsid w:val="001751F7"/>
    <w:rsid w:val="00193445"/>
    <w:rsid w:val="001961CD"/>
    <w:rsid w:val="001A06AF"/>
    <w:rsid w:val="001A43B1"/>
    <w:rsid w:val="001A71BB"/>
    <w:rsid w:val="001B29D6"/>
    <w:rsid w:val="001D5887"/>
    <w:rsid w:val="001E2720"/>
    <w:rsid w:val="001E71D7"/>
    <w:rsid w:val="0020294A"/>
    <w:rsid w:val="002233F8"/>
    <w:rsid w:val="002300AC"/>
    <w:rsid w:val="00245119"/>
    <w:rsid w:val="00250FEF"/>
    <w:rsid w:val="00252596"/>
    <w:rsid w:val="00257DF8"/>
    <w:rsid w:val="00261295"/>
    <w:rsid w:val="00264B6B"/>
    <w:rsid w:val="00270347"/>
    <w:rsid w:val="0027195D"/>
    <w:rsid w:val="002738DA"/>
    <w:rsid w:val="00282789"/>
    <w:rsid w:val="00290DF5"/>
    <w:rsid w:val="00292645"/>
    <w:rsid w:val="0029583F"/>
    <w:rsid w:val="002A517A"/>
    <w:rsid w:val="002B01E4"/>
    <w:rsid w:val="002B1F59"/>
    <w:rsid w:val="002D26C4"/>
    <w:rsid w:val="002F069E"/>
    <w:rsid w:val="002F2289"/>
    <w:rsid w:val="002F2EB2"/>
    <w:rsid w:val="00301545"/>
    <w:rsid w:val="00303FAD"/>
    <w:rsid w:val="003057B1"/>
    <w:rsid w:val="00307501"/>
    <w:rsid w:val="00317850"/>
    <w:rsid w:val="00321DDC"/>
    <w:rsid w:val="0032775A"/>
    <w:rsid w:val="0033342D"/>
    <w:rsid w:val="003342CD"/>
    <w:rsid w:val="00336D12"/>
    <w:rsid w:val="0034235E"/>
    <w:rsid w:val="00356296"/>
    <w:rsid w:val="00357671"/>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128EE"/>
    <w:rsid w:val="00427C7D"/>
    <w:rsid w:val="00431CB0"/>
    <w:rsid w:val="00447606"/>
    <w:rsid w:val="0046042C"/>
    <w:rsid w:val="0048106F"/>
    <w:rsid w:val="0048126B"/>
    <w:rsid w:val="004825CE"/>
    <w:rsid w:val="004836A6"/>
    <w:rsid w:val="00492EF4"/>
    <w:rsid w:val="004947C9"/>
    <w:rsid w:val="00495781"/>
    <w:rsid w:val="00497365"/>
    <w:rsid w:val="004A7556"/>
    <w:rsid w:val="004B0BF6"/>
    <w:rsid w:val="004C1EDF"/>
    <w:rsid w:val="004C49F3"/>
    <w:rsid w:val="004C6B2D"/>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5F3F5E"/>
    <w:rsid w:val="00607A60"/>
    <w:rsid w:val="0061273A"/>
    <w:rsid w:val="00612C56"/>
    <w:rsid w:val="00612E4E"/>
    <w:rsid w:val="00626950"/>
    <w:rsid w:val="006317A6"/>
    <w:rsid w:val="0063608B"/>
    <w:rsid w:val="00644AC8"/>
    <w:rsid w:val="00650463"/>
    <w:rsid w:val="006514CD"/>
    <w:rsid w:val="0065275A"/>
    <w:rsid w:val="00654D92"/>
    <w:rsid w:val="00660A05"/>
    <w:rsid w:val="00670649"/>
    <w:rsid w:val="00675128"/>
    <w:rsid w:val="0069472B"/>
    <w:rsid w:val="00694749"/>
    <w:rsid w:val="006978B2"/>
    <w:rsid w:val="006A22F6"/>
    <w:rsid w:val="006A29E8"/>
    <w:rsid w:val="006B170C"/>
    <w:rsid w:val="006B4623"/>
    <w:rsid w:val="006C4BE3"/>
    <w:rsid w:val="006D0E9B"/>
    <w:rsid w:val="006D2239"/>
    <w:rsid w:val="006E0D12"/>
    <w:rsid w:val="006E4407"/>
    <w:rsid w:val="006E7653"/>
    <w:rsid w:val="006F050A"/>
    <w:rsid w:val="006F1681"/>
    <w:rsid w:val="00701FA6"/>
    <w:rsid w:val="0070306F"/>
    <w:rsid w:val="0070473B"/>
    <w:rsid w:val="0070531E"/>
    <w:rsid w:val="00710B5D"/>
    <w:rsid w:val="00717FB2"/>
    <w:rsid w:val="007249CB"/>
    <w:rsid w:val="00727914"/>
    <w:rsid w:val="00727EBD"/>
    <w:rsid w:val="00732243"/>
    <w:rsid w:val="00732D22"/>
    <w:rsid w:val="00743328"/>
    <w:rsid w:val="007451FF"/>
    <w:rsid w:val="00745373"/>
    <w:rsid w:val="00747E69"/>
    <w:rsid w:val="00751EC1"/>
    <w:rsid w:val="00752225"/>
    <w:rsid w:val="00753548"/>
    <w:rsid w:val="007578AE"/>
    <w:rsid w:val="00764059"/>
    <w:rsid w:val="007647B0"/>
    <w:rsid w:val="00765265"/>
    <w:rsid w:val="0076675C"/>
    <w:rsid w:val="007800CE"/>
    <w:rsid w:val="00780227"/>
    <w:rsid w:val="0079317C"/>
    <w:rsid w:val="00793451"/>
    <w:rsid w:val="00793808"/>
    <w:rsid w:val="0079682F"/>
    <w:rsid w:val="00797D60"/>
    <w:rsid w:val="007A3F4E"/>
    <w:rsid w:val="007A481F"/>
    <w:rsid w:val="007A502C"/>
    <w:rsid w:val="007A579F"/>
    <w:rsid w:val="007C57E7"/>
    <w:rsid w:val="007C5B71"/>
    <w:rsid w:val="007D3C28"/>
    <w:rsid w:val="007E0B4F"/>
    <w:rsid w:val="007E7648"/>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9066F"/>
    <w:rsid w:val="00891A1D"/>
    <w:rsid w:val="008949E1"/>
    <w:rsid w:val="008A665A"/>
    <w:rsid w:val="008A76E9"/>
    <w:rsid w:val="008B1EFD"/>
    <w:rsid w:val="008B710D"/>
    <w:rsid w:val="008C6E83"/>
    <w:rsid w:val="008C72C9"/>
    <w:rsid w:val="008D4A83"/>
    <w:rsid w:val="008F6FB8"/>
    <w:rsid w:val="009010B7"/>
    <w:rsid w:val="009073E1"/>
    <w:rsid w:val="0092209C"/>
    <w:rsid w:val="00922D48"/>
    <w:rsid w:val="009268B7"/>
    <w:rsid w:val="00926E45"/>
    <w:rsid w:val="00931F2B"/>
    <w:rsid w:val="00932662"/>
    <w:rsid w:val="00934FE1"/>
    <w:rsid w:val="00936367"/>
    <w:rsid w:val="00936F8D"/>
    <w:rsid w:val="0095071A"/>
    <w:rsid w:val="00955704"/>
    <w:rsid w:val="00962503"/>
    <w:rsid w:val="00966299"/>
    <w:rsid w:val="009668DE"/>
    <w:rsid w:val="00976413"/>
    <w:rsid w:val="00976F2F"/>
    <w:rsid w:val="00982C4C"/>
    <w:rsid w:val="00986039"/>
    <w:rsid w:val="009923C7"/>
    <w:rsid w:val="009978A7"/>
    <w:rsid w:val="009B00DC"/>
    <w:rsid w:val="009B7559"/>
    <w:rsid w:val="009C4CDA"/>
    <w:rsid w:val="009D0045"/>
    <w:rsid w:val="009D3C3B"/>
    <w:rsid w:val="009D46EA"/>
    <w:rsid w:val="009E56C5"/>
    <w:rsid w:val="009F2833"/>
    <w:rsid w:val="00A012F5"/>
    <w:rsid w:val="00A12291"/>
    <w:rsid w:val="00A15152"/>
    <w:rsid w:val="00A155F9"/>
    <w:rsid w:val="00A164B7"/>
    <w:rsid w:val="00A21DEF"/>
    <w:rsid w:val="00A319FD"/>
    <w:rsid w:val="00A462C6"/>
    <w:rsid w:val="00A55023"/>
    <w:rsid w:val="00A676F0"/>
    <w:rsid w:val="00A739CB"/>
    <w:rsid w:val="00A75047"/>
    <w:rsid w:val="00A8507F"/>
    <w:rsid w:val="00A91E16"/>
    <w:rsid w:val="00A95518"/>
    <w:rsid w:val="00AA10C4"/>
    <w:rsid w:val="00AA57D8"/>
    <w:rsid w:val="00AA5BF1"/>
    <w:rsid w:val="00AA6E2B"/>
    <w:rsid w:val="00AB0733"/>
    <w:rsid w:val="00AB21AA"/>
    <w:rsid w:val="00AB2327"/>
    <w:rsid w:val="00AC4630"/>
    <w:rsid w:val="00AD0294"/>
    <w:rsid w:val="00AE1E64"/>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667B0"/>
    <w:rsid w:val="00B73DEA"/>
    <w:rsid w:val="00B95336"/>
    <w:rsid w:val="00BA00DF"/>
    <w:rsid w:val="00BA5432"/>
    <w:rsid w:val="00BA7DD8"/>
    <w:rsid w:val="00BB333E"/>
    <w:rsid w:val="00BC5BDA"/>
    <w:rsid w:val="00BD304D"/>
    <w:rsid w:val="00BD61E5"/>
    <w:rsid w:val="00BD793B"/>
    <w:rsid w:val="00BE7F58"/>
    <w:rsid w:val="00BF3D6B"/>
    <w:rsid w:val="00C03DCA"/>
    <w:rsid w:val="00C06212"/>
    <w:rsid w:val="00C1142C"/>
    <w:rsid w:val="00C14A4F"/>
    <w:rsid w:val="00C32613"/>
    <w:rsid w:val="00C40E85"/>
    <w:rsid w:val="00C41AE1"/>
    <w:rsid w:val="00C4538D"/>
    <w:rsid w:val="00C461FF"/>
    <w:rsid w:val="00C50274"/>
    <w:rsid w:val="00C5423E"/>
    <w:rsid w:val="00C72FAB"/>
    <w:rsid w:val="00C822AF"/>
    <w:rsid w:val="00C90428"/>
    <w:rsid w:val="00C91145"/>
    <w:rsid w:val="00C9472A"/>
    <w:rsid w:val="00C95C6E"/>
    <w:rsid w:val="00C96C07"/>
    <w:rsid w:val="00CA17C5"/>
    <w:rsid w:val="00CB6709"/>
    <w:rsid w:val="00CC2FE0"/>
    <w:rsid w:val="00CD4663"/>
    <w:rsid w:val="00CE752A"/>
    <w:rsid w:val="00CF2B1E"/>
    <w:rsid w:val="00CF39D4"/>
    <w:rsid w:val="00D04103"/>
    <w:rsid w:val="00D24AA4"/>
    <w:rsid w:val="00D31EBA"/>
    <w:rsid w:val="00D341FA"/>
    <w:rsid w:val="00D34435"/>
    <w:rsid w:val="00D47BCC"/>
    <w:rsid w:val="00D658B3"/>
    <w:rsid w:val="00D70EDE"/>
    <w:rsid w:val="00D87692"/>
    <w:rsid w:val="00D9290D"/>
    <w:rsid w:val="00DC112E"/>
    <w:rsid w:val="00DC1C49"/>
    <w:rsid w:val="00DC2FE2"/>
    <w:rsid w:val="00DC4B20"/>
    <w:rsid w:val="00DC4FC9"/>
    <w:rsid w:val="00DD476E"/>
    <w:rsid w:val="00DD5335"/>
    <w:rsid w:val="00DE353E"/>
    <w:rsid w:val="00DF0E97"/>
    <w:rsid w:val="00E016B0"/>
    <w:rsid w:val="00E04496"/>
    <w:rsid w:val="00E13CDC"/>
    <w:rsid w:val="00E2212F"/>
    <w:rsid w:val="00E238F9"/>
    <w:rsid w:val="00E251D2"/>
    <w:rsid w:val="00E267FB"/>
    <w:rsid w:val="00E270D5"/>
    <w:rsid w:val="00E27659"/>
    <w:rsid w:val="00E320C3"/>
    <w:rsid w:val="00E36BC9"/>
    <w:rsid w:val="00E51B27"/>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223C"/>
    <w:rsid w:val="00F040D1"/>
    <w:rsid w:val="00F06E88"/>
    <w:rsid w:val="00F07F37"/>
    <w:rsid w:val="00F1257F"/>
    <w:rsid w:val="00F13DDE"/>
    <w:rsid w:val="00F2664D"/>
    <w:rsid w:val="00F30418"/>
    <w:rsid w:val="00F3215E"/>
    <w:rsid w:val="00F3231F"/>
    <w:rsid w:val="00F41CC2"/>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CDB4BE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7C5B71"/>
    <w:pPr>
      <w:spacing w:before="20" w:after="120" w:line="264" w:lineRule="auto"/>
      <w:ind w:firstLine="238"/>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HTMLCode">
    <w:name w:val="HTML Code"/>
    <w:basedOn w:val="DefaultParagraphFont"/>
    <w:uiPriority w:val="99"/>
    <w:semiHidden/>
    <w:unhideWhenUsed/>
    <w:rsid w:val="008A76E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07002">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33110687">
      <w:bodyDiv w:val="1"/>
      <w:marLeft w:val="0"/>
      <w:marRight w:val="0"/>
      <w:marTop w:val="0"/>
      <w:marBottom w:val="0"/>
      <w:divBdr>
        <w:top w:val="none" w:sz="0" w:space="0" w:color="auto"/>
        <w:left w:val="none" w:sz="0" w:space="0" w:color="auto"/>
        <w:bottom w:val="none" w:sz="0" w:space="0" w:color="auto"/>
        <w:right w:val="none" w:sz="0" w:space="0" w:color="auto"/>
      </w:divBdr>
    </w:div>
    <w:div w:id="200172737">
      <w:bodyDiv w:val="1"/>
      <w:marLeft w:val="0"/>
      <w:marRight w:val="0"/>
      <w:marTop w:val="0"/>
      <w:marBottom w:val="0"/>
      <w:divBdr>
        <w:top w:val="none" w:sz="0" w:space="0" w:color="auto"/>
        <w:left w:val="none" w:sz="0" w:space="0" w:color="auto"/>
        <w:bottom w:val="none" w:sz="0" w:space="0" w:color="auto"/>
        <w:right w:val="none" w:sz="0" w:space="0" w:color="auto"/>
      </w:divBdr>
    </w:div>
    <w:div w:id="301814975">
      <w:bodyDiv w:val="1"/>
      <w:marLeft w:val="0"/>
      <w:marRight w:val="0"/>
      <w:marTop w:val="0"/>
      <w:marBottom w:val="0"/>
      <w:divBdr>
        <w:top w:val="none" w:sz="0" w:space="0" w:color="auto"/>
        <w:left w:val="none" w:sz="0" w:space="0" w:color="auto"/>
        <w:bottom w:val="none" w:sz="0" w:space="0" w:color="auto"/>
        <w:right w:val="none" w:sz="0" w:space="0" w:color="auto"/>
      </w:divBdr>
    </w:div>
    <w:div w:id="345864146">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36116511">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064335650">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3865622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3646576">
      <w:bodyDiv w:val="1"/>
      <w:marLeft w:val="0"/>
      <w:marRight w:val="0"/>
      <w:marTop w:val="0"/>
      <w:marBottom w:val="0"/>
      <w:divBdr>
        <w:top w:val="none" w:sz="0" w:space="0" w:color="auto"/>
        <w:left w:val="none" w:sz="0" w:space="0" w:color="auto"/>
        <w:bottom w:val="none" w:sz="0" w:space="0" w:color="auto"/>
        <w:right w:val="none" w:sz="0" w:space="0" w:color="auto"/>
      </w:divBdr>
      <w:divsChild>
        <w:div w:id="397441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360545937">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129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564945138">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2.jp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1.jp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C:\poweredit-8-02-2018\framework\Templates\ACM.dotm</Template>
  <TotalTime>71</TotalTime>
  <Pages>4</Pages>
  <Words>3223</Words>
  <Characters>18372</Characters>
  <Application>Microsoft Office Word</Application>
  <DocSecurity>0</DocSecurity>
  <Lines>153</Lines>
  <Paragraphs>43</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21552</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ad53lqp</cp:lastModifiedBy>
  <cp:revision>12</cp:revision>
  <cp:lastPrinted>2018-05-22T11:24:00Z</cp:lastPrinted>
  <dcterms:created xsi:type="dcterms:W3CDTF">2019-10-29T19:38:00Z</dcterms:created>
  <dcterms:modified xsi:type="dcterms:W3CDTF">2026-09-05T01:00:00Z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