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ind w:left="0" w:firstLine="0"/>
        <w:jc w:val="center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                  장교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진로 적합도 검사 결과</w:t>
      </w:r>
    </w:p>
    <w:p w:rsidR="00000000" w:rsidDel="00000000" w:rsidP="00000000" w:rsidRDefault="00000000" w:rsidRPr="00000000" w14:paraId="00000002">
      <w:pPr>
        <w:spacing w:before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이름: &lt;&lt;이름&gt;&gt;,       진로 유형: &lt;&lt;유형&gt;&gt;</w:t>
      </w:r>
    </w:p>
    <w:p w:rsidR="00000000" w:rsidDel="00000000" w:rsidP="00000000" w:rsidRDefault="00000000" w:rsidRPr="00000000" w14:paraId="00000004">
      <w:pPr>
        <w:spacing w:before="0" w:line="276" w:lineRule="auto"/>
        <w:ind w:left="0" w:right="-844.7244094488178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[세부 설명]</w:t>
      </w:r>
    </w:p>
    <w:p w:rsidR="00000000" w:rsidDel="00000000" w:rsidP="00000000" w:rsidRDefault="00000000" w:rsidRPr="00000000" w14:paraId="00000005">
      <w:pPr>
        <w:spacing w:before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본 결과인 R.I.A.S.E.C.는 “어떤 사람이 어떤 군 역할에서 가장 잘 맞는지”를  설명하는 과학적 기준으로 미국의 직업심리학자 존.L 홀랜드에 의해 정의된 적성 유형을 군 특성에 부합되도록 구성하여 귀하에게 제공하는 것입니다.</w:t>
      </w:r>
    </w:p>
    <w:p w:rsidR="00000000" w:rsidDel="00000000" w:rsidP="00000000" w:rsidRDefault="00000000" w:rsidRPr="00000000" w14:paraId="00000006">
      <w:pPr>
        <w:spacing w:before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&lt;&lt;적성분야설명&gt;&gt;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본 결과는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개인의 현재 흥미와 성향을 바탕으로 도출된 참고 자료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입니다. 따라서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개인의 노력과 경험에 따라 다양한 유형으로 확장되고 전환할 수 있음을 전제로 해석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하는 것이 바람직합니다.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병과 및 전문인력 분야에 대한 세부내용은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“군대에서 꿈을 설계하다”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책자를 참고하세요</w:t>
            </w:r>
          </w:p>
        </w:tc>
      </w:tr>
    </w:tbl>
    <w:p w:rsidR="00000000" w:rsidDel="00000000" w:rsidP="00000000" w:rsidRDefault="00000000" w:rsidRPr="00000000" w14:paraId="00000018">
      <w:pPr>
        <w:spacing w:before="0" w:line="276" w:lineRule="auto"/>
        <w:ind w:left="0" w:firstLine="0"/>
        <w:jc w:val="center"/>
        <w:rPr>
          <w:rFonts w:ascii="Gulim" w:cs="Gulim" w:eastAsia="Gulim" w:hAnsi="Gulim"/>
          <w:b w:val="1"/>
          <w:bCs w:val="1"/>
          <w:color w:val="0000ff"/>
          <w:u w:val="singl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sz w:val="30"/>
          <w:szCs w:val="30"/>
          <w:u w:val="single"/>
          <w:rtl w:val="0"/>
        </w:rPr>
        <w:t xml:space="preserve">진로 유형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-283.46456692913375" w:firstLine="0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-283.46456692913375" w:firstLine="0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1) R (Realistic) : 야전·실무용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장비 운용과 현장 중심의 임무 수행에서 강점을 보이는 전형적인 야전형 장교로 성장할 가능성을 의미합니다. 이러한 성향은 군 환경에서 전투장비 운용과 유지관리, 전술적 운용, 병력 통제 등 실제 전투력과 직결되는 분야에서 특히 중요한 역할을 합니다. 명확한 목표와 역할이 주어졌을 때 집중력을 보이며, 책임감 있게 임무를 완수하는 것이 큰 장점입니다. 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283.46456692913375" w:hanging="566.9291338582675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2) I (Investigative) : 기술·분석형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분석적 사고와 문제 해결 능력이 뛰어나며, 복잡한 시스템과 정보를 이해하고 활용하는 데 강점을 지닌 유형입니다. 군에서는 이러한 능력이 정보전, 기술전, 미래전 수행에 핵심적으로 활용됩니다. 감이나 경험보다는 객관적인 자료와 근거를 바탕으로 판단하며, 끊임없이 전문성을 향상시키려는 성향이 강합니다. 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-283.46456692913375" w:firstLine="0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3) A (Artistic) : 창의형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창의적인 표현과 방법, 새로운 아이디어를 통해 조직에 활력을 불어넣는 역할을 합니다. 군 조직에서는 이러한 성향이 장병 사기진작, 홍보, 심리전, 문화 활동 등에서 중요한 의미를 갖습니다. 독창적인 시각으로 문제를 바라보고 기존의 방식을 개선하여 더 효과적인 결과를 만들어내는 데 강점을 보입니다. 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283.46456692913375" w:hanging="566.9291338582675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4) S (Social) : 관계형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사람을 이해하고 돕는 데 강점을 가진 유형으로, 조직 내 안정과 협력을 이끄는 중요한 역할을 수행합니다. 이들은 자신의 성과뿐만 아니라 전우와 부하의 발전, 부대의 단결, 공동의 목표 달성에서 큰 보람을 느낍니다. 상대방의 이야기를 잘 듣고 공감하며, 갈등을 원만하게 조정하고 협력적인 분위기를 만드는 능력이 뛰어납니다. 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-283.46456692913375" w:firstLine="0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5) E (Enterprising)  : 리더형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리더십과 의사결정 능력(협의, 조정)이 뛰어나며, 조직을 이끌고 목표를 달성하는 데 강점을 가진 유형입니다. 또한 이 유형은 상황을 빠르게 파악하고 방향을 설정하여 조직을 이끄는 능력이 뛰어나며, 부하들을 동기부여하고 목표 달성을 위해 자원을 효과적으로 배분하는 데 능숙합니다.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-283.46456692913375" w:firstLine="0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6) C (Conventional) : 행정·관리형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Fonts w:ascii="Gulim" w:cs="Gulim" w:eastAsia="Gulim" w:hAnsi="Gulim"/>
          <w:rtl w:val="0"/>
        </w:rPr>
        <w:t xml:space="preserve">체계적인 관리와 정확한 업무 수행에 강점을 가진 유형으로, 군 조직의 안정적 운영을 유지하는 데 필수적인 역할을 담당합니다. 맡은 일을 끝까지 책임감 있게 수행하며, 작은 실수도 줄이기 위해 세심하게 확인하는 습관을 가지고 있습니다. 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Gulim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100013</wp:posOffset>
          </wp:positionV>
          <wp:extent cx="7791450" cy="1065497"/>
          <wp:effectExtent b="0" l="0" r="0" t="0"/>
          <wp:wrapTopAndBottom distB="0" distT="0"/>
          <wp:docPr descr="바닥글 그래픽" id="4" name="image3.png"/>
          <a:graphic>
            <a:graphicData uri="http://schemas.openxmlformats.org/drawingml/2006/picture">
              <pic:pic>
                <pic:nvPicPr>
                  <pic:cNvPr descr="바닥글 그래픽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106078</wp:posOffset>
          </wp:positionV>
          <wp:extent cx="7791450" cy="1065497"/>
          <wp:effectExtent b="0" l="0" r="0" t="0"/>
          <wp:wrapTopAndBottom distB="0" distT="0"/>
          <wp:docPr descr="바닥글 그래픽" id="3" name="image3.png"/>
          <a:graphic>
            <a:graphicData uri="http://schemas.openxmlformats.org/drawingml/2006/picture">
              <pic:pic>
                <pic:nvPicPr>
                  <pic:cNvPr descr="바닥글 그래픽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모서리 그래픽" id="2" name="image1.png"/>
          <a:graphic>
            <a:graphicData uri="http://schemas.openxmlformats.org/drawingml/2006/picture">
              <pic:pic>
                <pic:nvPicPr>
                  <pic:cNvPr descr="모서리 그래픽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-66674</wp:posOffset>
          </wp:positionV>
          <wp:extent cx="1595438" cy="1595438"/>
          <wp:effectExtent b="0" l="0" r="0" t="0"/>
          <wp:wrapSquare wrapText="bothSides" distB="0" distT="0" distL="0" distR="0"/>
          <wp:docPr descr="geometric_corner.png" id="1" name="image2.png"/>
          <a:graphic>
            <a:graphicData uri="http://schemas.openxmlformats.org/drawingml/2006/picture">
              <pic:pic>
                <pic:nvPicPr>
                  <pic:cNvPr descr="geometric_corner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5438" cy="15954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ko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