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6F17DE2" w14:textId="77777777" w:rsidR="00BC4B66" w:rsidRPr="00BC4B66" w:rsidRDefault="00BC4B66" w:rsidP="00BC4B66">
      <w:pPr>
        <w:rPr>
          <w:rFonts w:ascii="Times New Roman" w:hAnsi="Times New Roman" w:cs="Times New Roman"/>
        </w:rPr>
      </w:pPr>
      <w:r w:rsidRPr="00BC4B66">
        <w:rPr>
          <w:rFonts w:ascii="Times New Roman" w:hAnsi="Times New Roman" w:cs="Times New Roman"/>
        </w:rPr>
        <w:t>To evaluate the impact of air density on engine power output, aerodynamic drag, and top speed for a Formula 1 car under current (2025) and upcoming (2026) power unit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1E8C4814" w14:textId="13A073F1" w:rsidR="00CC346F" w:rsidRPr="00CC346F" w:rsidRDefault="00CC346F" w:rsidP="00CC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346F">
        <w:rPr>
          <w:rFonts w:ascii="Times New Roman" w:hAnsi="Times New Roman" w:cs="Times New Roman"/>
        </w:rPr>
        <w:t>All 24 tracks from the 2024 F1 calendar</w:t>
      </w:r>
    </w:p>
    <w:p w14:paraId="06B5E456" w14:textId="097E579E" w:rsidR="00CC346F" w:rsidRPr="00CC346F" w:rsidRDefault="00CC346F" w:rsidP="00CC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346F">
        <w:rPr>
          <w:rFonts w:ascii="Times New Roman" w:hAnsi="Times New Roman" w:cs="Times New Roman"/>
        </w:rPr>
        <w:t>Circuit-specific average temperature and elevation</w:t>
      </w:r>
    </w:p>
    <w:p w14:paraId="0B056C25" w14:textId="0FF2FBF9" w:rsidR="00CC346F" w:rsidRPr="00CC346F" w:rsidRDefault="00CC346F" w:rsidP="00CC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346F">
        <w:rPr>
          <w:rFonts w:ascii="Times New Roman" w:hAnsi="Times New Roman" w:cs="Times New Roman"/>
        </w:rPr>
        <w:t xml:space="preserve">Thermodynamic </w:t>
      </w:r>
      <w:r w:rsidRPr="00CC346F">
        <w:rPr>
          <w:rFonts w:ascii="Times New Roman" w:hAnsi="Times New Roman" w:cs="Times New Roman"/>
        </w:rPr>
        <w:t>modelling</w:t>
      </w:r>
      <w:r w:rsidRPr="00CC346F">
        <w:rPr>
          <w:rFonts w:ascii="Times New Roman" w:hAnsi="Times New Roman" w:cs="Times New Roman"/>
        </w:rPr>
        <w:t xml:space="preserve"> under </w:t>
      </w:r>
      <w:r w:rsidRPr="00CC346F">
        <w:rPr>
          <w:rFonts w:ascii="Times New Roman" w:hAnsi="Times New Roman" w:cs="Times New Roman"/>
          <w:b/>
          <w:bCs/>
        </w:rPr>
        <w:t>choked flow</w:t>
      </w:r>
      <w:r w:rsidRPr="00CC346F">
        <w:rPr>
          <w:rFonts w:ascii="Times New Roman" w:hAnsi="Times New Roman" w:cs="Times New Roman"/>
        </w:rPr>
        <w:t xml:space="preserve"> conditions</w:t>
      </w:r>
    </w:p>
    <w:p w14:paraId="6A12840E" w14:textId="34C0D53A" w:rsidR="00CC346F" w:rsidRPr="00CC346F" w:rsidRDefault="00CC346F" w:rsidP="00CC34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346F">
        <w:rPr>
          <w:rFonts w:ascii="Times New Roman" w:hAnsi="Times New Roman" w:cs="Times New Roman"/>
        </w:rPr>
        <w:t>Powertrain and drag force estimation under WOT conditions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0C4EFFB7" w14:textId="0201BDC6" w:rsidR="00FD7BF6" w:rsidRPr="00FD7BF6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>Data Collection – Average elevation and temperature data for each circuit</w:t>
      </w:r>
    </w:p>
    <w:p w14:paraId="2DCFBE56" w14:textId="57D3948F" w:rsidR="00FD7BF6" w:rsidRPr="00FD7BF6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>Air Density Calculation – Based on the barometric formula</w:t>
      </w:r>
    </w:p>
    <w:p w14:paraId="5DB77B5C" w14:textId="333417CA" w:rsidR="00FD7BF6" w:rsidRPr="00FD7BF6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 xml:space="preserve">Flow </w:t>
      </w:r>
      <w:r w:rsidR="0022387E" w:rsidRPr="00FD7BF6">
        <w:rPr>
          <w:rFonts w:ascii="Times New Roman" w:hAnsi="Times New Roman" w:cs="Times New Roman"/>
        </w:rPr>
        <w:t>Modelling</w:t>
      </w:r>
      <w:r w:rsidRPr="00FD7BF6">
        <w:rPr>
          <w:rFonts w:ascii="Times New Roman" w:hAnsi="Times New Roman" w:cs="Times New Roman"/>
        </w:rPr>
        <w:t xml:space="preserve"> – Choked flow assumption at intake valve</w:t>
      </w:r>
    </w:p>
    <w:p w14:paraId="3CA5CE88" w14:textId="4FE5A062" w:rsidR="00FD7BF6" w:rsidRPr="00FD7BF6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>Power Estimation – Using fuel LHV × combustion efficiency + MGU-K power</w:t>
      </w:r>
    </w:p>
    <w:p w14:paraId="1DA295E6" w14:textId="142AD0EF" w:rsidR="00FD7BF6" w:rsidRPr="00FD7BF6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>Top Speed Solver – Using numerical root-finding to solve:</w:t>
      </w:r>
    </w:p>
    <w:p w14:paraId="015D55B3" w14:textId="5081C0A2" w:rsidR="00FD7BF6" w:rsidRPr="00337DA4" w:rsidRDefault="00FD7BF6" w:rsidP="00337DA4">
      <w:pPr>
        <w:pStyle w:val="ListParagraph"/>
        <w:jc w:val="center"/>
        <w:rPr>
          <w:rFonts w:ascii="Times New Roman" w:hAnsi="Times New Roman" w:cs="Times New Roman"/>
          <w:i/>
          <w:iCs/>
          <w:vertAlign w:val="subscript"/>
        </w:rPr>
      </w:pPr>
      <w:r w:rsidRPr="00337DA4">
        <w:rPr>
          <w:rFonts w:ascii="Cambria Math" w:hAnsi="Cambria Math" w:cs="Cambria Math"/>
          <w:i/>
          <w:iCs/>
        </w:rPr>
        <w:t>𝑃</w:t>
      </w:r>
      <w:r w:rsidR="00337DA4">
        <w:rPr>
          <w:rFonts w:ascii="Cambria Math" w:hAnsi="Cambria Math" w:cs="Cambria Math"/>
          <w:i/>
          <w:iCs/>
        </w:rPr>
        <w:t xml:space="preserve"> </w:t>
      </w:r>
      <w:r w:rsidRPr="00337DA4">
        <w:rPr>
          <w:rFonts w:ascii="Cambria Math" w:hAnsi="Cambria Math" w:cs="Cambria Math"/>
          <w:i/>
          <w:iCs/>
          <w:vertAlign w:val="subscript"/>
        </w:rPr>
        <w:t>drag</w:t>
      </w:r>
      <w:r w:rsidR="00337DA4" w:rsidRPr="00337DA4">
        <w:rPr>
          <w:rFonts w:ascii="Cambria Math" w:hAnsi="Cambria Math" w:cs="Cambria Math"/>
          <w:i/>
          <w:iCs/>
          <w:vertAlign w:val="subscript"/>
        </w:rPr>
        <w:t xml:space="preserve"> </w:t>
      </w:r>
      <w:r w:rsidR="00337DA4" w:rsidRPr="00337DA4">
        <w:rPr>
          <w:rFonts w:ascii="Cambria Math" w:hAnsi="Cambria Math" w:cs="Cambria Math"/>
          <w:i/>
          <w:iCs/>
        </w:rPr>
        <w:t>+ P</w:t>
      </w:r>
      <w:r w:rsidR="00337DA4">
        <w:rPr>
          <w:rFonts w:ascii="Cambria Math" w:hAnsi="Cambria Math" w:cs="Cambria Math"/>
          <w:i/>
          <w:iCs/>
        </w:rPr>
        <w:t xml:space="preserve"> </w:t>
      </w:r>
      <w:r w:rsidR="00337DA4" w:rsidRPr="00337DA4">
        <w:rPr>
          <w:rFonts w:ascii="Cambria Math" w:hAnsi="Cambria Math" w:cs="Cambria Math"/>
          <w:i/>
          <w:iCs/>
          <w:vertAlign w:val="subscript"/>
        </w:rPr>
        <w:t xml:space="preserve">rolling </w:t>
      </w:r>
      <w:r w:rsidR="00337DA4" w:rsidRPr="00337DA4">
        <w:rPr>
          <w:rFonts w:ascii="Cambria Math" w:hAnsi="Cambria Math" w:cs="Cambria Math"/>
          <w:i/>
          <w:iCs/>
        </w:rPr>
        <w:t>= P</w:t>
      </w:r>
      <w:r w:rsidR="00337DA4">
        <w:rPr>
          <w:rFonts w:ascii="Cambria Math" w:hAnsi="Cambria Math" w:cs="Cambria Math"/>
          <w:i/>
          <w:iCs/>
        </w:rPr>
        <w:t xml:space="preserve"> </w:t>
      </w:r>
      <w:r w:rsidR="00337DA4">
        <w:rPr>
          <w:rFonts w:ascii="Cambria Math" w:hAnsi="Cambria Math" w:cs="Cambria Math"/>
          <w:i/>
          <w:iCs/>
          <w:vertAlign w:val="subscript"/>
        </w:rPr>
        <w:t>A</w:t>
      </w:r>
      <w:r w:rsidR="00337DA4" w:rsidRPr="00337DA4">
        <w:rPr>
          <w:rFonts w:ascii="Cambria Math" w:hAnsi="Cambria Math" w:cs="Cambria Math"/>
          <w:i/>
          <w:iCs/>
          <w:vertAlign w:val="subscript"/>
        </w:rPr>
        <w:t>vailable</w:t>
      </w:r>
    </w:p>
    <w:p w14:paraId="01FBC258" w14:textId="6C85AF55" w:rsidR="002F6042" w:rsidRPr="00AF7323" w:rsidRDefault="00FD7BF6" w:rsidP="00FD7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7BF6">
        <w:rPr>
          <w:rFonts w:ascii="Times New Roman" w:hAnsi="Times New Roman" w:cs="Times New Roman"/>
        </w:rPr>
        <w:t>Validation – Comparison against published FIA top-speed data (limited availability)</w:t>
      </w:r>
      <w:r w:rsidR="00CA26D2" w:rsidRPr="00AF7323">
        <w:rPr>
          <w:rFonts w:ascii="Times New Roman" w:hAnsi="Times New Roman" w:cs="Times New Roman"/>
        </w:rPr>
        <w:t>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72CE0D8F" w14:textId="77777777" w:rsidR="003B0A13" w:rsidRDefault="00BE2C52" w:rsidP="00BE2C52">
      <w:pPr>
        <w:jc w:val="both"/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  <w:i/>
          <w:iCs/>
        </w:rPr>
        <w:t>F</w:t>
      </w:r>
      <w:r w:rsidRPr="00BE2C52">
        <w:rPr>
          <w:rFonts w:ascii="Times New Roman" w:hAnsi="Times New Roman" w:cs="Times New Roman"/>
          <w:i/>
          <w:iCs/>
        </w:rPr>
        <w:t>igure 1</w:t>
      </w:r>
      <w:r w:rsidRPr="00BE2C52">
        <w:rPr>
          <w:rFonts w:ascii="Times New Roman" w:hAnsi="Times New Roman" w:cs="Times New Roman"/>
        </w:rPr>
        <w:t xml:space="preserve"> shows that air density typically ranges from 1.1 to 1.2 kg/m³, with notable outliers at Mexico City, São Paulo, and Las Vegas due to elevation.</w:t>
      </w:r>
      <w:r w:rsidR="003B0A13">
        <w:rPr>
          <w:rFonts w:ascii="Times New Roman" w:hAnsi="Times New Roman" w:cs="Times New Roman"/>
        </w:rPr>
        <w:t xml:space="preserve"> </w:t>
      </w:r>
    </w:p>
    <w:p w14:paraId="7AF3B577" w14:textId="10940666" w:rsidR="00BE2C52" w:rsidRPr="00BE2C52" w:rsidRDefault="00BE2C52" w:rsidP="00BE2C52">
      <w:pPr>
        <w:jc w:val="both"/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Despite using idealized assumptions (e.g., constant Cd, stoichiometric AFR), the model achieves an overall accuracy of 95.48% when compared to available FIA top-speed data</w:t>
      </w:r>
      <w:r w:rsidR="00AD338D">
        <w:rPr>
          <w:rFonts w:ascii="Times New Roman" w:hAnsi="Times New Roman" w:cs="Times New Roman"/>
        </w:rPr>
        <w:t xml:space="preserve"> as shown in </w:t>
      </w:r>
      <w:r w:rsidR="00AD338D">
        <w:rPr>
          <w:rFonts w:ascii="Times New Roman" w:hAnsi="Times New Roman" w:cs="Times New Roman"/>
          <w:i/>
          <w:iCs/>
        </w:rPr>
        <w:t>Figure 2</w:t>
      </w:r>
      <w:r w:rsidRPr="00BE2C52">
        <w:rPr>
          <w:rFonts w:ascii="Times New Roman" w:hAnsi="Times New Roman" w:cs="Times New Roman"/>
        </w:rPr>
        <w:t>. All tracks except Singapore fall within a ±10% tolerance band.</w:t>
      </w:r>
      <w:r w:rsidR="003B0A13">
        <w:rPr>
          <w:rFonts w:ascii="Times New Roman" w:hAnsi="Times New Roman" w:cs="Times New Roman"/>
        </w:rPr>
        <w:t xml:space="preserve"> </w:t>
      </w:r>
      <w:r w:rsidRPr="00BE2C52">
        <w:rPr>
          <w:rFonts w:ascii="Times New Roman" w:hAnsi="Times New Roman" w:cs="Times New Roman"/>
        </w:rPr>
        <w:t xml:space="preserve">Some discrepancies (e.g., Monaco, Singapore) stem from real-world limitations like insufficient straight-line distance, DRS use, and fuel mixture tuning </w:t>
      </w:r>
      <w:r w:rsidR="003B0A13">
        <w:rPr>
          <w:rFonts w:ascii="Times New Roman" w:hAnsi="Times New Roman" w:cs="Times New Roman"/>
        </w:rPr>
        <w:t>are</w:t>
      </w:r>
      <w:r w:rsidRPr="00BE2C52">
        <w:rPr>
          <w:rFonts w:ascii="Times New Roman" w:hAnsi="Times New Roman" w:cs="Times New Roman"/>
        </w:rPr>
        <w:t xml:space="preserve"> all outside the model’s scope. Additionally, teams often run rich mixtures at high RPM for cooling and peak power, especially at altitude, explaining observed overperformance at Mexico City.</w:t>
      </w:r>
    </w:p>
    <w:p w14:paraId="3F83002F" w14:textId="12613829" w:rsidR="00BE2C52" w:rsidRPr="00BE2C52" w:rsidRDefault="00BE2C52" w:rsidP="00BE2C52">
      <w:pPr>
        <w:jc w:val="both"/>
        <w:rPr>
          <w:rFonts w:ascii="Times New Roman" w:hAnsi="Times New Roman" w:cs="Times New Roman"/>
        </w:rPr>
      </w:pPr>
      <w:r w:rsidRPr="00AD338D">
        <w:rPr>
          <w:rFonts w:ascii="Times New Roman" w:hAnsi="Times New Roman" w:cs="Times New Roman"/>
          <w:i/>
          <w:iCs/>
        </w:rPr>
        <w:t>Figures 3</w:t>
      </w:r>
      <w:r w:rsidRPr="00BE2C52">
        <w:rPr>
          <w:rFonts w:ascii="Times New Roman" w:hAnsi="Times New Roman" w:cs="Times New Roman"/>
        </w:rPr>
        <w:t xml:space="preserve"> and </w:t>
      </w:r>
      <w:r w:rsidRPr="00AD338D">
        <w:rPr>
          <w:rFonts w:ascii="Times New Roman" w:hAnsi="Times New Roman" w:cs="Times New Roman"/>
          <w:i/>
          <w:iCs/>
        </w:rPr>
        <w:t>4</w:t>
      </w:r>
      <w:r w:rsidRPr="00BE2C52">
        <w:rPr>
          <w:rFonts w:ascii="Times New Roman" w:hAnsi="Times New Roman" w:cs="Times New Roman"/>
        </w:rPr>
        <w:t xml:space="preserve"> reveal that maximum engine power drops up to 19% at high-altitude circuits due to reduced air density. However, top speeds remain high, reinforcing the dominant role of aerodynamic drag over engine power in those conditions.</w:t>
      </w:r>
      <w:r w:rsidR="008A6160">
        <w:rPr>
          <w:rFonts w:ascii="Times New Roman" w:hAnsi="Times New Roman" w:cs="Times New Roman"/>
        </w:rPr>
        <w:t xml:space="preserve"> </w:t>
      </w:r>
      <w:r w:rsidRPr="00BE2C52">
        <w:rPr>
          <w:rFonts w:ascii="Times New Roman" w:hAnsi="Times New Roman" w:cs="Times New Roman"/>
        </w:rPr>
        <w:t>In 2026, MGU-K output increases from 120 kW to 350 kW, giving hybrid systems a more dominant role. The model predicts significant top-speed gains at low-density tracks in 2026 (</w:t>
      </w:r>
      <w:r w:rsidRPr="008A6160">
        <w:rPr>
          <w:rFonts w:ascii="Times New Roman" w:hAnsi="Times New Roman" w:cs="Times New Roman"/>
          <w:i/>
          <w:iCs/>
        </w:rPr>
        <w:t>Figure 5</w:t>
      </w:r>
      <w:r w:rsidRPr="00BE2C52">
        <w:rPr>
          <w:rFonts w:ascii="Times New Roman" w:hAnsi="Times New Roman" w:cs="Times New Roman"/>
        </w:rPr>
        <w:t>).</w:t>
      </w:r>
    </w:p>
    <w:p w14:paraId="64BBB106" w14:textId="1FAAE85D" w:rsidR="00AF7323" w:rsidRPr="00AF7323" w:rsidRDefault="00BE2C52" w:rsidP="00BE2C52">
      <w:pPr>
        <w:jc w:val="both"/>
        <w:rPr>
          <w:rFonts w:ascii="Times New Roman" w:hAnsi="Times New Roman" w:cs="Times New Roman"/>
        </w:rPr>
      </w:pPr>
      <w:r w:rsidRPr="00BE2C52">
        <w:rPr>
          <w:rFonts w:ascii="Times New Roman" w:hAnsi="Times New Roman" w:cs="Times New Roman"/>
        </w:rPr>
        <w:t>Assuming ethanol as the baseline sustainable fuel (used in BTCC and others), comparisons show that despite its lower energy content (26.8 MJ/kg vs. 42.6 MJ/kg for gasoline) and AFR (8.95 vs. 14.13), overall ICE power drops by only ~4 kW under choked flow. The MGU-K increase offsets this completely, leading to higher peak total power and predicted top speeds of up to 390 kph.</w:t>
      </w:r>
    </w:p>
    <w:p w14:paraId="06F145C2" w14:textId="73AB7807" w:rsidR="001A1A79" w:rsidRPr="00AF7323" w:rsidRDefault="00BF3D28" w:rsidP="00C22EB5">
      <w:pPr>
        <w:rPr>
          <w:rFonts w:ascii="Times New Roman" w:hAnsi="Times New Roman" w:cs="Times New Roman"/>
          <w:b/>
          <w:bCs/>
        </w:rPr>
      </w:pPr>
      <w:r w:rsidRPr="00BF3D2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428A426" wp14:editId="3275A995">
            <wp:extent cx="2520000" cy="1958400"/>
            <wp:effectExtent l="0" t="0" r="0" b="3810"/>
            <wp:docPr id="112280529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5298" name="Picture 1" descr="A graph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B5" w:rsidRPr="00C22EB5">
        <w:rPr>
          <w:rFonts w:ascii="Times New Roman" w:hAnsi="Times New Roman" w:cs="Times New Roman"/>
          <w:b/>
          <w:bCs/>
        </w:rPr>
        <w:t xml:space="preserve"> </w:t>
      </w:r>
      <w:r w:rsidR="00C22EB5">
        <w:rPr>
          <w:rFonts w:ascii="Times New Roman" w:hAnsi="Times New Roman" w:cs="Times New Roman"/>
          <w:b/>
          <w:bCs/>
        </w:rPr>
        <w:t xml:space="preserve">      </w:t>
      </w:r>
      <w:r w:rsidR="00C22EB5" w:rsidRPr="006F29DC">
        <w:rPr>
          <w:rFonts w:ascii="Times New Roman" w:hAnsi="Times New Roman" w:cs="Times New Roman"/>
          <w:b/>
          <w:bCs/>
        </w:rPr>
        <w:drawing>
          <wp:inline distT="0" distB="0" distL="0" distR="0" wp14:anchorId="2E6A5734" wp14:editId="40A022CF">
            <wp:extent cx="2520000" cy="2059200"/>
            <wp:effectExtent l="0" t="0" r="0" b="0"/>
            <wp:docPr id="1156179724" name="Picture 1" descr="A graph with number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79724" name="Picture 1" descr="A graph with numbers and a r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2E23" w14:textId="4DE7CC37" w:rsidR="00CD5DC1" w:rsidRPr="0022387E" w:rsidRDefault="00C128BD" w:rsidP="00C22EB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2387E">
        <w:rPr>
          <w:rFonts w:ascii="Times New Roman" w:hAnsi="Times New Roman" w:cs="Times New Roman"/>
          <w:b/>
          <w:bCs/>
          <w:sz w:val="20"/>
          <w:szCs w:val="20"/>
        </w:rPr>
        <w:t>Figure 1. Air Density at each track</w:t>
      </w:r>
      <w:r w:rsidR="00C22EB5" w:rsidRPr="0022387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22387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="00C22EB5" w:rsidRPr="0022387E">
        <w:rPr>
          <w:rFonts w:ascii="Times New Roman" w:hAnsi="Times New Roman" w:cs="Times New Roman"/>
          <w:b/>
          <w:bCs/>
          <w:sz w:val="20"/>
          <w:szCs w:val="20"/>
        </w:rPr>
        <w:t>Figure 2. Top Speed Comparison with ± 10% Tolerance</w:t>
      </w:r>
    </w:p>
    <w:p w14:paraId="191D9F11" w14:textId="2179D7B4" w:rsidR="00DB6B16" w:rsidRPr="00AF7323" w:rsidRDefault="00F706EF" w:rsidP="00C22EB5">
      <w:pPr>
        <w:rPr>
          <w:rFonts w:ascii="Times New Roman" w:hAnsi="Times New Roman" w:cs="Times New Roman"/>
        </w:rPr>
      </w:pPr>
      <w:r w:rsidRPr="00F706EF">
        <w:rPr>
          <w:rFonts w:ascii="Times New Roman" w:hAnsi="Times New Roman" w:cs="Times New Roman"/>
        </w:rPr>
        <w:drawing>
          <wp:inline distT="0" distB="0" distL="0" distR="0" wp14:anchorId="7B714E1B" wp14:editId="4C2E69D3">
            <wp:extent cx="2520000" cy="2019600"/>
            <wp:effectExtent l="0" t="0" r="0" b="0"/>
            <wp:docPr id="571192810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2810" name="Picture 1" descr="A graph with numbers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B5">
        <w:rPr>
          <w:rFonts w:ascii="Times New Roman" w:hAnsi="Times New Roman" w:cs="Times New Roman"/>
        </w:rPr>
        <w:t xml:space="preserve">      </w:t>
      </w:r>
      <w:r w:rsidR="00C22EB5" w:rsidRPr="00C22EB5">
        <w:rPr>
          <w:rFonts w:ascii="Times New Roman" w:hAnsi="Times New Roman" w:cs="Times New Roman"/>
        </w:rPr>
        <w:t xml:space="preserve"> </w:t>
      </w:r>
      <w:r w:rsidR="00C22EB5" w:rsidRPr="002D7D13">
        <w:rPr>
          <w:rFonts w:ascii="Times New Roman" w:hAnsi="Times New Roman" w:cs="Times New Roman"/>
        </w:rPr>
        <w:drawing>
          <wp:inline distT="0" distB="0" distL="0" distR="0" wp14:anchorId="4801A750" wp14:editId="027C8713">
            <wp:extent cx="2520000" cy="1962000"/>
            <wp:effectExtent l="0" t="0" r="0" b="635"/>
            <wp:docPr id="390785329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5329" name="Picture 1" descr="A graph with numbers an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42AA" w14:textId="6D25C203" w:rsidR="0022387E" w:rsidRPr="0022387E" w:rsidRDefault="00DB6B16" w:rsidP="0022387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2387E">
        <w:rPr>
          <w:rFonts w:ascii="Times New Roman" w:hAnsi="Times New Roman" w:cs="Times New Roman"/>
          <w:b/>
          <w:bCs/>
          <w:sz w:val="20"/>
          <w:szCs w:val="20"/>
        </w:rPr>
        <w:t xml:space="preserve">Figure 3. </w:t>
      </w:r>
      <w:r w:rsidRPr="0022387E">
        <w:rPr>
          <w:rFonts w:ascii="Times New Roman" w:hAnsi="Times New Roman" w:cs="Times New Roman"/>
          <w:b/>
          <w:bCs/>
          <w:sz w:val="20"/>
          <w:szCs w:val="20"/>
        </w:rPr>
        <w:t>ICE</w:t>
      </w:r>
      <w:r w:rsidRPr="0022387E">
        <w:rPr>
          <w:rFonts w:ascii="Times New Roman" w:hAnsi="Times New Roman" w:cs="Times New Roman"/>
          <w:b/>
          <w:bCs/>
          <w:sz w:val="20"/>
          <w:szCs w:val="20"/>
        </w:rPr>
        <w:t xml:space="preserve"> Power results</w:t>
      </w:r>
      <w:r w:rsidR="0022387E" w:rsidRPr="0022387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22387E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22387E" w:rsidRPr="002238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2387E" w:rsidRPr="0022387E">
        <w:rPr>
          <w:rFonts w:ascii="Times New Roman" w:hAnsi="Times New Roman" w:cs="Times New Roman"/>
          <w:b/>
          <w:bCs/>
          <w:sz w:val="20"/>
          <w:szCs w:val="20"/>
        </w:rPr>
        <w:t>Figure 4. Maximum Total Power results</w:t>
      </w:r>
    </w:p>
    <w:p w14:paraId="287D3411" w14:textId="7F029575" w:rsidR="00C128BD" w:rsidRPr="00AF7323" w:rsidRDefault="00C128BD" w:rsidP="0022387E">
      <w:pPr>
        <w:rPr>
          <w:rFonts w:ascii="Times New Roman" w:hAnsi="Times New Roman" w:cs="Times New Roman"/>
        </w:rPr>
      </w:pPr>
    </w:p>
    <w:p w14:paraId="33E9E8BA" w14:textId="6DAECD25" w:rsidR="00F669C1" w:rsidRPr="00AF7323" w:rsidRDefault="003736C2" w:rsidP="0022387E">
      <w:pPr>
        <w:rPr>
          <w:rFonts w:ascii="Times New Roman" w:hAnsi="Times New Roman" w:cs="Times New Roman"/>
        </w:rPr>
      </w:pPr>
      <w:r w:rsidRPr="003736C2">
        <w:rPr>
          <w:rFonts w:ascii="Times New Roman" w:hAnsi="Times New Roman" w:cs="Times New Roman"/>
        </w:rPr>
        <w:drawing>
          <wp:inline distT="0" distB="0" distL="0" distR="0" wp14:anchorId="660101CB" wp14:editId="2201DF39">
            <wp:extent cx="2520000" cy="1980000"/>
            <wp:effectExtent l="0" t="0" r="0" b="1270"/>
            <wp:docPr id="1395908236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8236" name="Picture 1" descr="A graph with numbers an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BC44" w14:textId="1F659B51" w:rsidR="00EA131F" w:rsidRDefault="001A1A79" w:rsidP="001D5E1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FD1FBE">
        <w:rPr>
          <w:rFonts w:ascii="Times New Roman" w:hAnsi="Times New Roman" w:cs="Times New Roman"/>
          <w:b/>
          <w:bCs/>
        </w:rPr>
        <w:t>5</w:t>
      </w:r>
      <w:r w:rsidRPr="00AF7323">
        <w:rPr>
          <w:rFonts w:ascii="Times New Roman" w:hAnsi="Times New Roman" w:cs="Times New Roman"/>
          <w:b/>
          <w:bCs/>
        </w:rPr>
        <w:t xml:space="preserve">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Next Steps</w:t>
      </w:r>
    </w:p>
    <w:p w14:paraId="1645FD30" w14:textId="7A4ADC9E" w:rsidR="00C86C02" w:rsidRPr="00C86C02" w:rsidRDefault="00C86C02" w:rsidP="00C86C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86C02">
        <w:rPr>
          <w:rFonts w:ascii="Times New Roman" w:hAnsi="Times New Roman" w:cs="Times New Roman"/>
        </w:rPr>
        <w:t>Improve validation by sourcing top-speed telemetry for all circuits</w:t>
      </w:r>
    </w:p>
    <w:p w14:paraId="50A81F8F" w14:textId="62C54CBA" w:rsidR="00C86C02" w:rsidRPr="00C86C02" w:rsidRDefault="00C86C02" w:rsidP="00C86C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86C02">
        <w:rPr>
          <w:rFonts w:ascii="Times New Roman" w:hAnsi="Times New Roman" w:cs="Times New Roman"/>
        </w:rPr>
        <w:t>Revisit results post-2025 and 2026 seasons to assess model fidelity</w:t>
      </w:r>
    </w:p>
    <w:p w14:paraId="5C8EC6A7" w14:textId="77777777" w:rsidR="00C86C02" w:rsidRPr="00C86C02" w:rsidRDefault="00C86C02" w:rsidP="00C86C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86C02">
        <w:rPr>
          <w:rFonts w:ascii="Times New Roman" w:hAnsi="Times New Roman" w:cs="Times New Roman"/>
        </w:rPr>
        <w:t>Investigate straight-entry speeds and DRS zones for circuits with deviations (e.g., Monaco)</w:t>
      </w:r>
    </w:p>
    <w:p w14:paraId="2ED3B591" w14:textId="77777777" w:rsidR="0022387E" w:rsidRDefault="0022387E" w:rsidP="00C86C02">
      <w:pPr>
        <w:jc w:val="both"/>
        <w:rPr>
          <w:rFonts w:ascii="Times New Roman" w:hAnsi="Times New Roman" w:cs="Times New Roman"/>
          <w:b/>
          <w:bCs/>
        </w:rPr>
      </w:pPr>
    </w:p>
    <w:p w14:paraId="3634823E" w14:textId="77777777" w:rsidR="004F5B15" w:rsidRDefault="004F5B15" w:rsidP="00C86C02">
      <w:pPr>
        <w:jc w:val="both"/>
        <w:rPr>
          <w:rFonts w:ascii="Times New Roman" w:hAnsi="Times New Roman" w:cs="Times New Roman"/>
          <w:b/>
          <w:bCs/>
        </w:rPr>
      </w:pPr>
    </w:p>
    <w:p w14:paraId="44405D9A" w14:textId="43D75068" w:rsidR="00192E2A" w:rsidRPr="00AF7323" w:rsidRDefault="00192E2A" w:rsidP="00C86C02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t>Conclusion</w:t>
      </w:r>
    </w:p>
    <w:p w14:paraId="34749F9B" w14:textId="3C7E73CD" w:rsidR="00192E2A" w:rsidRDefault="00C22EB5" w:rsidP="00C22EB5">
      <w:pPr>
        <w:jc w:val="both"/>
        <w:rPr>
          <w:rFonts w:ascii="Times New Roman" w:hAnsi="Times New Roman" w:cs="Times New Roman"/>
        </w:rPr>
      </w:pPr>
      <w:r w:rsidRPr="00C22EB5">
        <w:rPr>
          <w:rFonts w:ascii="Times New Roman" w:hAnsi="Times New Roman" w:cs="Times New Roman"/>
        </w:rPr>
        <w:t>This model provides a clear first-order estimate of how air density, engine configuration, and hybrid power strategy affect top speed across the F1 calendar. The insights gained support a deeper understanding of performance trade-offs, informing future work in aerodynamic setup, MGU-K calibration, and energy management.</w:t>
      </w:r>
    </w:p>
    <w:p w14:paraId="0D869DE4" w14:textId="2227CCFC" w:rsidR="004F5B15" w:rsidRPr="00AF7323" w:rsidRDefault="004F5B15" w:rsidP="00C22EB5">
      <w:pPr>
        <w:jc w:val="both"/>
        <w:rPr>
          <w:rFonts w:ascii="Times New Roman" w:hAnsi="Times New Roman" w:cs="Times New Roman"/>
        </w:rPr>
      </w:pPr>
      <w:r w:rsidRPr="004F5B15">
        <w:rPr>
          <w:rFonts w:ascii="Times New Roman" w:hAnsi="Times New Roman" w:cs="Times New Roman"/>
        </w:rPr>
        <w:t>This study reflects my commitment to building analytical tools and physical insight applicable to performance engineering in top-level motorsport.</w:t>
      </w:r>
    </w:p>
    <w:sectPr w:rsidR="004F5B15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930"/>
    <w:multiLevelType w:val="hybridMultilevel"/>
    <w:tmpl w:val="AB5EA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B84"/>
    <w:multiLevelType w:val="hybridMultilevel"/>
    <w:tmpl w:val="A5E01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1407F"/>
    <w:multiLevelType w:val="hybridMultilevel"/>
    <w:tmpl w:val="B29C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889">
    <w:abstractNumId w:val="2"/>
  </w:num>
  <w:num w:numId="2" w16cid:durableId="2054647516">
    <w:abstractNumId w:val="3"/>
  </w:num>
  <w:num w:numId="3" w16cid:durableId="359356198">
    <w:abstractNumId w:val="1"/>
  </w:num>
  <w:num w:numId="4" w16cid:durableId="820582950">
    <w:abstractNumId w:val="4"/>
  </w:num>
  <w:num w:numId="5" w16cid:durableId="9745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0102D"/>
    <w:rsid w:val="0005268C"/>
    <w:rsid w:val="00064F06"/>
    <w:rsid w:val="000774C6"/>
    <w:rsid w:val="00096F2F"/>
    <w:rsid w:val="000A7C84"/>
    <w:rsid w:val="000B393C"/>
    <w:rsid w:val="000B65FF"/>
    <w:rsid w:val="000D527C"/>
    <w:rsid w:val="000E59DC"/>
    <w:rsid w:val="0015364F"/>
    <w:rsid w:val="00190F7C"/>
    <w:rsid w:val="00192E2A"/>
    <w:rsid w:val="001A1A79"/>
    <w:rsid w:val="001D5E1D"/>
    <w:rsid w:val="0022387E"/>
    <w:rsid w:val="00230B09"/>
    <w:rsid w:val="0029111B"/>
    <w:rsid w:val="00295AC4"/>
    <w:rsid w:val="002B3343"/>
    <w:rsid w:val="002D7D13"/>
    <w:rsid w:val="002F6042"/>
    <w:rsid w:val="002F60E4"/>
    <w:rsid w:val="00334DDD"/>
    <w:rsid w:val="00337DA4"/>
    <w:rsid w:val="003736C2"/>
    <w:rsid w:val="003928FC"/>
    <w:rsid w:val="003A2AB6"/>
    <w:rsid w:val="003B0A13"/>
    <w:rsid w:val="003D15F1"/>
    <w:rsid w:val="003E0111"/>
    <w:rsid w:val="003E4BD4"/>
    <w:rsid w:val="00452F80"/>
    <w:rsid w:val="00471F06"/>
    <w:rsid w:val="004C77D0"/>
    <w:rsid w:val="004F56F5"/>
    <w:rsid w:val="004F5B15"/>
    <w:rsid w:val="00526324"/>
    <w:rsid w:val="0054222B"/>
    <w:rsid w:val="00573B84"/>
    <w:rsid w:val="00576577"/>
    <w:rsid w:val="0059213C"/>
    <w:rsid w:val="005B0543"/>
    <w:rsid w:val="005B3836"/>
    <w:rsid w:val="00622D63"/>
    <w:rsid w:val="00642067"/>
    <w:rsid w:val="0068692E"/>
    <w:rsid w:val="006F29DC"/>
    <w:rsid w:val="00743C17"/>
    <w:rsid w:val="0079711E"/>
    <w:rsid w:val="007B0553"/>
    <w:rsid w:val="007E7A98"/>
    <w:rsid w:val="0080305C"/>
    <w:rsid w:val="00806D06"/>
    <w:rsid w:val="00825848"/>
    <w:rsid w:val="00840825"/>
    <w:rsid w:val="00873993"/>
    <w:rsid w:val="00877780"/>
    <w:rsid w:val="008A0AD9"/>
    <w:rsid w:val="008A6160"/>
    <w:rsid w:val="008C482E"/>
    <w:rsid w:val="008E7316"/>
    <w:rsid w:val="0090321F"/>
    <w:rsid w:val="00903E48"/>
    <w:rsid w:val="00930223"/>
    <w:rsid w:val="00943B29"/>
    <w:rsid w:val="0095749F"/>
    <w:rsid w:val="009A7CF5"/>
    <w:rsid w:val="009E77F1"/>
    <w:rsid w:val="00A20582"/>
    <w:rsid w:val="00A21779"/>
    <w:rsid w:val="00A60064"/>
    <w:rsid w:val="00A84D4F"/>
    <w:rsid w:val="00A92685"/>
    <w:rsid w:val="00AD338D"/>
    <w:rsid w:val="00AF3C9B"/>
    <w:rsid w:val="00AF7323"/>
    <w:rsid w:val="00B06969"/>
    <w:rsid w:val="00B245A8"/>
    <w:rsid w:val="00B4294E"/>
    <w:rsid w:val="00B61EF4"/>
    <w:rsid w:val="00B71D51"/>
    <w:rsid w:val="00B95999"/>
    <w:rsid w:val="00BC4B66"/>
    <w:rsid w:val="00BE2C52"/>
    <w:rsid w:val="00BF3D28"/>
    <w:rsid w:val="00C022D3"/>
    <w:rsid w:val="00C06ADE"/>
    <w:rsid w:val="00C128BD"/>
    <w:rsid w:val="00C22EB5"/>
    <w:rsid w:val="00C82EC8"/>
    <w:rsid w:val="00C86C02"/>
    <w:rsid w:val="00CA26D2"/>
    <w:rsid w:val="00CC0AC9"/>
    <w:rsid w:val="00CC280D"/>
    <w:rsid w:val="00CC346F"/>
    <w:rsid w:val="00CD4F39"/>
    <w:rsid w:val="00CD5DC1"/>
    <w:rsid w:val="00D120EE"/>
    <w:rsid w:val="00D40002"/>
    <w:rsid w:val="00D422B4"/>
    <w:rsid w:val="00D42CAD"/>
    <w:rsid w:val="00DB6B16"/>
    <w:rsid w:val="00DC642A"/>
    <w:rsid w:val="00DF1F67"/>
    <w:rsid w:val="00E066E0"/>
    <w:rsid w:val="00E11418"/>
    <w:rsid w:val="00E12590"/>
    <w:rsid w:val="00E26E51"/>
    <w:rsid w:val="00E37D07"/>
    <w:rsid w:val="00E463CF"/>
    <w:rsid w:val="00E96932"/>
    <w:rsid w:val="00EA131F"/>
    <w:rsid w:val="00EC0749"/>
    <w:rsid w:val="00F0007C"/>
    <w:rsid w:val="00F02452"/>
    <w:rsid w:val="00F24557"/>
    <w:rsid w:val="00F669C1"/>
    <w:rsid w:val="00F66BCE"/>
    <w:rsid w:val="00F706EF"/>
    <w:rsid w:val="00F832EB"/>
    <w:rsid w:val="00FD1FBE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108</cp:revision>
  <dcterms:created xsi:type="dcterms:W3CDTF">2025-05-27T12:45:00Z</dcterms:created>
  <dcterms:modified xsi:type="dcterms:W3CDTF">2025-06-23T00:01:00Z</dcterms:modified>
</cp:coreProperties>
</file>