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40282FB6" w:rsidR="007026C1" w:rsidRPr="00512755" w:rsidRDefault="00EE591F" w:rsidP="007026C1">
            <w:pPr>
              <w:rPr>
                <w:rFonts w:cs="Arial"/>
                <w:szCs w:val="22"/>
              </w:rPr>
            </w:pPr>
            <w:bookmarkStart w:id="0" w:name="StudentName"/>
            <w:bookmarkEnd w:id="0"/>
            <w:r>
              <w:rPr>
                <w:rFonts w:cs="Arial"/>
                <w:szCs w:val="22"/>
              </w:rPr>
              <w:t>Kyle Kent</w:t>
            </w:r>
            <w:bookmarkStart w:id="1" w:name="_GoBack"/>
            <w:bookmarkEnd w:id="1"/>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2" w:name="StudentNbr"/>
            <w:bookmarkEnd w:id="2"/>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374ABB0C" w:rsidR="007026C1" w:rsidRPr="00512755" w:rsidRDefault="00CB3AD2" w:rsidP="007026C1">
            <w:pPr>
              <w:rPr>
                <w:rFonts w:cs="Arial"/>
                <w:szCs w:val="22"/>
              </w:rPr>
            </w:pPr>
            <w:bookmarkStart w:id="3" w:name="UnitCode_Name"/>
            <w:bookmarkEnd w:id="3"/>
            <w:r w:rsidRPr="00FE1D29">
              <w:t>ICTPRG501</w:t>
            </w:r>
            <w:r>
              <w:t xml:space="preserve"> </w:t>
            </w:r>
            <w:r w:rsidRPr="00FE1D29">
              <w:t>Apply advanced object-oriented language skills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47AAFB9A" w:rsidR="00FF5DE4" w:rsidRPr="00512755" w:rsidRDefault="006C312E" w:rsidP="00E725A0">
            <w:pPr>
              <w:rPr>
                <w:rFonts w:cs="Arial"/>
                <w:szCs w:val="22"/>
              </w:rPr>
            </w:pPr>
            <w:r w:rsidRPr="006C312E">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23FBB43" w:rsidR="00FF5DE4" w:rsidRPr="00512755" w:rsidRDefault="00CB3AD2"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00C318AD" w:rsidR="002D0045" w:rsidRPr="00512755" w:rsidRDefault="00885AE4" w:rsidP="007026C1">
            <w:pPr>
              <w:rPr>
                <w:rFonts w:cs="Arial"/>
                <w:szCs w:val="22"/>
              </w:rPr>
            </w:pPr>
            <w:bookmarkStart w:id="4" w:name="AssessDate"/>
            <w:bookmarkEnd w:id="4"/>
            <w:r>
              <w:rPr>
                <w:rFonts w:cs="Arial"/>
                <w:szCs w:val="22"/>
              </w:rPr>
              <w:t>23/11/2018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EC214F"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6C312E" w:rsidRPr="008F7477" w14:paraId="2D426E32" w14:textId="77777777" w:rsidTr="007F387E">
        <w:tc>
          <w:tcPr>
            <w:tcW w:w="2694" w:type="dxa"/>
            <w:shd w:val="clear" w:color="auto" w:fill="D9D9D9" w:themeFill="background1" w:themeFillShade="D9"/>
          </w:tcPr>
          <w:p w14:paraId="2D426E11" w14:textId="77777777" w:rsidR="006C312E" w:rsidRPr="00512755" w:rsidRDefault="006C312E" w:rsidP="001F0920">
            <w:pPr>
              <w:pStyle w:val="Tableheading"/>
            </w:pPr>
            <w:r w:rsidRPr="00512755">
              <w:t>Instructions to Student</w:t>
            </w:r>
          </w:p>
        </w:tc>
        <w:tc>
          <w:tcPr>
            <w:tcW w:w="7512" w:type="dxa"/>
          </w:tcPr>
          <w:p w14:paraId="65A6626C" w14:textId="77777777" w:rsidR="006C312E" w:rsidRDefault="006C312E" w:rsidP="003B350B">
            <w:pPr>
              <w:spacing w:after="60"/>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3B1AA9E4" w14:textId="77777777" w:rsidR="006C312E" w:rsidRDefault="006C312E" w:rsidP="006C312E">
            <w:pPr>
              <w:tabs>
                <w:tab w:val="left" w:pos="2868"/>
              </w:tabs>
              <w:spacing w:after="60"/>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08F475CF" w14:textId="77777777" w:rsidR="006C312E" w:rsidRDefault="006C312E" w:rsidP="003B350B">
            <w:pPr>
              <w:spacing w:after="60"/>
              <w:rPr>
                <w:rFonts w:asciiTheme="minorHAnsi" w:hAnsiTheme="minorHAnsi" w:cstheme="minorHAnsi"/>
                <w:b/>
                <w:szCs w:val="22"/>
              </w:rPr>
            </w:pPr>
          </w:p>
          <w:p w14:paraId="22734CC8" w14:textId="77777777" w:rsidR="006C312E" w:rsidRDefault="006C312E" w:rsidP="003B350B">
            <w:pPr>
              <w:spacing w:after="60"/>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0AD0150D" w:rsidR="006C312E" w:rsidRPr="006C312E" w:rsidRDefault="006C312E" w:rsidP="006C312E">
            <w:pPr>
              <w:spacing w:after="60"/>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659B6DCC" w14:textId="77777777" w:rsidR="006C312E" w:rsidRDefault="006C312E">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6C312E" w:rsidRPr="008F7477" w14:paraId="6AE69DA2" w14:textId="77777777" w:rsidTr="007F387E">
        <w:tc>
          <w:tcPr>
            <w:tcW w:w="2694" w:type="dxa"/>
            <w:shd w:val="clear" w:color="auto" w:fill="D9D9D9" w:themeFill="background1" w:themeFillShade="D9"/>
          </w:tcPr>
          <w:p w14:paraId="3559CAA4" w14:textId="6BC4526F" w:rsidR="006C312E" w:rsidRPr="00512755" w:rsidRDefault="006C312E" w:rsidP="001F0920">
            <w:pPr>
              <w:pStyle w:val="Tableheading"/>
            </w:pPr>
          </w:p>
        </w:tc>
        <w:tc>
          <w:tcPr>
            <w:tcW w:w="7512" w:type="dxa"/>
          </w:tcPr>
          <w:p w14:paraId="1CB03F6B" w14:textId="77777777" w:rsidR="006C312E" w:rsidRDefault="006C312E" w:rsidP="006C312E">
            <w:pPr>
              <w:spacing w:after="60"/>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7DB620" w14:textId="77777777" w:rsidR="006C312E" w:rsidRDefault="006C312E" w:rsidP="006C312E">
            <w:pPr>
              <w:spacing w:after="60"/>
              <w:rPr>
                <w:rFonts w:asciiTheme="minorHAnsi" w:hAnsiTheme="minorHAnsi" w:cstheme="minorHAnsi"/>
                <w:b/>
                <w:szCs w:val="22"/>
              </w:rPr>
            </w:pPr>
            <w:r>
              <w:rPr>
                <w:rFonts w:asciiTheme="minorHAnsi" w:hAnsiTheme="minorHAnsi" w:cstheme="minorHAnsi"/>
                <w:szCs w:val="22"/>
              </w:rPr>
              <w:t>Examination paper</w:t>
            </w:r>
          </w:p>
          <w:p w14:paraId="61C0C3B0" w14:textId="77777777" w:rsidR="006C312E" w:rsidRDefault="006C312E" w:rsidP="006C312E">
            <w:pPr>
              <w:spacing w:after="60"/>
              <w:rPr>
                <w:rFonts w:asciiTheme="minorHAnsi" w:hAnsiTheme="minorHAnsi" w:cstheme="minorHAnsi"/>
                <w:b/>
                <w:szCs w:val="22"/>
              </w:rPr>
            </w:pPr>
          </w:p>
          <w:p w14:paraId="3B201D84" w14:textId="77777777" w:rsidR="006C312E" w:rsidRDefault="006C312E" w:rsidP="006C312E">
            <w:pPr>
              <w:spacing w:after="60"/>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5A191DFA" w14:textId="77777777" w:rsidR="006C312E" w:rsidRDefault="006C312E" w:rsidP="006C312E">
            <w:pPr>
              <w:spacing w:after="60"/>
              <w:rPr>
                <w:rFonts w:asciiTheme="minorHAnsi" w:hAnsiTheme="minorHAnsi" w:cstheme="minorHAnsi"/>
                <w:szCs w:val="22"/>
              </w:rPr>
            </w:pPr>
            <w:r>
              <w:rPr>
                <w:rFonts w:asciiTheme="minorHAnsi" w:hAnsiTheme="minorHAnsi" w:cstheme="minorHAnsi"/>
                <w:szCs w:val="22"/>
              </w:rPr>
              <w:t>Paper for recording answers</w:t>
            </w:r>
          </w:p>
          <w:p w14:paraId="109FF589" w14:textId="77777777" w:rsidR="006C312E" w:rsidRDefault="006C312E" w:rsidP="006C312E">
            <w:pPr>
              <w:spacing w:after="60"/>
              <w:rPr>
                <w:rFonts w:asciiTheme="minorHAnsi" w:hAnsiTheme="minorHAnsi" w:cstheme="minorHAnsi"/>
                <w:b/>
                <w:szCs w:val="22"/>
              </w:rPr>
            </w:pPr>
          </w:p>
          <w:p w14:paraId="639B49F5" w14:textId="77777777" w:rsidR="006C312E" w:rsidRDefault="006C312E" w:rsidP="006C312E">
            <w:pPr>
              <w:spacing w:after="60"/>
              <w:rPr>
                <w:rFonts w:asciiTheme="minorHAnsi" w:hAnsiTheme="minorHAnsi" w:cstheme="minorHAnsi"/>
                <w:szCs w:val="22"/>
              </w:rPr>
            </w:pPr>
            <w:r>
              <w:rPr>
                <w:rFonts w:asciiTheme="minorHAnsi" w:hAnsiTheme="minorHAnsi" w:cstheme="minorHAnsi"/>
                <w:b/>
                <w:szCs w:val="22"/>
              </w:rPr>
              <w:t>General Instructions:</w:t>
            </w:r>
          </w:p>
          <w:p w14:paraId="577116E4" w14:textId="77777777" w:rsidR="006C312E" w:rsidRDefault="006C312E" w:rsidP="006C312E">
            <w:pPr>
              <w:spacing w:after="60"/>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28880F55" w14:textId="77777777" w:rsidR="006C312E" w:rsidRDefault="006C312E" w:rsidP="006C312E">
            <w:pPr>
              <w:spacing w:after="60"/>
              <w:rPr>
                <w:rFonts w:asciiTheme="minorHAnsi" w:hAnsiTheme="minorHAnsi" w:cstheme="minorHAnsi"/>
                <w:b/>
                <w:szCs w:val="22"/>
              </w:rPr>
            </w:pPr>
          </w:p>
          <w:p w14:paraId="06C0F5F1" w14:textId="77777777" w:rsidR="006C312E" w:rsidRDefault="006C312E" w:rsidP="006C312E">
            <w:pPr>
              <w:spacing w:after="60"/>
              <w:rPr>
                <w:rFonts w:asciiTheme="minorHAnsi" w:hAnsiTheme="minorHAnsi" w:cstheme="minorHAnsi"/>
                <w:b/>
                <w:szCs w:val="22"/>
              </w:rPr>
            </w:pPr>
            <w:r>
              <w:rPr>
                <w:rFonts w:asciiTheme="minorHAnsi" w:hAnsiTheme="minorHAnsi" w:cstheme="minorHAnsi"/>
                <w:b/>
                <w:szCs w:val="22"/>
              </w:rPr>
              <w:t>Calculators:</w:t>
            </w:r>
          </w:p>
          <w:p w14:paraId="33A7CBA9" w14:textId="77777777" w:rsidR="006C312E" w:rsidRDefault="006C312E" w:rsidP="006C312E">
            <w:pPr>
              <w:spacing w:after="60"/>
              <w:rPr>
                <w:rFonts w:asciiTheme="minorHAnsi" w:hAnsiTheme="minorHAnsi" w:cstheme="minorHAnsi"/>
                <w:szCs w:val="22"/>
              </w:rPr>
            </w:pPr>
            <w:r>
              <w:rPr>
                <w:rFonts w:asciiTheme="minorHAnsi" w:hAnsiTheme="minorHAnsi" w:cstheme="minorHAnsi"/>
                <w:szCs w:val="22"/>
              </w:rPr>
              <w:t>Calculators may be used during this examination. Before the examination commences, all memories must be fully cleared and programs erased.</w:t>
            </w:r>
          </w:p>
          <w:p w14:paraId="473CD335" w14:textId="77777777" w:rsidR="006C312E" w:rsidRDefault="006C312E" w:rsidP="006C312E">
            <w:pPr>
              <w:spacing w:after="60"/>
              <w:rPr>
                <w:rFonts w:asciiTheme="minorHAnsi" w:hAnsiTheme="minorHAnsi" w:cstheme="minorHAnsi"/>
                <w:b/>
                <w:szCs w:val="22"/>
              </w:rPr>
            </w:pPr>
          </w:p>
          <w:p w14:paraId="037F76AB" w14:textId="77777777" w:rsidR="006C312E" w:rsidRDefault="006C312E" w:rsidP="006C312E">
            <w:pPr>
              <w:spacing w:after="60"/>
              <w:rPr>
                <w:rFonts w:asciiTheme="minorHAnsi" w:hAnsiTheme="minorHAnsi" w:cstheme="minorHAnsi"/>
                <w:b/>
                <w:szCs w:val="22"/>
              </w:rPr>
            </w:pPr>
            <w:r>
              <w:rPr>
                <w:rFonts w:asciiTheme="minorHAnsi" w:hAnsiTheme="minorHAnsi" w:cstheme="minorHAnsi"/>
                <w:b/>
                <w:szCs w:val="22"/>
              </w:rPr>
              <w:t>Number of Attempts:</w:t>
            </w:r>
          </w:p>
          <w:p w14:paraId="50BFD8A2" w14:textId="4BF82C80" w:rsidR="006C312E" w:rsidRDefault="006C312E" w:rsidP="006C312E">
            <w:pPr>
              <w:spacing w:after="60"/>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6C312E" w:rsidRPr="008F7477" w14:paraId="2D426E3D" w14:textId="77777777" w:rsidTr="007F387E">
        <w:tc>
          <w:tcPr>
            <w:tcW w:w="2694" w:type="dxa"/>
            <w:shd w:val="clear" w:color="auto" w:fill="D9D9D9" w:themeFill="background1" w:themeFillShade="D9"/>
          </w:tcPr>
          <w:p w14:paraId="2D426E33" w14:textId="77777777" w:rsidR="006C312E" w:rsidRPr="00512755" w:rsidRDefault="006C312E" w:rsidP="001F0920">
            <w:pPr>
              <w:pStyle w:val="Tableheading"/>
            </w:pPr>
            <w:r w:rsidRPr="004770D2">
              <w:t>Instructions for the Assessor</w:t>
            </w:r>
          </w:p>
        </w:tc>
        <w:tc>
          <w:tcPr>
            <w:tcW w:w="7512" w:type="dxa"/>
            <w:vAlign w:val="center"/>
          </w:tcPr>
          <w:p w14:paraId="2D426E3C" w14:textId="7A1EF690" w:rsidR="006C312E" w:rsidRPr="007B6114" w:rsidRDefault="006C312E" w:rsidP="001F0920">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6C312E" w:rsidRPr="008F7477" w14:paraId="2D426E43" w14:textId="77777777" w:rsidTr="007F387E">
        <w:tc>
          <w:tcPr>
            <w:tcW w:w="2694" w:type="dxa"/>
            <w:shd w:val="clear" w:color="auto" w:fill="D9D9D9" w:themeFill="background1" w:themeFillShade="D9"/>
          </w:tcPr>
          <w:p w14:paraId="2D426E3F" w14:textId="501DB737" w:rsidR="006C312E" w:rsidRPr="00441DF1" w:rsidRDefault="006C312E" w:rsidP="00441DF1">
            <w:pPr>
              <w:pStyle w:val="Tableheading"/>
              <w:rPr>
                <w:b w:val="0"/>
              </w:rPr>
            </w:pPr>
            <w:r w:rsidRPr="007A4F25">
              <w:t xml:space="preserve">Submission details </w:t>
            </w:r>
            <w:r>
              <w:br/>
            </w:r>
            <w:r w:rsidRPr="00441DF1">
              <w:rPr>
                <w:b w:val="0"/>
              </w:rPr>
              <w:t>(if relevant)</w:t>
            </w:r>
          </w:p>
        </w:tc>
        <w:tc>
          <w:tcPr>
            <w:tcW w:w="7512" w:type="dxa"/>
          </w:tcPr>
          <w:p w14:paraId="2D426E42" w14:textId="5D7667A7" w:rsidR="006C312E" w:rsidRPr="007B6114" w:rsidRDefault="006C312E"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77E00C73" w14:textId="77777777" w:rsidR="006C312E" w:rsidRPr="006C312E" w:rsidRDefault="00742430" w:rsidP="006C312E">
      <w:pPr>
        <w:widowControl/>
        <w:rPr>
          <w:szCs w:val="22"/>
        </w:rPr>
      </w:pPr>
      <w:r w:rsidRPr="00A230C4">
        <w:rPr>
          <w:rFonts w:asciiTheme="majorHAnsi" w:eastAsia="Times New Roman" w:hAnsiTheme="majorHAnsi" w:cstheme="majorHAnsi"/>
          <w:b/>
          <w:i/>
          <w:color w:val="FF0000"/>
          <w:kern w:val="0"/>
          <w:szCs w:val="22"/>
          <w:lang w:eastAsia="en-US" w:bidi="ar-SA"/>
        </w:rPr>
        <w:br w:type="page"/>
      </w:r>
      <w:r w:rsidR="006C312E" w:rsidRPr="006C312E">
        <w:rPr>
          <w:rFonts w:asciiTheme="minorHAnsi" w:hAnsiTheme="minorHAnsi" w:cstheme="minorHAnsi"/>
        </w:rPr>
        <w:lastRenderedPageBreak/>
        <w:t>Answer the following in paragraph or dot-point format in roughly 100 words per question:</w:t>
      </w:r>
    </w:p>
    <w:p w14:paraId="694A8013" w14:textId="77777777" w:rsidR="006C312E" w:rsidRPr="006C312E" w:rsidRDefault="006C312E" w:rsidP="006C312E">
      <w:pPr>
        <w:pStyle w:val="NormalWeb"/>
        <w:autoSpaceDE w:val="0"/>
        <w:autoSpaceDN w:val="0"/>
        <w:adjustRightInd w:val="0"/>
        <w:spacing w:before="120" w:beforeAutospacing="0" w:after="120" w:afterAutospacing="0"/>
        <w:rPr>
          <w:szCs w:val="22"/>
        </w:rPr>
      </w:pPr>
    </w:p>
    <w:p w14:paraId="39BEB1F3" w14:textId="77777777" w:rsidR="002B0A5A" w:rsidRDefault="002B0A5A" w:rsidP="002B0A5A">
      <w:pPr>
        <w:pStyle w:val="NormalWeb"/>
        <w:numPr>
          <w:ilvl w:val="0"/>
          <w:numId w:val="27"/>
        </w:numPr>
        <w:tabs>
          <w:tab w:val="left" w:pos="567"/>
        </w:tabs>
        <w:autoSpaceDE w:val="0"/>
        <w:autoSpaceDN w:val="0"/>
        <w:adjustRightInd w:val="0"/>
        <w:spacing w:before="120" w:beforeAutospacing="0" w:afterLines="80" w:after="192" w:afterAutospacing="0"/>
        <w:ind w:left="567" w:hanging="567"/>
        <w:rPr>
          <w:szCs w:val="22"/>
        </w:rPr>
      </w:pPr>
      <w:r w:rsidRPr="006C312E">
        <w:rPr>
          <w:rFonts w:asciiTheme="minorHAnsi" w:hAnsiTheme="minorHAnsi" w:cstheme="minorHAnsi"/>
        </w:rPr>
        <w:t>Describe the required technologies for developing web applications</w:t>
      </w:r>
      <w:r w:rsidRPr="006C312E">
        <w:rPr>
          <w:szCs w:val="22"/>
          <w:lang w:eastAsia="zh-CN" w:bidi="ar"/>
        </w:rPr>
        <w:t>.</w:t>
      </w:r>
    </w:p>
    <w:p w14:paraId="63BD7E62" w14:textId="77777777" w:rsidR="002B0A5A" w:rsidRDefault="002B0A5A" w:rsidP="002B0A5A">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The front-end is typically written in HTML, which will display all the content for the user. Depending on the application, it can also require Cascading Style Sheets, separating the visual code from the content code and JavaScript, increasing user interactivity. Back-end can be written in many different languages, from PHP and Java, to C# and Python. Back-end does everything the user does not see, quietly rendering the front-end and processing user action. Some applications also require a database to store information. This can be programs like SQL or Oracle.</w:t>
      </w:r>
    </w:p>
    <w:p w14:paraId="77A65DE6" w14:textId="77777777" w:rsidR="002B0A5A" w:rsidRPr="006C312E" w:rsidRDefault="002B0A5A" w:rsidP="002B0A5A">
      <w:pPr>
        <w:pStyle w:val="NormalWeb"/>
        <w:tabs>
          <w:tab w:val="left" w:pos="567"/>
        </w:tabs>
        <w:autoSpaceDE w:val="0"/>
        <w:autoSpaceDN w:val="0"/>
        <w:adjustRightInd w:val="0"/>
        <w:spacing w:before="120" w:beforeAutospacing="0" w:afterLines="80" w:after="192" w:afterAutospacing="0"/>
        <w:rPr>
          <w:szCs w:val="22"/>
        </w:rPr>
      </w:pPr>
    </w:p>
    <w:p w14:paraId="446D3AC3" w14:textId="77777777" w:rsidR="002B0A5A" w:rsidRDefault="002B0A5A" w:rsidP="002B0A5A">
      <w:pPr>
        <w:pStyle w:val="NormalWeb"/>
        <w:numPr>
          <w:ilvl w:val="0"/>
          <w:numId w:val="27"/>
        </w:numPr>
        <w:tabs>
          <w:tab w:val="left" w:pos="567"/>
        </w:tabs>
        <w:autoSpaceDE w:val="0"/>
        <w:autoSpaceDN w:val="0"/>
        <w:adjustRightInd w:val="0"/>
        <w:spacing w:before="120" w:beforeAutospacing="0" w:afterLines="80" w:after="192" w:afterAutospacing="0"/>
        <w:ind w:left="567" w:hanging="567"/>
        <w:rPr>
          <w:lang w:eastAsia="zh-CN" w:bidi="ar"/>
        </w:rPr>
      </w:pPr>
      <w:r w:rsidRPr="006C312E">
        <w:rPr>
          <w:lang w:eastAsia="zh-CN" w:bidi="ar"/>
        </w:rPr>
        <w:t>Explain the different approaches to implementing inter-process communication in either Java or C#.Net.</w:t>
      </w:r>
    </w:p>
    <w:p w14:paraId="2D742E92" w14:textId="77777777" w:rsidR="002B0A5A" w:rsidRDefault="002B0A5A" w:rsidP="002B0A5A">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Network sockets allow you to share data over a wired network connection with other hosts. Clipboard uses the OS copy and paste commands to transfer data between applications on a single machine. RPC is a remote communication between two applications which is executed by the user. File mapping stores the data in the hosts memory, allowing it to be shared simultaneously across applications.</w:t>
      </w:r>
    </w:p>
    <w:p w14:paraId="5D2B67CF" w14:textId="77777777" w:rsidR="002B0A5A" w:rsidRDefault="002B0A5A" w:rsidP="002B0A5A">
      <w:pPr>
        <w:pStyle w:val="NormalWeb"/>
        <w:tabs>
          <w:tab w:val="left" w:leader="dot" w:pos="10206"/>
        </w:tabs>
        <w:autoSpaceDE w:val="0"/>
        <w:autoSpaceDN w:val="0"/>
        <w:adjustRightInd w:val="0"/>
        <w:spacing w:before="120" w:beforeAutospacing="0" w:afterLines="80" w:after="192" w:afterAutospacing="0"/>
        <w:rPr>
          <w:szCs w:val="22"/>
          <w:lang w:eastAsia="zh-CN" w:bidi="ar"/>
        </w:rPr>
      </w:pPr>
    </w:p>
    <w:p w14:paraId="653A690E" w14:textId="77777777" w:rsidR="002B0A5A" w:rsidRPr="008572D2" w:rsidRDefault="002B0A5A" w:rsidP="002B0A5A">
      <w:pPr>
        <w:pStyle w:val="NormalWeb"/>
        <w:numPr>
          <w:ilvl w:val="0"/>
          <w:numId w:val="27"/>
        </w:numPr>
        <w:tabs>
          <w:tab w:val="left" w:pos="567"/>
        </w:tabs>
        <w:autoSpaceDE w:val="0"/>
        <w:autoSpaceDN w:val="0"/>
        <w:adjustRightInd w:val="0"/>
        <w:spacing w:before="120" w:beforeAutospacing="0" w:afterLines="80" w:after="192" w:afterAutospacing="0"/>
        <w:ind w:left="567" w:hanging="567"/>
      </w:pPr>
      <w:r w:rsidRPr="006C312E">
        <w:rPr>
          <w:lang w:eastAsia="zh-CN" w:bidi="ar"/>
        </w:rPr>
        <w:t>What project management and development strategies would you utilise to develop a large-scale application?</w:t>
      </w:r>
      <w:r w:rsidRPr="008572D2">
        <w:rPr>
          <w:szCs w:val="22"/>
          <w:lang w:eastAsia="zh-CN" w:bidi="ar"/>
        </w:rPr>
        <w:tab/>
      </w:r>
    </w:p>
    <w:p w14:paraId="0CDD3DC4" w14:textId="77777777" w:rsidR="002B0A5A" w:rsidRDefault="002B0A5A" w:rsidP="002B0A5A">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 xml:space="preserve">Software design patterns would need to be used. These patterns provide solutions to general problems and help produce a large-scale application quicker. A large-scale application would guarantee the necessity of version control software. Making it a must to ensure steady progress. It would make a Waterfall methodology difficult to implement due to the size of the project. If even one thing was wrong while using a Waterfall methodology could ruin the entire project. Meaning an Agile methodology would be preferable for that needed agility. Software management tools that would be useful here would be MS Visio for diagrams of the database, and MS Office products for setting the budget, costs and timeframe. </w:t>
      </w:r>
    </w:p>
    <w:p w14:paraId="1E974F76" w14:textId="77777777" w:rsidR="002B0A5A" w:rsidRDefault="002B0A5A" w:rsidP="002B0A5A">
      <w:pPr>
        <w:pStyle w:val="NormalWeb"/>
        <w:tabs>
          <w:tab w:val="left" w:leader="dot" w:pos="10206"/>
        </w:tabs>
        <w:autoSpaceDE w:val="0"/>
        <w:autoSpaceDN w:val="0"/>
        <w:adjustRightInd w:val="0"/>
        <w:spacing w:before="120" w:beforeAutospacing="0" w:afterLines="80" w:after="192" w:afterAutospacing="0"/>
        <w:rPr>
          <w:szCs w:val="22"/>
          <w:lang w:eastAsia="zh-CN" w:bidi="ar"/>
        </w:rPr>
      </w:pPr>
    </w:p>
    <w:p w14:paraId="2DD031BE" w14:textId="77777777" w:rsidR="002B0A5A" w:rsidRDefault="002B0A5A" w:rsidP="002B0A5A">
      <w:pPr>
        <w:widowControl/>
        <w:suppressAutoHyphens w:val="0"/>
        <w:spacing w:before="0" w:after="0" w:line="240" w:lineRule="auto"/>
        <w:rPr>
          <w:rFonts w:eastAsia="Times New Roman" w:cs="Times New Roman"/>
          <w:kern w:val="0"/>
          <w:szCs w:val="22"/>
          <w:lang w:eastAsia="zh-CN" w:bidi="ar"/>
        </w:rPr>
      </w:pPr>
      <w:r>
        <w:rPr>
          <w:szCs w:val="22"/>
          <w:lang w:eastAsia="zh-CN" w:bidi="ar"/>
        </w:rPr>
        <w:br w:type="page"/>
      </w:r>
    </w:p>
    <w:p w14:paraId="271111A1" w14:textId="77777777" w:rsidR="002B0A5A" w:rsidRDefault="002B0A5A" w:rsidP="002B0A5A">
      <w:pPr>
        <w:pStyle w:val="NormalWeb"/>
        <w:tabs>
          <w:tab w:val="left" w:leader="dot" w:pos="10206"/>
        </w:tabs>
        <w:autoSpaceDE w:val="0"/>
        <w:autoSpaceDN w:val="0"/>
        <w:adjustRightInd w:val="0"/>
        <w:spacing w:before="120" w:beforeAutospacing="0" w:afterLines="80" w:after="192" w:afterAutospacing="0"/>
        <w:rPr>
          <w:szCs w:val="22"/>
          <w:lang w:eastAsia="zh-CN" w:bidi="ar"/>
        </w:rPr>
      </w:pPr>
    </w:p>
    <w:p w14:paraId="54DE0B87" w14:textId="77777777" w:rsidR="002B0A5A" w:rsidRPr="00645534" w:rsidRDefault="002B0A5A" w:rsidP="002B0A5A">
      <w:pPr>
        <w:pStyle w:val="NormalWeb"/>
        <w:numPr>
          <w:ilvl w:val="0"/>
          <w:numId w:val="27"/>
        </w:numPr>
        <w:tabs>
          <w:tab w:val="left" w:pos="567"/>
        </w:tabs>
        <w:autoSpaceDE w:val="0"/>
        <w:autoSpaceDN w:val="0"/>
        <w:adjustRightInd w:val="0"/>
        <w:spacing w:before="120" w:beforeAutospacing="0" w:afterLines="80" w:after="192" w:afterAutospacing="0"/>
        <w:ind w:left="567" w:hanging="567"/>
      </w:pPr>
      <w:r w:rsidRPr="006C312E">
        <w:rPr>
          <w:lang w:eastAsia="zh-CN" w:bidi="ar"/>
        </w:rPr>
        <w:t>Explain the different testing techniques that you can use in distributed application development.</w:t>
      </w:r>
      <w:r w:rsidRPr="008572D2">
        <w:rPr>
          <w:szCs w:val="22"/>
          <w:lang w:eastAsia="zh-CN" w:bidi="ar"/>
        </w:rPr>
        <w:tab/>
      </w:r>
    </w:p>
    <w:p w14:paraId="656D232A" w14:textId="77777777" w:rsidR="002B0A5A" w:rsidRDefault="002B0A5A" w:rsidP="002B0A5A">
      <w:r>
        <w:t>The testing techniques are:</w:t>
      </w:r>
    </w:p>
    <w:p w14:paraId="26EAFC65" w14:textId="77777777" w:rsidR="002B0A5A" w:rsidRDefault="002B0A5A" w:rsidP="002B0A5A">
      <w:pPr>
        <w:pStyle w:val="ListParagraph"/>
        <w:numPr>
          <w:ilvl w:val="0"/>
          <w:numId w:val="28"/>
        </w:numPr>
      </w:pPr>
      <w:r>
        <w:t xml:space="preserve">Unit testing is testing done on all independent sections of code. Code that does not require other sections of code to operate can be unit tested. </w:t>
      </w:r>
    </w:p>
    <w:p w14:paraId="1FE16504" w14:textId="77777777" w:rsidR="002B0A5A" w:rsidRDefault="002B0A5A" w:rsidP="002B0A5A">
      <w:pPr>
        <w:pStyle w:val="ListParagraph"/>
        <w:numPr>
          <w:ilvl w:val="0"/>
          <w:numId w:val="28"/>
        </w:numPr>
      </w:pPr>
      <w:r>
        <w:t xml:space="preserve">Functional testing tests and function of an application. The test checks for any errors that may appear from a user’s point-of-view. </w:t>
      </w:r>
    </w:p>
    <w:p w14:paraId="24ED1861" w14:textId="77777777" w:rsidR="002B0A5A" w:rsidRDefault="002B0A5A" w:rsidP="002B0A5A">
      <w:pPr>
        <w:pStyle w:val="ListParagraph"/>
        <w:numPr>
          <w:ilvl w:val="0"/>
          <w:numId w:val="28"/>
        </w:numPr>
      </w:pPr>
      <w:r>
        <w:t xml:space="preserve">Quality of service testing in programming refers to the applications prioritization of resources, confirming that the application is running at highest level of performance. </w:t>
      </w:r>
    </w:p>
    <w:p w14:paraId="36CD177B" w14:textId="77777777" w:rsidR="002B0A5A" w:rsidRDefault="002B0A5A" w:rsidP="002B0A5A">
      <w:pPr>
        <w:pStyle w:val="ListParagraph"/>
        <w:numPr>
          <w:ilvl w:val="0"/>
          <w:numId w:val="28"/>
        </w:numPr>
      </w:pPr>
      <w:r>
        <w:t>Performance testing checks the stability of an application. Ensuring it runs at an optimal speed.</w:t>
      </w:r>
    </w:p>
    <w:p w14:paraId="750AA624" w14:textId="77777777" w:rsidR="002B0A5A" w:rsidRDefault="002B0A5A" w:rsidP="002B0A5A">
      <w:pPr>
        <w:pStyle w:val="ListParagraph"/>
        <w:numPr>
          <w:ilvl w:val="0"/>
          <w:numId w:val="28"/>
        </w:numPr>
      </w:pPr>
      <w:r>
        <w:t>Click-stream testing is a test that records what users have done. From the URLs they have opened, to time spent on the application. It gives insight into what the applications users are doing.</w:t>
      </w:r>
    </w:p>
    <w:p w14:paraId="3494B8D3" w14:textId="77777777" w:rsidR="002B0A5A" w:rsidRPr="008572D2" w:rsidRDefault="002B0A5A" w:rsidP="002B0A5A">
      <w:pPr>
        <w:pStyle w:val="NormalWeb"/>
        <w:tabs>
          <w:tab w:val="left" w:pos="567"/>
        </w:tabs>
        <w:autoSpaceDE w:val="0"/>
        <w:autoSpaceDN w:val="0"/>
        <w:adjustRightInd w:val="0"/>
        <w:spacing w:before="120" w:beforeAutospacing="0" w:afterLines="80" w:after="192" w:afterAutospacing="0"/>
        <w:ind w:left="567"/>
      </w:pPr>
    </w:p>
    <w:p w14:paraId="48835955" w14:textId="77777777" w:rsidR="002B0A5A" w:rsidRDefault="002B0A5A" w:rsidP="002B0A5A">
      <w:pPr>
        <w:pStyle w:val="NormalWeb"/>
        <w:numPr>
          <w:ilvl w:val="0"/>
          <w:numId w:val="27"/>
        </w:numPr>
        <w:tabs>
          <w:tab w:val="left" w:pos="567"/>
        </w:tabs>
        <w:autoSpaceDE w:val="0"/>
        <w:autoSpaceDN w:val="0"/>
        <w:adjustRightInd w:val="0"/>
        <w:spacing w:before="120" w:beforeAutospacing="0" w:afterLines="80" w:after="192" w:afterAutospacing="0"/>
        <w:ind w:left="567" w:hanging="567"/>
      </w:pPr>
      <w:r w:rsidRPr="006C312E">
        <w:rPr>
          <w:lang w:eastAsia="zh-CN" w:bidi="ar"/>
        </w:rPr>
        <w:t xml:space="preserve">Describe in detail the steps in implementing a third-party supplied library for performing common programming tasks. </w:t>
      </w:r>
    </w:p>
    <w:p w14:paraId="2D426E49" w14:textId="1CA73611" w:rsidR="00742430" w:rsidRPr="002B0A5A" w:rsidRDefault="002B0A5A" w:rsidP="002B0A5A">
      <w:pPr>
        <w:pStyle w:val="NormalWeb"/>
        <w:tabs>
          <w:tab w:val="left" w:leader="dot" w:pos="10206"/>
        </w:tabs>
        <w:autoSpaceDE w:val="0"/>
        <w:autoSpaceDN w:val="0"/>
        <w:adjustRightInd w:val="0"/>
        <w:spacing w:before="120" w:beforeAutospacing="0" w:afterLines="80" w:after="192" w:afterAutospacing="0"/>
        <w:rPr>
          <w:szCs w:val="22"/>
          <w:lang w:eastAsia="zh-CN" w:bidi="ar"/>
        </w:rPr>
      </w:pPr>
      <w:r>
        <w:rPr>
          <w:szCs w:val="22"/>
          <w:lang w:eastAsia="zh-CN" w:bidi="ar"/>
        </w:rPr>
        <w:t xml:space="preserve">Third-party libraries must be installed in your chosen development environment. A third-party library that performs common programming tasks is MySQL Jar connector. The IDE’s directory will have a folder, storing all default and third-party libraries, here you can add the MySQL Jar library to the system. After that, you must manually add the library to every new project, or set the library as a default library for new projects. Then, when using the library, you must import the package member you need to access certain actions, such as connecting to a SQL database. </w:t>
      </w:r>
    </w:p>
    <w:sectPr w:rsidR="00742430" w:rsidRPr="002B0A5A"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FE8F8" w14:textId="77777777" w:rsidR="00EC214F" w:rsidRDefault="00EC214F" w:rsidP="007026C1">
      <w:r>
        <w:separator/>
      </w:r>
    </w:p>
  </w:endnote>
  <w:endnote w:type="continuationSeparator" w:id="0">
    <w:p w14:paraId="4C36758F" w14:textId="77777777" w:rsidR="00EC214F" w:rsidRDefault="00EC214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492B98" w:rsidP="007F387E">
    <w:pPr>
      <w:pStyle w:val="Footer"/>
      <w:tabs>
        <w:tab w:val="clear" w:pos="4513"/>
        <w:tab w:val="clear" w:pos="9026"/>
        <w:tab w:val="center" w:pos="5103"/>
        <w:tab w:val="right" w:pos="10206"/>
      </w:tabs>
    </w:pPr>
    <w:fldSimple w:instr=" FILENAME   \* MERGEFORMAT ">
      <w:r w:rsidR="006C312E">
        <w:rPr>
          <w:noProof/>
        </w:rPr>
        <w:t>ICTPRG501_AT2_TEX_TQM_v1.docx</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885AE4">
      <w:rPr>
        <w:noProof/>
      </w:rPr>
      <w:t>2</w:t>
    </w:r>
    <w:r w:rsidR="009717D6" w:rsidRPr="007F387E">
      <w:fldChar w:fldCharType="end"/>
    </w:r>
    <w:r w:rsidR="009717D6" w:rsidRPr="007F387E">
      <w:t xml:space="preserve"> of </w:t>
    </w:r>
    <w:fldSimple w:instr=" NUMPAGES  \* Arabic  \* MERGEFORMAT ">
      <w:r w:rsidR="00885AE4">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6C312E">
      <w:rPr>
        <w:rFonts w:asciiTheme="majorHAnsi" w:hAnsiTheme="majorHAnsi" w:cstheme="majorHAnsi"/>
        <w:noProof/>
        <w:szCs w:val="16"/>
      </w:rPr>
      <w:t>ICTPRG501_AT2_TEX_TQM_v1.docx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885AE4">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885AE4">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77570" w14:textId="77777777" w:rsidR="00EC214F" w:rsidRDefault="00EC214F" w:rsidP="007026C1">
      <w:r>
        <w:separator/>
      </w:r>
    </w:p>
  </w:footnote>
  <w:footnote w:type="continuationSeparator" w:id="0">
    <w:p w14:paraId="65729242" w14:textId="77777777" w:rsidR="00EC214F" w:rsidRDefault="00EC214F"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595EFC7C"/>
    <w:multiLevelType w:val="multilevel"/>
    <w:tmpl w:val="09EAB4B4"/>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B9877E4"/>
    <w:multiLevelType w:val="hybridMultilevel"/>
    <w:tmpl w:val="7152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7"/>
  </w:num>
  <w:num w:numId="5">
    <w:abstractNumId w:val="23"/>
  </w:num>
  <w:num w:numId="6">
    <w:abstractNumId w:val="18"/>
  </w:num>
  <w:num w:numId="7">
    <w:abstractNumId w:val="12"/>
  </w:num>
  <w:num w:numId="8">
    <w:abstractNumId w:val="10"/>
  </w:num>
  <w:num w:numId="9">
    <w:abstractNumId w:val="24"/>
  </w:num>
  <w:num w:numId="10">
    <w:abstractNumId w:val="15"/>
  </w:num>
  <w:num w:numId="11">
    <w:abstractNumId w:val="25"/>
  </w:num>
  <w:num w:numId="12">
    <w:abstractNumId w:val="11"/>
  </w:num>
  <w:num w:numId="13">
    <w:abstractNumId w:val="20"/>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0A5A"/>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2B98"/>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D67C7"/>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C312E"/>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5AE4"/>
    <w:rsid w:val="00887359"/>
    <w:rsid w:val="0089012B"/>
    <w:rsid w:val="00890E2B"/>
    <w:rsid w:val="008913E7"/>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AD2"/>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214F"/>
    <w:rsid w:val="00EC7B09"/>
    <w:rsid w:val="00ED033B"/>
    <w:rsid w:val="00EE591F"/>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2C1CCEA4-16AF-4E69-A9FC-49952088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8AC119D-D86C-415C-AE80-4FA9F30F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5</cp:revision>
  <dcterms:created xsi:type="dcterms:W3CDTF">2018-09-11T23:26:00Z</dcterms:created>
  <dcterms:modified xsi:type="dcterms:W3CDTF">2018-11-08T05:09:00Z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