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79C698A3" w:rsidR="007026C1" w:rsidRPr="00512755" w:rsidRDefault="00BF0791" w:rsidP="007026C1">
            <w:pPr>
              <w:rPr>
                <w:rFonts w:cs="Arial"/>
                <w:szCs w:val="22"/>
              </w:rPr>
            </w:pPr>
            <w:bookmarkStart w:id="2" w:name="UnitCode_Name"/>
            <w:bookmarkEnd w:id="2"/>
            <w:r>
              <w:t>ICTPRG527 Apply intermediate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28C1AC50" w:rsidR="00FF5DE4" w:rsidRPr="00512755" w:rsidRDefault="000965B2" w:rsidP="00E725A0">
            <w:pPr>
              <w:rPr>
                <w:rFonts w:cs="Arial"/>
                <w:szCs w:val="22"/>
              </w:rPr>
            </w:pPr>
            <w:r w:rsidRPr="000965B2">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6DBDE93" w:rsidR="00FF5DE4" w:rsidRPr="00512755" w:rsidRDefault="00BF079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75C2C568" w:rsidR="002D0045" w:rsidRPr="00512755" w:rsidRDefault="00991052" w:rsidP="007026C1">
            <w:pPr>
              <w:rPr>
                <w:rFonts w:cs="Arial"/>
                <w:szCs w:val="22"/>
              </w:rPr>
            </w:pPr>
            <w:bookmarkStart w:id="3" w:name="AssessDate"/>
            <w:bookmarkEnd w:id="3"/>
            <w:r>
              <w:rPr>
                <w:rFonts w:cs="Arial"/>
                <w:szCs w:val="22"/>
              </w:rPr>
              <w:t>14/09/2018</w:t>
            </w:r>
            <w:bookmarkStart w:id="4" w:name="_GoBack"/>
            <w:bookmarkEnd w:id="4"/>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2529BF"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0965B2" w:rsidRPr="008F7477" w14:paraId="2D426E32" w14:textId="77777777" w:rsidTr="007F387E">
        <w:tc>
          <w:tcPr>
            <w:tcW w:w="2694" w:type="dxa"/>
            <w:shd w:val="clear" w:color="auto" w:fill="D9D9D9" w:themeFill="background1" w:themeFillShade="D9"/>
          </w:tcPr>
          <w:p w14:paraId="2D426E11" w14:textId="77777777" w:rsidR="000965B2" w:rsidRPr="00512755" w:rsidRDefault="000965B2" w:rsidP="001F0920">
            <w:pPr>
              <w:pStyle w:val="Tableheading"/>
            </w:pPr>
            <w:r w:rsidRPr="00512755">
              <w:t>Instructions to Student</w:t>
            </w:r>
          </w:p>
        </w:tc>
        <w:tc>
          <w:tcPr>
            <w:tcW w:w="7512" w:type="dxa"/>
          </w:tcPr>
          <w:p w14:paraId="68414C5C" w14:textId="77777777" w:rsidR="000965B2" w:rsidRPr="006C1273" w:rsidRDefault="000965B2" w:rsidP="00CD4D11">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6</w:t>
            </w:r>
          </w:p>
          <w:p w14:paraId="2C1B52F8" w14:textId="77777777" w:rsidR="000965B2" w:rsidRPr="006C1273" w:rsidRDefault="000965B2" w:rsidP="00CD4D11">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F4ABD00" w14:textId="77777777" w:rsidR="000965B2" w:rsidRPr="006C1273" w:rsidRDefault="000965B2" w:rsidP="00CD4D11">
            <w:pPr>
              <w:rPr>
                <w:rFonts w:asciiTheme="minorHAnsi" w:hAnsiTheme="minorHAnsi" w:cstheme="minorHAnsi"/>
                <w:b/>
                <w:szCs w:val="22"/>
              </w:rPr>
            </w:pPr>
          </w:p>
          <w:p w14:paraId="21FCF127" w14:textId="77777777" w:rsidR="000965B2" w:rsidRDefault="000965B2" w:rsidP="00CD4D11">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2C47507C" w:rsidR="000965B2" w:rsidRPr="000965B2" w:rsidRDefault="000965B2" w:rsidP="001F0920">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tc>
      </w:tr>
    </w:tbl>
    <w:p w14:paraId="36CE20BD" w14:textId="77777777" w:rsidR="000965B2" w:rsidRDefault="000965B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0965B2" w:rsidRPr="008F7477" w14:paraId="4A170E74" w14:textId="77777777" w:rsidTr="007F387E">
        <w:tc>
          <w:tcPr>
            <w:tcW w:w="2694" w:type="dxa"/>
            <w:shd w:val="clear" w:color="auto" w:fill="D9D9D9" w:themeFill="background1" w:themeFillShade="D9"/>
          </w:tcPr>
          <w:p w14:paraId="31157C5B" w14:textId="46E769AE" w:rsidR="000965B2" w:rsidRPr="00512755" w:rsidRDefault="000965B2" w:rsidP="001F0920">
            <w:pPr>
              <w:pStyle w:val="Tableheading"/>
            </w:pPr>
          </w:p>
        </w:tc>
        <w:tc>
          <w:tcPr>
            <w:tcW w:w="7512" w:type="dxa"/>
          </w:tcPr>
          <w:p w14:paraId="1CCAB50D" w14:textId="77777777" w:rsidR="000965B2"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B0DB179" w14:textId="279064A7" w:rsidR="000965B2" w:rsidRPr="007E1172" w:rsidRDefault="000965B2" w:rsidP="000965B2">
            <w:pPr>
              <w:rPr>
                <w:rFonts w:asciiTheme="minorHAnsi" w:hAnsiTheme="minorHAnsi" w:cstheme="minorHAnsi"/>
                <w:b/>
                <w:szCs w:val="22"/>
              </w:rPr>
            </w:pPr>
            <w:r w:rsidRPr="007E1172">
              <w:rPr>
                <w:rFonts w:asciiTheme="minorHAnsi" w:hAnsiTheme="minorHAnsi" w:cstheme="minorHAnsi"/>
                <w:szCs w:val="22"/>
              </w:rPr>
              <w:t>Examination paper</w:t>
            </w:r>
          </w:p>
          <w:p w14:paraId="075E505E" w14:textId="77777777" w:rsidR="000965B2" w:rsidRPr="006C1273" w:rsidRDefault="000965B2" w:rsidP="000965B2">
            <w:pPr>
              <w:rPr>
                <w:rFonts w:asciiTheme="minorHAnsi" w:hAnsiTheme="minorHAnsi" w:cstheme="minorHAnsi"/>
                <w:b/>
                <w:szCs w:val="22"/>
              </w:rPr>
            </w:pPr>
          </w:p>
          <w:p w14:paraId="483DDEB8"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08961802" w14:textId="77777777" w:rsidR="000965B2" w:rsidRDefault="000965B2" w:rsidP="000965B2">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0123AC11" w14:textId="77777777" w:rsidR="000965B2" w:rsidRPr="007E1172" w:rsidRDefault="000965B2" w:rsidP="000965B2">
            <w:pPr>
              <w:rPr>
                <w:rFonts w:asciiTheme="minorHAnsi" w:hAnsiTheme="minorHAnsi" w:cstheme="minorHAnsi"/>
                <w:b/>
                <w:szCs w:val="22"/>
              </w:rPr>
            </w:pPr>
          </w:p>
          <w:p w14:paraId="508CC98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General Instructions:</w:t>
            </w:r>
          </w:p>
          <w:p w14:paraId="441B8F6A" w14:textId="77777777" w:rsidR="000965B2" w:rsidRPr="007E1172" w:rsidRDefault="000965B2" w:rsidP="000965B2">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7059BF3B" w14:textId="77777777" w:rsidR="000965B2" w:rsidRPr="006C1273" w:rsidRDefault="000965B2" w:rsidP="000965B2">
            <w:pPr>
              <w:rPr>
                <w:rFonts w:asciiTheme="minorHAnsi" w:hAnsiTheme="minorHAnsi" w:cstheme="minorHAnsi"/>
                <w:b/>
                <w:szCs w:val="22"/>
              </w:rPr>
            </w:pPr>
          </w:p>
          <w:p w14:paraId="3E0A1F96"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Calculators:</w:t>
            </w:r>
          </w:p>
          <w:p w14:paraId="256A9F9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6789B54" w14:textId="77777777" w:rsidR="000965B2" w:rsidRPr="006C1273" w:rsidRDefault="000965B2" w:rsidP="000965B2">
            <w:pPr>
              <w:rPr>
                <w:rFonts w:asciiTheme="minorHAnsi" w:hAnsiTheme="minorHAnsi" w:cstheme="minorHAnsi"/>
                <w:b/>
                <w:szCs w:val="22"/>
              </w:rPr>
            </w:pPr>
          </w:p>
          <w:p w14:paraId="5BEB9F95"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Number of Attempts:</w:t>
            </w:r>
          </w:p>
          <w:p w14:paraId="205077F7" w14:textId="79560E90" w:rsidR="000965B2" w:rsidRPr="006C1273" w:rsidRDefault="000965B2" w:rsidP="000965B2">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0965B2" w:rsidRPr="008F7477" w14:paraId="2D426E3D" w14:textId="77777777" w:rsidTr="007F387E">
        <w:tc>
          <w:tcPr>
            <w:tcW w:w="2694" w:type="dxa"/>
            <w:shd w:val="clear" w:color="auto" w:fill="D9D9D9" w:themeFill="background1" w:themeFillShade="D9"/>
          </w:tcPr>
          <w:p w14:paraId="2D426E33" w14:textId="77777777" w:rsidR="000965B2" w:rsidRPr="00512755" w:rsidRDefault="000965B2" w:rsidP="001F0920">
            <w:pPr>
              <w:pStyle w:val="Tableheading"/>
            </w:pPr>
            <w:r w:rsidRPr="004770D2">
              <w:t>Instructions for the Assessor</w:t>
            </w:r>
          </w:p>
        </w:tc>
        <w:tc>
          <w:tcPr>
            <w:tcW w:w="7512" w:type="dxa"/>
            <w:vAlign w:val="center"/>
          </w:tcPr>
          <w:p w14:paraId="2D426E3C" w14:textId="54E33A7A" w:rsidR="000965B2" w:rsidRPr="007B6114" w:rsidRDefault="000965B2" w:rsidP="000965B2">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0965B2" w:rsidRPr="008F7477" w14:paraId="2D426E43" w14:textId="77777777" w:rsidTr="007F387E">
        <w:tc>
          <w:tcPr>
            <w:tcW w:w="2694" w:type="dxa"/>
            <w:shd w:val="clear" w:color="auto" w:fill="D9D9D9" w:themeFill="background1" w:themeFillShade="D9"/>
          </w:tcPr>
          <w:p w14:paraId="2D426E3F" w14:textId="501DB737" w:rsidR="000965B2" w:rsidRPr="00441DF1" w:rsidRDefault="000965B2" w:rsidP="00441DF1">
            <w:pPr>
              <w:pStyle w:val="Tableheading"/>
              <w:rPr>
                <w:b w:val="0"/>
              </w:rPr>
            </w:pPr>
            <w:r w:rsidRPr="007A4F25">
              <w:t xml:space="preserve">Submission details </w:t>
            </w:r>
            <w:r>
              <w:br/>
            </w:r>
            <w:r w:rsidRPr="00441DF1">
              <w:rPr>
                <w:b w:val="0"/>
              </w:rPr>
              <w:t>(if relevant)</w:t>
            </w:r>
          </w:p>
        </w:tc>
        <w:tc>
          <w:tcPr>
            <w:tcW w:w="7512" w:type="dxa"/>
          </w:tcPr>
          <w:p w14:paraId="2D426E42" w14:textId="2E2A25E8" w:rsidR="000965B2" w:rsidRPr="007B6114" w:rsidRDefault="000965B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F02B50B" w14:textId="77777777" w:rsidR="000965B2" w:rsidRPr="000965B2" w:rsidRDefault="000965B2" w:rsidP="000965B2">
      <w:pPr>
        <w:rPr>
          <w:rFonts w:asciiTheme="minorHAnsi" w:hAnsiTheme="minorHAnsi" w:cstheme="minorHAnsi"/>
        </w:rPr>
      </w:pPr>
      <w:r w:rsidRPr="000965B2">
        <w:rPr>
          <w:rFonts w:asciiTheme="minorHAnsi" w:hAnsiTheme="minorHAnsi" w:cstheme="minorHAnsi"/>
        </w:rPr>
        <w:lastRenderedPageBreak/>
        <w:t>Answer the following in paragraph format in roughly 100 words per question:</w:t>
      </w:r>
    </w:p>
    <w:p w14:paraId="63C82B93" w14:textId="6DEF259E" w:rsidR="000965B2" w:rsidRDefault="00817559"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Pr>
          <w:rFonts w:asciiTheme="minorHAnsi" w:hAnsiTheme="minorHAnsi" w:cstheme="minorHAnsi"/>
        </w:rPr>
        <w:t>List and briefly describe</w:t>
      </w:r>
      <w:r w:rsidR="000965B2" w:rsidRPr="000965B2">
        <w:rPr>
          <w:rFonts w:asciiTheme="minorHAnsi" w:hAnsiTheme="minorHAnsi" w:cstheme="minorHAnsi"/>
        </w:rPr>
        <w:t xml:space="preserve"> </w:t>
      </w:r>
      <w:r>
        <w:rPr>
          <w:rFonts w:asciiTheme="minorHAnsi" w:hAnsiTheme="minorHAnsi" w:cstheme="minorHAnsi"/>
          <w:b/>
        </w:rPr>
        <w:t xml:space="preserve">the different control </w:t>
      </w:r>
      <w:r w:rsidR="000965B2" w:rsidRPr="000965B2">
        <w:rPr>
          <w:rFonts w:asciiTheme="minorHAnsi" w:hAnsiTheme="minorHAnsi" w:cstheme="minorHAnsi"/>
          <w:b/>
        </w:rPr>
        <w:t>structures</w:t>
      </w:r>
      <w:r>
        <w:rPr>
          <w:rFonts w:asciiTheme="minorHAnsi" w:hAnsiTheme="minorHAnsi" w:cstheme="minorHAnsi"/>
          <w:b/>
        </w:rPr>
        <w:t xml:space="preserve"> used to explain algorithms</w:t>
      </w:r>
      <w:r w:rsidR="000965B2" w:rsidRPr="000965B2">
        <w:rPr>
          <w:rFonts w:asciiTheme="minorHAnsi" w:hAnsiTheme="minorHAnsi" w:cstheme="minorHAnsi"/>
        </w:rPr>
        <w:t>.</w:t>
      </w:r>
    </w:p>
    <w:p w14:paraId="2229D004" w14:textId="5452743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A41A1A5" w14:textId="42E32935"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FB0B03F" w14:textId="58661A21"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0055B7F" w14:textId="48940C7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2AF6907" w14:textId="4E5D210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5C93AE5" w14:textId="73E56138"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1CF8F1D" w14:textId="52B2296B"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520112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A3EEB1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ACCEC9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29CB7D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3261085"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654AAD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195BEE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8C8B63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75F2961" w14:textId="4C8D2BD4"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8C33844"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113CA3E9" w14:textId="31C4C922"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Describe </w:t>
      </w:r>
      <w:r w:rsidR="00817559" w:rsidRPr="00817559">
        <w:rPr>
          <w:rFonts w:asciiTheme="minorHAnsi" w:hAnsiTheme="minorHAnsi" w:cstheme="minorHAnsi"/>
          <w:b/>
        </w:rPr>
        <w:t>data structures</w:t>
      </w:r>
      <w:r w:rsidR="00817559">
        <w:rPr>
          <w:rFonts w:asciiTheme="minorHAnsi" w:hAnsiTheme="minorHAnsi" w:cstheme="minorHAnsi"/>
          <w:b/>
        </w:rPr>
        <w:t xml:space="preserve"> </w:t>
      </w:r>
      <w:r w:rsidR="00817559" w:rsidRPr="00817559">
        <w:rPr>
          <w:rFonts w:asciiTheme="minorHAnsi" w:hAnsiTheme="minorHAnsi" w:cstheme="minorHAnsi"/>
        </w:rPr>
        <w:t>giving examples</w:t>
      </w:r>
      <w:r w:rsidR="00817559">
        <w:rPr>
          <w:rFonts w:asciiTheme="minorHAnsi" w:hAnsiTheme="minorHAnsi" w:cstheme="minorHAnsi"/>
        </w:rPr>
        <w:t>.</w:t>
      </w:r>
    </w:p>
    <w:p w14:paraId="7006CC8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FE06574"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EA0EA6E"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E4E6F4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20EDCA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F344D9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929C80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2EA8B0E"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4922A1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664CA8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1459748"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5C99FB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301F5C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D3F484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3BB978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A3009B7" w14:textId="77777777" w:rsidR="00817559" w:rsidRDefault="00817559">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5E68DEA2" w14:textId="6564E19C"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Explain the following aspects of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w:t>
      </w:r>
    </w:p>
    <w:p w14:paraId="7831E782" w14:textId="77777777" w:rsidR="000965B2" w:rsidRPr="000965B2" w:rsidRDefault="000965B2" w:rsidP="000965B2">
      <w:pPr>
        <w:pStyle w:val="Tablebullet-sub"/>
      </w:pPr>
      <w:r w:rsidRPr="000965B2">
        <w:t>Classes and Objects</w:t>
      </w:r>
    </w:p>
    <w:p w14:paraId="2D8B4D54" w14:textId="77777777" w:rsidR="000965B2" w:rsidRPr="000965B2" w:rsidRDefault="000965B2" w:rsidP="000965B2">
      <w:pPr>
        <w:pStyle w:val="Tablebullet-sub"/>
      </w:pPr>
      <w:r w:rsidRPr="000965B2">
        <w:t>Instance</w:t>
      </w:r>
    </w:p>
    <w:p w14:paraId="542266F5" w14:textId="77777777" w:rsidR="000965B2" w:rsidRPr="000965B2" w:rsidRDefault="000965B2" w:rsidP="000965B2">
      <w:pPr>
        <w:pStyle w:val="Tablebullet-sub"/>
      </w:pPr>
      <w:r w:rsidRPr="000965B2">
        <w:t>Abstraction</w:t>
      </w:r>
    </w:p>
    <w:p w14:paraId="46D49DDE" w14:textId="77777777" w:rsidR="000965B2" w:rsidRPr="000965B2" w:rsidRDefault="000965B2" w:rsidP="000965B2">
      <w:pPr>
        <w:pStyle w:val="Tablebullet-sub"/>
      </w:pPr>
      <w:r w:rsidRPr="000965B2">
        <w:t>Inheritance</w:t>
      </w:r>
    </w:p>
    <w:p w14:paraId="65B937D2" w14:textId="77777777" w:rsidR="000965B2" w:rsidRPr="000965B2" w:rsidRDefault="000965B2" w:rsidP="000965B2">
      <w:pPr>
        <w:pStyle w:val="Tablebullet-sub"/>
      </w:pPr>
      <w:r w:rsidRPr="000965B2">
        <w:t>Polymorphism</w:t>
      </w:r>
    </w:p>
    <w:p w14:paraId="0D9F5BE4" w14:textId="7A9A151F" w:rsidR="000965B2" w:rsidRDefault="000965B2" w:rsidP="000965B2">
      <w:pPr>
        <w:pStyle w:val="Tablebullet-sub"/>
      </w:pPr>
      <w:r w:rsidRPr="000965B2">
        <w:t>Encapsulation</w:t>
      </w:r>
      <w:r>
        <w:t>.</w:t>
      </w:r>
    </w:p>
    <w:p w14:paraId="281145BE" w14:textId="77777777" w:rsidR="0028563E" w:rsidRDefault="0028563E" w:rsidP="0028563E">
      <w:pPr>
        <w:pStyle w:val="Tablebullet-sub"/>
        <w:numPr>
          <w:ilvl w:val="0"/>
          <w:numId w:val="0"/>
        </w:numPr>
      </w:pPr>
    </w:p>
    <w:p w14:paraId="4814328A"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9E3B93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0464296"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2753DC5"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6CFA12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66564C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AD7EE74"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8E3888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BFA235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62BDC6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BB38D6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2435E8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9AD4A9D" w14:textId="77777777" w:rsidR="0028563E" w:rsidRPr="000965B2" w:rsidRDefault="0028563E" w:rsidP="0028563E">
      <w:pPr>
        <w:pStyle w:val="Tablebullet-sub"/>
        <w:numPr>
          <w:ilvl w:val="0"/>
          <w:numId w:val="0"/>
        </w:numPr>
      </w:pPr>
    </w:p>
    <w:p w14:paraId="3595032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Java and C# are the most popular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 xml:space="preserve"> </w:t>
      </w:r>
      <w:r w:rsidRPr="000965B2">
        <w:rPr>
          <w:rFonts w:asciiTheme="minorHAnsi" w:hAnsiTheme="minorHAnsi" w:cstheme="minorHAnsi"/>
          <w:b/>
        </w:rPr>
        <w:t>language</w:t>
      </w:r>
      <w:r w:rsidRPr="000965B2">
        <w:rPr>
          <w:rFonts w:asciiTheme="minorHAnsi" w:hAnsiTheme="minorHAnsi" w:cstheme="minorHAnsi"/>
        </w:rPr>
        <w:t xml:space="preserve"> in the market today, what makes them different from other non-object-oriented programming language?</w:t>
      </w:r>
    </w:p>
    <w:p w14:paraId="2D10379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232919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908755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489A35A"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F4CA85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AE3A425"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A1CE74C"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1E22FDE"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D5328A4"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A4B295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07DE1EC"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850E33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7860F92"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30A7F53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What aspects and criteria would you apply in considering the </w:t>
      </w:r>
      <w:r w:rsidRPr="000965B2">
        <w:rPr>
          <w:rFonts w:asciiTheme="minorHAnsi" w:hAnsiTheme="minorHAnsi" w:cstheme="minorHAnsi"/>
          <w:b/>
        </w:rPr>
        <w:t>design</w:t>
      </w:r>
      <w:r w:rsidRPr="000965B2">
        <w:rPr>
          <w:rFonts w:asciiTheme="minorHAnsi" w:hAnsiTheme="minorHAnsi" w:cstheme="minorHAnsi"/>
        </w:rPr>
        <w:t xml:space="preserve"> of a </w:t>
      </w:r>
      <w:r w:rsidRPr="000965B2">
        <w:rPr>
          <w:rFonts w:asciiTheme="minorHAnsi" w:hAnsiTheme="minorHAnsi" w:cstheme="minorHAnsi"/>
          <w:b/>
        </w:rPr>
        <w:t>Graphical</w:t>
      </w:r>
      <w:r w:rsidRPr="000965B2">
        <w:rPr>
          <w:rFonts w:asciiTheme="minorHAnsi" w:hAnsiTheme="minorHAnsi" w:cstheme="minorHAnsi"/>
        </w:rPr>
        <w:t xml:space="preserve"> </w:t>
      </w:r>
      <w:r w:rsidRPr="000965B2">
        <w:rPr>
          <w:rFonts w:asciiTheme="minorHAnsi" w:hAnsiTheme="minorHAnsi" w:cstheme="minorHAnsi"/>
          <w:b/>
        </w:rPr>
        <w:t>User</w:t>
      </w:r>
      <w:r w:rsidRPr="000965B2">
        <w:rPr>
          <w:rFonts w:asciiTheme="minorHAnsi" w:hAnsiTheme="minorHAnsi" w:cstheme="minorHAnsi"/>
        </w:rPr>
        <w:t xml:space="preserve"> </w:t>
      </w:r>
      <w:r w:rsidRPr="000965B2">
        <w:rPr>
          <w:rFonts w:asciiTheme="minorHAnsi" w:hAnsiTheme="minorHAnsi" w:cstheme="minorHAnsi"/>
          <w:b/>
        </w:rPr>
        <w:t>Interface</w:t>
      </w:r>
      <w:r w:rsidRPr="000965B2">
        <w:rPr>
          <w:rFonts w:asciiTheme="minorHAnsi" w:hAnsiTheme="minorHAnsi" w:cstheme="minorHAnsi"/>
        </w:rPr>
        <w:t xml:space="preserve"> </w:t>
      </w:r>
      <w:r w:rsidRPr="000965B2">
        <w:rPr>
          <w:rFonts w:asciiTheme="minorHAnsi" w:hAnsiTheme="minorHAnsi" w:cstheme="minorHAnsi"/>
          <w:b/>
        </w:rPr>
        <w:t>(GUI)</w:t>
      </w:r>
      <w:r w:rsidRPr="000965B2">
        <w:rPr>
          <w:rFonts w:asciiTheme="minorHAnsi" w:hAnsiTheme="minorHAnsi" w:cstheme="minorHAnsi"/>
        </w:rPr>
        <w:t xml:space="preserve"> for an application for use by client users?</w:t>
      </w:r>
    </w:p>
    <w:p w14:paraId="1AD52B6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EF0090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9974B3A"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C2DC95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390C25A"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37CCAB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578B38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28C29F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632E676"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6AA915A"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8971A0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F3C521C"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826B33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9C00EC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8033D2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F4D299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AD224A8"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36783D31" w14:textId="77777777"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What are the techniques to </w:t>
      </w:r>
      <w:r w:rsidRPr="000965B2">
        <w:rPr>
          <w:rFonts w:asciiTheme="minorHAnsi" w:hAnsiTheme="minorHAnsi" w:cstheme="minorHAnsi"/>
          <w:b/>
        </w:rPr>
        <w:t>document</w:t>
      </w:r>
      <w:r w:rsidRPr="000965B2">
        <w:rPr>
          <w:rFonts w:asciiTheme="minorHAnsi" w:hAnsiTheme="minorHAnsi" w:cstheme="minorHAnsi"/>
        </w:rPr>
        <w:t xml:space="preserve"> </w:t>
      </w:r>
      <w:r w:rsidRPr="000965B2">
        <w:rPr>
          <w:rFonts w:asciiTheme="minorHAnsi" w:hAnsiTheme="minorHAnsi" w:cstheme="minorHAnsi"/>
          <w:b/>
        </w:rPr>
        <w:t>applications</w:t>
      </w:r>
      <w:r w:rsidRPr="000965B2">
        <w:rPr>
          <w:rFonts w:asciiTheme="minorHAnsi" w:hAnsiTheme="minorHAnsi" w:cstheme="minorHAnsi"/>
        </w:rPr>
        <w:t>?</w:t>
      </w:r>
    </w:p>
    <w:p w14:paraId="5A8B0A0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30D734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60C73D6"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FB73EC5"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3EFDEF6"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6C4BB0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7CDC9A6"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CBD8FA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448A13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15C828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507876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CE31E0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0043D6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DB35A54"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49D02C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506A23F" w14:textId="34496393" w:rsidR="0028563E" w:rsidRP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sectPr w:rsidR="0028563E" w:rsidRPr="0028563E"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52E39" w14:textId="77777777" w:rsidR="002529BF" w:rsidRDefault="002529BF" w:rsidP="007026C1">
      <w:r>
        <w:separator/>
      </w:r>
    </w:p>
  </w:endnote>
  <w:endnote w:type="continuationSeparator" w:id="0">
    <w:p w14:paraId="0DA1F3EE" w14:textId="77777777" w:rsidR="002529BF" w:rsidRDefault="002529B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2529BF"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0965B2">
      <w:rPr>
        <w:noProof/>
      </w:rPr>
      <w:t>ICTPRG527_AT2_TEX_TQM_v1.docx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991052">
      <w:rPr>
        <w:noProof/>
      </w:rPr>
      <w:t>6</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991052">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965B2">
      <w:rPr>
        <w:rFonts w:asciiTheme="majorHAnsi" w:hAnsiTheme="majorHAnsi" w:cstheme="majorHAnsi"/>
        <w:noProof/>
        <w:szCs w:val="16"/>
      </w:rPr>
      <w:t>ICTPRG527_AT2_TEX_TQM_v1.docx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1052">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1052">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9DC07" w14:textId="77777777" w:rsidR="002529BF" w:rsidRDefault="002529BF" w:rsidP="007026C1">
      <w:r>
        <w:separator/>
      </w:r>
    </w:p>
  </w:footnote>
  <w:footnote w:type="continuationSeparator" w:id="0">
    <w:p w14:paraId="0DDE4588" w14:textId="77777777" w:rsidR="002529BF" w:rsidRDefault="002529BF"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7AFEFBF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6"/>
  </w:num>
  <w:num w:numId="5">
    <w:abstractNumId w:val="22"/>
  </w:num>
  <w:num w:numId="6">
    <w:abstractNumId w:val="18"/>
  </w:num>
  <w:num w:numId="7">
    <w:abstractNumId w:val="12"/>
  </w:num>
  <w:num w:numId="8">
    <w:abstractNumId w:val="10"/>
  </w:num>
  <w:num w:numId="9">
    <w:abstractNumId w:val="23"/>
  </w:num>
  <w:num w:numId="10">
    <w:abstractNumId w:val="15"/>
  </w:num>
  <w:num w:numId="11">
    <w:abstractNumId w:val="24"/>
  </w:num>
  <w:num w:numId="12">
    <w:abstractNumId w:val="11"/>
  </w:num>
  <w:num w:numId="13">
    <w:abstractNumId w:val="20"/>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965B2"/>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29BF"/>
    <w:rsid w:val="002569EE"/>
    <w:rsid w:val="002610F3"/>
    <w:rsid w:val="00263DD8"/>
    <w:rsid w:val="00267E49"/>
    <w:rsid w:val="00272AEE"/>
    <w:rsid w:val="00272B25"/>
    <w:rsid w:val="00272C24"/>
    <w:rsid w:val="0028563E"/>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31D4"/>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A5314"/>
    <w:rsid w:val="005B3F69"/>
    <w:rsid w:val="005B6C07"/>
    <w:rsid w:val="005C5DAD"/>
    <w:rsid w:val="005D52AD"/>
    <w:rsid w:val="005D581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17559"/>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1052"/>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35D"/>
    <w:rsid w:val="00A42C8C"/>
    <w:rsid w:val="00A45DDB"/>
    <w:rsid w:val="00A47598"/>
    <w:rsid w:val="00A51C43"/>
    <w:rsid w:val="00A62670"/>
    <w:rsid w:val="00A64866"/>
    <w:rsid w:val="00A660F1"/>
    <w:rsid w:val="00A81B5D"/>
    <w:rsid w:val="00A850C8"/>
    <w:rsid w:val="00A855C4"/>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0791"/>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67F0F"/>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EFB05F6B-8D2E-4560-BAFB-7DE423C6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E7759A3-2CA0-4DF0-8DA6-C7E7586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A2369499</Template>
  <TotalTime>6</TotalTime>
  <Pages>1</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5</cp:revision>
  <dcterms:created xsi:type="dcterms:W3CDTF">2018-08-15T02:36:00Z</dcterms:created>
  <dcterms:modified xsi:type="dcterms:W3CDTF">2018-09-11T23:03:00Z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