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80" w:before="0"/>
        <w:jc w:val="center"/>
      </w:pPr>
      <w:r>
        <w:rPr>
          <w:rFonts w:ascii="Arial" w:cs="Arial" w:eastAsia="Arial" w:hAnsi="Arial"/>
          <w:b/>
          <w:bCs/>
          <w:color w:val="1B4427"/>
          <w:sz w:val="40"/>
          <w:szCs w:val="40"/>
        </w:rPr>
        <w:t xml:space="preserve">COMPTE RENDU HEBDOMADAIRE</w:t>
      </w:r>
    </w:p>
    <w:p>
      <w:pPr>
        <w:spacing w:after="60" w:before="0"/>
        <w:jc w:val="center"/>
      </w:pPr>
      <w:r>
        <w:rPr>
          <w:rFonts w:ascii="Arial" w:cs="Arial" w:eastAsia="Arial" w:hAnsi="Arial"/>
          <w:b/>
          <w:bCs/>
          <w:color w:val="1B4427"/>
          <w:sz w:val="28"/>
          <w:szCs w:val="28"/>
        </w:rPr>
        <w:t xml:space="preserve">Semaine N°2  —  Projet JAEI</w:t>
      </w:r>
    </w:p>
    <w:p>
      <w:pPr>
        <w:pBdr>
          <w:bottom w:val="single" w:color="1E88C8" w:sz="6" w:space="8"/>
        </w:pBdr>
        <w:spacing w:after="240" w:before="0"/>
        <w:jc w:val="center"/>
      </w:pPr>
      <w:r>
        <w:rPr>
          <w:rFonts w:ascii="Arial" w:cs="Arial" w:eastAsia="Arial" w:hAnsi="Arial"/>
          <w:color w:val="1E88C8"/>
          <w:sz w:val="22"/>
          <w:szCs w:val="22"/>
        </w:rPr>
        <w:t xml:space="preserve">18 mars – 23 mars 2026</w:t>
      </w:r>
    </w:p>
    <w:p>
      <w:pPr>
        <w:pStyle w:val="Heading1"/>
        <w:pBdr>
          <w:bottom w:val="single" w:color="1E88C8" w:sz="4" w:space="4"/>
        </w:pBdr>
        <w:spacing w:after="160" w:before="320"/>
      </w:pPr>
      <w:r>
        <w:rPr>
          <w:rFonts w:ascii="Arial" w:cs="Arial" w:eastAsia="Arial" w:hAnsi="Arial"/>
          <w:b/>
          <w:bCs/>
          <w:color w:val="1B4427"/>
          <w:sz w:val="28"/>
          <w:szCs w:val="28"/>
        </w:rPr>
        <w:t xml:space="preserve">1.  Rappel du contexte</w:t>
      </w:r>
    </w:p>
    <w:p>
      <w:pPr>
        <w:spacing w:after="120" w:before="0"/>
      </w:pPr>
      <w:r>
        <w:rPr>
          <w:rFonts w:ascii="Arial" w:cs="Arial" w:eastAsia="Arial" w:hAnsi="Arial"/>
          <w:color w:val="1a1a1a"/>
          <w:sz w:val="22"/>
          <w:szCs w:val="22"/>
        </w:rPr>
        <w:t xml:space="preserve">La semaine 2 correspond à la Phase 2 : tableaux de bord et workflow éditorial. Elle couvre le développement des espaces de travail pour les 3 profils (auteur, évaluateur, administrateur), la mise en place des routes API backend, le service de notifications par email, et la finalisation du circuit complet de traitement des soumissions d’articles.</w:t>
      </w:r>
    </w:p>
    <w:p>
      <w:pPr>
        <w:pStyle w:val="Heading1"/>
        <w:pBdr>
          <w:bottom w:val="single" w:color="1E88C8" w:sz="4" w:space="4"/>
        </w:pBdr>
        <w:spacing w:after="160" w:before="320"/>
      </w:pPr>
      <w:r>
        <w:rPr>
          <w:rFonts w:ascii="Arial" w:cs="Arial" w:eastAsia="Arial" w:hAnsi="Arial"/>
          <w:b/>
          <w:bCs/>
          <w:color w:val="1B4427"/>
          <w:sz w:val="28"/>
          <w:szCs w:val="28"/>
        </w:rPr>
        <w:t xml:space="preserve">2.  Objectifs de la semaine</w:t>
      </w:r>
    </w:p>
    <w:p>
      <w:pPr>
        <w:spacing w:after="120" w:before="0"/>
      </w:pPr>
      <w:r>
        <w:rPr>
          <w:rFonts w:ascii="Arial" w:cs="Arial" w:eastAsia="Arial" w:hAnsi="Arial"/>
          <w:color w:val="1a1a1a"/>
          <w:sz w:val="22"/>
          <w:szCs w:val="22"/>
        </w:rPr>
        <w:t xml:space="preserve">Les objectifs prévus pour la semaine 2 étaient les suivants :</w:t>
      </w:r>
    </w:p>
    <w:p>
      <w:pPr>
        <w:pStyle w:val="ListParagraph"/>
        <w:numPr>
          <w:ilvl w:val="0"/>
          <w:numId w:val="2"/>
        </w:numPr>
        <w:spacing w:after="80" w:before="0"/>
      </w:pPr>
      <w:r>
        <w:rPr>
          <w:rFonts w:ascii="Arial" w:cs="Arial" w:eastAsia="Arial" w:hAnsi="Arial"/>
          <w:color w:val="1a1a1a"/>
          <w:sz w:val="22"/>
          <w:szCs w:val="22"/>
        </w:rPr>
        <w:t xml:space="preserve">Construire le tableau de bord Auteur (formulaire de soumission, suivi et historique des articles)</w:t>
      </w:r>
    </w:p>
    <w:p>
      <w:pPr>
        <w:pStyle w:val="ListParagraph"/>
        <w:numPr>
          <w:ilvl w:val="0"/>
          <w:numId w:val="2"/>
        </w:numPr>
        <w:spacing w:after="80" w:before="0"/>
      </w:pPr>
      <w:r>
        <w:rPr>
          <w:rFonts w:ascii="Arial" w:cs="Arial" w:eastAsia="Arial" w:hAnsi="Arial"/>
          <w:color w:val="1a1a1a"/>
          <w:sz w:val="22"/>
          <w:szCs w:val="22"/>
        </w:rPr>
        <w:t xml:space="preserve">Évaluateur : articles assignés, formulaire d’évaluation</w:t>
      </w:r>
    </w:p>
    <w:p>
      <w:pPr>
        <w:pStyle w:val="ListParagraph"/>
        <w:numPr>
          <w:ilvl w:val="0"/>
          <w:numId w:val="2"/>
        </w:numPr>
        <w:spacing w:after="80" w:before="0"/>
      </w:pPr>
      <w:r>
        <w:rPr>
          <w:rFonts w:ascii="Arial" w:cs="Arial" w:eastAsia="Arial" w:hAnsi="Arial"/>
          <w:color w:val="1a1a1a"/>
          <w:sz w:val="22"/>
          <w:szCs w:val="22"/>
        </w:rPr>
        <w:t xml:space="preserve">Construire le tableau de bord Administrateur (gestion des soumissions et des utilisateurs)</w:t>
      </w:r>
    </w:p>
    <w:p>
      <w:pPr>
        <w:pStyle w:val="ListParagraph"/>
        <w:numPr>
          <w:ilvl w:val="0"/>
          <w:numId w:val="2"/>
        </w:numPr>
        <w:spacing w:after="80" w:before="0"/>
      </w:pPr>
      <w:r>
        <w:rPr>
          <w:rFonts w:ascii="Arial" w:cs="Arial" w:eastAsia="Arial" w:hAnsi="Arial"/>
          <w:color w:val="1a1a1a"/>
          <w:sz w:val="22"/>
          <w:szCs w:val="22"/>
        </w:rPr>
        <w:t xml:space="preserve">Mettre en place les routes API backend (soumissions, évaluations, utilisateurs)</w:t>
      </w:r>
    </w:p>
    <w:p>
      <w:pPr>
        <w:pStyle w:val="ListParagraph"/>
        <w:numPr>
          <w:ilvl w:val="0"/>
          <w:numId w:val="2"/>
        </w:numPr>
        <w:spacing w:after="80" w:before="0"/>
      </w:pPr>
      <w:r>
        <w:rPr>
          <w:rFonts w:ascii="Arial" w:cs="Arial" w:eastAsia="Arial" w:hAnsi="Arial"/>
          <w:color w:val="1a1a1a"/>
          <w:sz w:val="22"/>
          <w:szCs w:val="22"/>
        </w:rPr>
        <w:t xml:space="preserve">Intégrer le service de notifications par email</w:t>
      </w:r>
    </w:p>
    <w:p>
      <w:pPr>
        <w:pStyle w:val="Heading1"/>
        <w:pBdr>
          <w:bottom w:val="single" w:color="1E88C8" w:sz="4" w:space="4"/>
        </w:pBdr>
        <w:spacing w:after="160" w:before="320"/>
      </w:pPr>
      <w:r>
        <w:rPr>
          <w:rFonts w:ascii="Arial" w:cs="Arial" w:eastAsia="Arial" w:hAnsi="Arial"/>
          <w:b/>
          <w:bCs/>
          <w:color w:val="1B4427"/>
          <w:sz w:val="28"/>
          <w:szCs w:val="28"/>
        </w:rPr>
        <w:t xml:space="preserve">3.  Réalisations de la semaine</w:t>
      </w:r>
    </w:p>
    <w:p>
      <w:pPr>
        <w:spacing w:after="120" w:before="0"/>
      </w:pPr>
      <w:r>
        <w:rPr>
          <w:rFonts w:ascii="Arial" w:cs="Arial" w:eastAsia="Arial" w:hAnsi="Arial"/>
          <w:b/>
          <w:bCs/>
          <w:color w:val="265438"/>
          <w:sz w:val="22"/>
          <w:szCs w:val="22"/>
        </w:rPr>
        <w:t xml:space="preserve">Toutes les réalisations prévues ont été complétées, avec plusieurs fonctionnalités additionnelles.</w:t>
      </w:r>
      <w:r>
        <w:rPr>
          <w:rFonts w:ascii="Arial" w:cs="Arial" w:eastAsia="Arial" w:hAnsi="Arial"/>
          <w:color w:val="1a1a1a"/>
          <w:sz w:val="22"/>
          <w:szCs w:val="22"/>
        </w:rPr>
        <w:t xml:space="preserve"> Voici le détail :</w:t>
      </w:r>
    </w:p>
    <w:p>
      <w:pPr>
        <w:pStyle w:val="Heading2"/>
        <w:spacing w:after="100" w:before="200"/>
      </w:pPr>
      <w:r>
        <w:rPr>
          <w:rFonts w:ascii="Arial" w:cs="Arial" w:eastAsia="Arial" w:hAnsi="Arial"/>
          <w:b/>
          <w:bCs/>
          <w:color w:val="265438"/>
          <w:sz w:val="24"/>
          <w:szCs w:val="24"/>
        </w:rPr>
        <w:t xml:space="preserve">3.1 — Tableaux de bord : Auteur, Évaluateur et Administrateur</w:t>
      </w:r>
    </w:p>
    <w:p>
      <w:pPr>
        <w:spacing w:after="120" w:before="0"/>
      </w:pPr>
      <w:r>
        <w:rPr>
          <w:rFonts w:ascii="Arial" w:cs="Arial" w:eastAsia="Arial" w:hAnsi="Arial"/>
          <w:color w:val="1a1a1a"/>
          <w:sz w:val="22"/>
          <w:szCs w:val="22"/>
        </w:rPr>
        <w:t xml:space="preserve">Les trois tableaux de bord ont été développés et reliés aux données réelles de la base de données. Chaque espace est adapté au rôle de l’utilisateur connecté, avec ses propres actions, statistiques et listes. L’auteur peut soumettre et suivre ses articles ; l’évaluateur accède aux articles qui lui sont assignés ; l’administrateur dispose d’une vue complète sur les soumissions et les comptes utilisateurs.</w:t>
      </w:r>
    </w:p>
    <w:p>
      <w:pPr>
        <w:pStyle w:val="Heading2"/>
        <w:spacing w:after="100" w:before="200"/>
      </w:pPr>
      <w:r>
        <w:rPr>
          <w:rFonts w:ascii="Arial" w:cs="Arial" w:eastAsia="Arial" w:hAnsi="Arial"/>
          <w:b/>
          <w:bCs/>
          <w:color w:val="265438"/>
          <w:sz w:val="24"/>
          <w:szCs w:val="24"/>
        </w:rPr>
        <w:t xml:space="preserve">3.2 — Workflow éditorial complet</w:t>
      </w:r>
    </w:p>
    <w:p>
      <w:pPr>
        <w:spacing w:after="120" w:before="0"/>
      </w:pPr>
      <w:r>
        <w:rPr>
          <w:rFonts w:ascii="Arial" w:cs="Arial" w:eastAsia="Arial" w:hAnsi="Arial"/>
          <w:color w:val="1a1a1a"/>
          <w:sz w:val="22"/>
          <w:szCs w:val="22"/>
        </w:rPr>
        <w:t xml:space="preserve">Le circuit complet de traitement d’un article a été mis en place en 10 étapes : depuis la création du compte jusqu’à la décision éditoriale, en passant par la soumission, l’assignation d’un évaluateur, l’évaluation, et la notification automatique par email à chaque étape clé.</w:t>
      </w:r>
    </w:p>
    <w:p>
      <w:pPr>
        <w:pStyle w:val="Heading2"/>
        <w:spacing w:after="100" w:before="200"/>
      </w:pPr>
      <w:r>
        <w:rPr>
          <w:rFonts w:ascii="Arial" w:cs="Arial" w:eastAsia="Arial" w:hAnsi="Arial"/>
          <w:b/>
          <w:bCs/>
          <w:color w:val="265438"/>
          <w:sz w:val="24"/>
          <w:szCs w:val="24"/>
        </w:rPr>
        <w:t xml:space="preserve">3.3 — Routes API backend</w:t>
      </w:r>
    </w:p>
    <w:p>
      <w:pPr>
        <w:spacing w:after="80" w:before="0"/>
      </w:pPr>
      <w:r>
        <w:rPr>
          <w:rFonts w:ascii="Arial" w:cs="Arial" w:eastAsia="Arial" w:hAnsi="Arial"/>
          <w:color w:val="1a1a1a"/>
          <w:sz w:val="22"/>
          <w:szCs w:val="22"/>
        </w:rPr>
        <w:t xml:space="preserve">Trois nouvelles routes ont été ajoutées au serveur :</w:t>
      </w:r>
    </w:p>
    <w:p>
      <w:pPr>
        <w:pStyle w:val="ListParagraph"/>
        <w:numPr>
          <w:ilvl w:val="0"/>
          <w:numId w:val="2"/>
        </w:numPr>
        <w:spacing w:after="80" w:before="0"/>
      </w:pPr>
      <w:r>
        <w:rPr>
          <w:rFonts w:ascii="Arial" w:cs="Arial" w:eastAsia="Arial" w:hAnsi="Arial"/>
          <w:color w:val="1a1a1a"/>
          <w:sz w:val="22"/>
          <w:szCs w:val="22"/>
        </w:rPr>
        <w:t xml:space="preserve">/api/submissions : soumission, consultation et modification du statut des articles</w:t>
      </w:r>
    </w:p>
    <w:p>
      <w:pPr>
        <w:pStyle w:val="ListParagraph"/>
        <w:numPr>
          <w:ilvl w:val="0"/>
          <w:numId w:val="2"/>
        </w:numPr>
        <w:spacing w:after="80" w:before="0"/>
      </w:pPr>
      <w:r>
        <w:rPr>
          <w:rFonts w:ascii="Arial" w:cs="Arial" w:eastAsia="Arial" w:hAnsi="Arial"/>
          <w:color w:val="1a1a1a"/>
          <w:sz w:val="22"/>
          <w:szCs w:val="22"/>
        </w:rPr>
        <w:t xml:space="preserve">/api/reviews : assignation des évaluateurs, dépôt des évaluations, consultation des avis</w:t>
      </w:r>
    </w:p>
    <w:p>
      <w:pPr>
        <w:pStyle w:val="ListParagraph"/>
        <w:numPr>
          <w:ilvl w:val="0"/>
          <w:numId w:val="2"/>
        </w:numPr>
        <w:spacing w:after="80" w:before="0"/>
      </w:pPr>
      <w:r>
        <w:rPr>
          <w:rFonts w:ascii="Arial" w:cs="Arial" w:eastAsia="Arial" w:hAnsi="Arial"/>
          <w:color w:val="1a1a1a"/>
          <w:sz w:val="22"/>
          <w:szCs w:val="22"/>
        </w:rPr>
        <w:t xml:space="preserve">/api/users : liste des utilisateurs et gestion des rôles (administrateur uniquement)</w:t>
      </w:r>
    </w:p>
    <w:p>
      <w:pPr>
        <w:pStyle w:val="Heading2"/>
        <w:spacing w:after="100" w:before="200"/>
      </w:pPr>
      <w:r>
        <w:rPr>
          <w:rFonts w:ascii="Arial" w:cs="Arial" w:eastAsia="Arial" w:hAnsi="Arial"/>
          <w:b/>
          <w:bCs/>
          <w:color w:val="265438"/>
          <w:sz w:val="24"/>
          <w:szCs w:val="24"/>
        </w:rPr>
        <w:t xml:space="preserve">3.4 — Service de notifications par email</w:t>
      </w:r>
    </w:p>
    <w:p>
      <w:pPr>
        <w:spacing w:after="80" w:before="0"/>
      </w:pPr>
      <w:r>
        <w:rPr>
          <w:rFonts w:ascii="Arial" w:cs="Arial" w:eastAsia="Arial" w:hAnsi="Arial"/>
          <w:color w:val="1a1a1a"/>
          <w:sz w:val="22"/>
          <w:szCs w:val="22"/>
        </w:rPr>
        <w:t xml:space="preserve">Un service d’emails automatiques a été développé avec 4 modèles de messages :</w:t>
      </w:r>
    </w:p>
    <w:p>
      <w:pPr>
        <w:pStyle w:val="ListParagraph"/>
        <w:numPr>
          <w:ilvl w:val="0"/>
          <w:numId w:val="2"/>
        </w:numPr>
        <w:spacing w:after="60" w:before="0"/>
      </w:pPr>
      <w:r>
        <w:rPr>
          <w:rFonts w:ascii="Arial" w:cs="Arial" w:eastAsia="Arial" w:hAnsi="Arial"/>
          <w:color w:val="1a1a1a"/>
          <w:sz w:val="22"/>
          <w:szCs w:val="22"/>
        </w:rPr>
        <w:t xml:space="preserve">Bienvenue (envoyé à la création du compte)</w:t>
      </w:r>
    </w:p>
    <w:p>
      <w:pPr>
        <w:pStyle w:val="ListParagraph"/>
        <w:numPr>
          <w:ilvl w:val="0"/>
          <w:numId w:val="2"/>
        </w:numPr>
        <w:spacing w:after="60" w:before="0"/>
      </w:pPr>
      <w:r>
        <w:rPr>
          <w:rFonts w:ascii="Arial" w:cs="Arial" w:eastAsia="Arial" w:hAnsi="Arial"/>
          <w:color w:val="1a1a1a"/>
          <w:sz w:val="22"/>
          <w:szCs w:val="22"/>
        </w:rPr>
        <w:t xml:space="preserve">Soumission reçue (notification à l’auteur)</w:t>
      </w:r>
    </w:p>
    <w:p>
      <w:pPr>
        <w:pStyle w:val="ListParagraph"/>
        <w:numPr>
          <w:ilvl w:val="0"/>
          <w:numId w:val="2"/>
        </w:numPr>
        <w:spacing w:after="60" w:before="0"/>
      </w:pPr>
      <w:r>
        <w:rPr>
          <w:rFonts w:ascii="Arial" w:cs="Arial" w:eastAsia="Arial" w:hAnsi="Arial"/>
          <w:color w:val="1a1a1a"/>
          <w:sz w:val="22"/>
          <w:szCs w:val="22"/>
        </w:rPr>
        <w:t xml:space="preserve">Évaluateur assigné (notification à l’évaluateur)</w:t>
      </w:r>
    </w:p>
    <w:p>
      <w:pPr>
        <w:pStyle w:val="ListParagraph"/>
        <w:numPr>
          <w:ilvl w:val="0"/>
          <w:numId w:val="2"/>
        </w:numPr>
        <w:spacing w:after="80" w:before="0"/>
      </w:pPr>
      <w:r>
        <w:rPr>
          <w:rFonts w:ascii="Arial" w:cs="Arial" w:eastAsia="Arial" w:hAnsi="Arial"/>
          <w:color w:val="1a1a1a"/>
          <w:sz w:val="22"/>
          <w:szCs w:val="22"/>
        </w:rPr>
        <w:t xml:space="preserve">Décision éditoriale (notification à l’auteur après acceptation ou refus)</w:t>
      </w:r>
    </w:p>
    <w:p>
      <w:pPr>
        <w:spacing w:after="120" w:before="0"/>
      </w:pPr>
      <w:r>
        <w:rPr>
          <w:rFonts w:ascii="Arial" w:cs="Arial" w:eastAsia="Arial" w:hAnsi="Arial"/>
          <w:color w:val="1a1a1a"/>
          <w:sz w:val="22"/>
          <w:szCs w:val="22"/>
        </w:rPr>
        <w:t xml:space="preserve">En mode développement, les envois sont simulés (affichés dans la console du serveur). En production, ils passeront par un serveur SMTP configuré via les variables d’environnement.</w:t>
      </w:r>
    </w:p>
    <w:p>
      <w:pPr>
        <w:pStyle w:val="Heading2"/>
        <w:spacing w:after="100" w:before="200"/>
      </w:pPr>
      <w:r>
        <w:rPr>
          <w:rFonts w:ascii="Arial" w:cs="Arial" w:eastAsia="Arial" w:hAnsi="Arial"/>
          <w:b/>
          <w:bCs/>
          <w:color w:val="265438"/>
          <w:sz w:val="24"/>
          <w:szCs w:val="24"/>
        </w:rPr>
        <w:t xml:space="preserve">3.5 — Page de détail des soumissions</w:t>
      </w:r>
    </w:p>
    <w:p>
      <w:pPr>
        <w:spacing w:after="120" w:before="0"/>
      </w:pPr>
      <w:r>
        <w:rPr>
          <w:rFonts w:ascii="Arial" w:cs="Arial" w:eastAsia="Arial" w:hAnsi="Arial"/>
          <w:color w:val="1a1a1a"/>
          <w:sz w:val="22"/>
          <w:szCs w:val="22"/>
        </w:rPr>
        <w:t xml:space="preserve">Une page partagée entre l’auteur et l’administrateur affiche les informations complètes d’un article (titre, résumé, mots-clés, PDF, statut) ainsi que les évaluations reçues. Les noms des évaluateurs sont anonymisés pour les auteurs (« Évaluateur #1 », « Évaluateur #2 », etc.), conformément aux standards du double anonymat.</w:t>
      </w:r>
    </w:p>
    <w:p>
      <w:pPr>
        <w:pStyle w:val="Heading2"/>
        <w:spacing w:after="100" w:before="200"/>
      </w:pPr>
      <w:r>
        <w:rPr>
          <w:rFonts w:ascii="Arial" w:cs="Arial" w:eastAsia="Arial" w:hAnsi="Arial"/>
          <w:b/>
          <w:bCs/>
          <w:color w:val="265438"/>
          <w:sz w:val="24"/>
          <w:szCs w:val="24"/>
        </w:rPr>
        <w:t xml:space="preserve">3.6 — Sauvegarde GitHub</w:t>
      </w:r>
    </w:p>
    <w:p>
      <w:pPr>
        <w:spacing w:after="120" w:before="0"/>
      </w:pPr>
      <w:r>
        <w:rPr>
          <w:rFonts w:ascii="Arial" w:cs="Arial" w:eastAsia="Arial" w:hAnsi="Arial"/>
          <w:color w:val="1a1a1a"/>
          <w:sz w:val="22"/>
          <w:szCs w:val="22"/>
        </w:rPr>
        <w:t xml:space="preserve">Le code source du projet a été sauvegardé sur GitHub pour la première fois. Le dépôt est accessible à l’adresse : github.com/McWyz05/jaei-plateform.</w:t>
      </w:r>
    </w:p>
    <w:p>
      <w:pPr>
        <w:pStyle w:val="Heading1"/>
        <w:pBdr>
          <w:bottom w:val="single" w:color="1E88C8" w:sz="4" w:space="4"/>
        </w:pBdr>
        <w:spacing w:after="160" w:before="320"/>
      </w:pPr>
      <w:r>
        <w:rPr>
          <w:rFonts w:ascii="Arial" w:cs="Arial" w:eastAsia="Arial" w:hAnsi="Arial"/>
          <w:b/>
          <w:bCs/>
          <w:color w:val="1B4427"/>
          <w:sz w:val="28"/>
          <w:szCs w:val="28"/>
        </w:rPr>
        <w:t xml:space="preserve">4.  Difficultés rencontrées et solutions</w:t>
      </w:r>
    </w:p>
    <w:p>
      <w:pPr>
        <w:pStyle w:val="Heading2"/>
        <w:spacing w:after="100" w:before="200"/>
      </w:pPr>
      <w:r>
        <w:rPr>
          <w:rFonts w:ascii="Arial" w:cs="Arial" w:eastAsia="Arial" w:hAnsi="Arial"/>
          <w:b/>
          <w:bCs/>
          <w:color w:val="265438"/>
          <w:sz w:val="24"/>
          <w:szCs w:val="24"/>
        </w:rPr>
        <w:t xml:space="preserve">4.1 — Bouton « Se déconnecter » inactif</w:t>
      </w:r>
    </w:p>
    <w:p>
      <w:pPr>
        <w:spacing w:after="80" w:before="0"/>
      </w:pPr>
      <w:r>
        <w:rPr>
          <w:rFonts w:ascii="Arial" w:cs="Arial" w:eastAsia="Arial" w:hAnsi="Arial"/>
          <w:b/>
          <w:bCs/>
          <w:color w:val="1a1a1a"/>
          <w:sz w:val="22"/>
          <w:szCs w:val="22"/>
        </w:rPr>
        <w:t xml:space="preserve">Cause : </w:t>
      </w:r>
      <w:r>
        <w:rPr>
          <w:rFonts w:ascii="Arial" w:cs="Arial" w:eastAsia="Arial" w:hAnsi="Arial"/>
          <w:color w:val="333333"/>
          <w:sz w:val="22"/>
          <w:szCs w:val="22"/>
        </w:rPr>
        <w:t xml:space="preserve">une couche transparente (backdrop) positionnée au-dessus du menu de navigation interceptait les clics, rendant tous les éléments du menu inaccessibles.</w:t>
      </w:r>
    </w:p>
    <w:p>
      <w:pPr>
        <w:spacing w:after="80" w:before="0"/>
      </w:pPr>
      <w:r>
        <w:rPr>
          <w:rFonts w:ascii="Arial" w:cs="Arial" w:eastAsia="Arial" w:hAnsi="Arial"/>
          <w:b/>
          <w:bCs/>
          <w:color w:val="1a1a1a"/>
          <w:sz w:val="22"/>
          <w:szCs w:val="22"/>
        </w:rPr>
        <w:t xml:space="preserve">Solution : </w:t>
      </w:r>
      <w:r>
        <w:rPr>
          <w:rFonts w:ascii="Arial" w:cs="Arial" w:eastAsia="Arial" w:hAnsi="Arial"/>
          <w:color w:val="333333"/>
          <w:sz w:val="22"/>
          <w:szCs w:val="22"/>
        </w:rPr>
        <w:t xml:space="preserve">correction du niveau de superposition de la couche transparente pour qu’elle reste sous le menu. Fonctionnement rétabli immédiatement.</w:t>
      </w:r>
    </w:p>
    <w:p>
      <w:pPr>
        <w:pStyle w:val="Heading2"/>
        <w:spacing w:after="100" w:before="200"/>
      </w:pPr>
      <w:r>
        <w:rPr>
          <w:rFonts w:ascii="Arial" w:cs="Arial" w:eastAsia="Arial" w:hAnsi="Arial"/>
          <w:b/>
          <w:bCs/>
          <w:color w:val="265438"/>
          <w:sz w:val="24"/>
          <w:szCs w:val="24"/>
        </w:rPr>
        <w:t xml:space="preserve">4.2 — Erreur lors de la soumission d’un article</w:t>
      </w:r>
    </w:p>
    <w:p>
      <w:pPr>
        <w:spacing w:after="80" w:before="0"/>
      </w:pPr>
      <w:r>
        <w:rPr>
          <w:rFonts w:ascii="Arial" w:cs="Arial" w:eastAsia="Arial" w:hAnsi="Arial"/>
          <w:b/>
          <w:bCs/>
          <w:color w:val="1a1a1a"/>
          <w:sz w:val="22"/>
          <w:szCs w:val="22"/>
        </w:rPr>
        <w:t xml:space="preserve">Cause : </w:t>
      </w:r>
      <w:r>
        <w:rPr>
          <w:rFonts w:ascii="Arial" w:cs="Arial" w:eastAsia="Arial" w:hAnsi="Arial"/>
          <w:color w:val="333333"/>
          <w:sz w:val="22"/>
          <w:szCs w:val="22"/>
        </w:rPr>
        <w:t xml:space="preserve">le code utilisait le nom de colonne pdf_path, qui ne correspondait pas au nom réel pdf_url dans la base de données. Deux colonnes (research_area, co_authors) étaient également absentes de la table.</w:t>
      </w:r>
    </w:p>
    <w:p>
      <w:pPr>
        <w:spacing w:after="80" w:before="0"/>
      </w:pPr>
      <w:r>
        <w:rPr>
          <w:rFonts w:ascii="Arial" w:cs="Arial" w:eastAsia="Arial" w:hAnsi="Arial"/>
          <w:b/>
          <w:bCs/>
          <w:color w:val="1a1a1a"/>
          <w:sz w:val="22"/>
          <w:szCs w:val="22"/>
        </w:rPr>
        <w:t xml:space="preserve">Solution : </w:t>
      </w:r>
      <w:r>
        <w:rPr>
          <w:rFonts w:ascii="Arial" w:cs="Arial" w:eastAsia="Arial" w:hAnsi="Arial"/>
          <w:color w:val="333333"/>
          <w:sz w:val="22"/>
          <w:szCs w:val="22"/>
        </w:rPr>
        <w:t xml:space="preserve">correction du nom de colonne et ajout des deux colonnes manquantes dans la base de données. La soumission fonctionne correctement.</w:t>
      </w:r>
    </w:p>
    <w:p>
      <w:pPr>
        <w:pStyle w:val="Heading2"/>
        <w:spacing w:after="100" w:before="200"/>
      </w:pPr>
      <w:r>
        <w:rPr>
          <w:rFonts w:ascii="Arial" w:cs="Arial" w:eastAsia="Arial" w:hAnsi="Arial"/>
          <w:b/>
          <w:bCs/>
          <w:color w:val="265438"/>
          <w:sz w:val="24"/>
          <w:szCs w:val="24"/>
        </w:rPr>
        <w:t xml:space="preserve">4.3 — Liste des évaluateurs inaccessible</w:t>
      </w:r>
    </w:p>
    <w:p>
      <w:pPr>
        <w:spacing w:after="80" w:before="0"/>
      </w:pPr>
      <w:r>
        <w:rPr>
          <w:rFonts w:ascii="Arial" w:cs="Arial" w:eastAsia="Arial" w:hAnsi="Arial"/>
          <w:b/>
          <w:bCs/>
          <w:color w:val="1a1a1a"/>
          <w:sz w:val="22"/>
          <w:szCs w:val="22"/>
        </w:rPr>
        <w:t xml:space="preserve">Cause : </w:t>
      </w:r>
      <w:r>
        <w:rPr>
          <w:rFonts w:ascii="Arial" w:cs="Arial" w:eastAsia="Arial" w:hAnsi="Arial"/>
          <w:color w:val="333333"/>
          <w:sz w:val="22"/>
          <w:szCs w:val="22"/>
        </w:rPr>
        <w:t xml:space="preserve">la requête SQL référençait des colonnes inexistantes (institution, country) dans la table des utilisateurs, provoquant une erreur serveur 500.</w:t>
      </w:r>
    </w:p>
    <w:p>
      <w:pPr>
        <w:spacing w:after="80" w:before="0"/>
      </w:pPr>
      <w:r>
        <w:rPr>
          <w:rFonts w:ascii="Arial" w:cs="Arial" w:eastAsia="Arial" w:hAnsi="Arial"/>
          <w:b/>
          <w:bCs/>
          <w:color w:val="1a1a1a"/>
          <w:sz w:val="22"/>
          <w:szCs w:val="22"/>
        </w:rPr>
        <w:t xml:space="preserve">Solution : </w:t>
      </w:r>
      <w:r>
        <w:rPr>
          <w:rFonts w:ascii="Arial" w:cs="Arial" w:eastAsia="Arial" w:hAnsi="Arial"/>
          <w:color w:val="333333"/>
          <w:sz w:val="22"/>
          <w:szCs w:val="22"/>
        </w:rPr>
        <w:t xml:space="preserve">suppression des colonnes inexistantes de la requête. La liste des évaluateurs s’affiche désormais correctement.</w:t>
      </w:r>
    </w:p>
    <w:p>
      <w:pPr>
        <w:pStyle w:val="Heading2"/>
        <w:spacing w:after="100" w:before="200"/>
      </w:pPr>
      <w:r>
        <w:rPr>
          <w:rFonts w:ascii="Arial" w:cs="Arial" w:eastAsia="Arial" w:hAnsi="Arial"/>
          <w:b/>
          <w:bCs/>
          <w:color w:val="265438"/>
          <w:sz w:val="24"/>
          <w:szCs w:val="24"/>
        </w:rPr>
        <w:t xml:space="preserve">4.4 — Absence de compte administrateur</w:t>
      </w:r>
    </w:p>
    <w:p>
      <w:pPr>
        <w:spacing w:after="80" w:before="0"/>
      </w:pPr>
      <w:r>
        <w:rPr>
          <w:rFonts w:ascii="Arial" w:cs="Arial" w:eastAsia="Arial" w:hAnsi="Arial"/>
          <w:b/>
          <w:bCs/>
          <w:color w:val="1a1a1a"/>
          <w:sz w:val="22"/>
          <w:szCs w:val="22"/>
        </w:rPr>
        <w:t xml:space="preserve">Cause : </w:t>
      </w:r>
      <w:r>
        <w:rPr>
          <w:rFonts w:ascii="Arial" w:cs="Arial" w:eastAsia="Arial" w:hAnsi="Arial"/>
          <w:color w:val="333333"/>
          <w:sz w:val="22"/>
          <w:szCs w:val="22"/>
        </w:rPr>
        <w:t xml:space="preserve">aucun compte avec le rôle administrateur n’avait été créé lors de la mise en place initiale de la base de données.</w:t>
      </w:r>
    </w:p>
    <w:p>
      <w:pPr>
        <w:spacing w:after="80" w:before="0"/>
      </w:pPr>
      <w:r>
        <w:rPr>
          <w:rFonts w:ascii="Arial" w:cs="Arial" w:eastAsia="Arial" w:hAnsi="Arial"/>
          <w:b/>
          <w:bCs/>
          <w:color w:val="1a1a1a"/>
          <w:sz w:val="22"/>
          <w:szCs w:val="22"/>
        </w:rPr>
        <w:t xml:space="preserve">Solution : </w:t>
      </w:r>
      <w:r>
        <w:rPr>
          <w:rFonts w:ascii="Arial" w:cs="Arial" w:eastAsia="Arial" w:hAnsi="Arial"/>
          <w:color w:val="333333"/>
          <w:sz w:val="22"/>
          <w:szCs w:val="22"/>
        </w:rPr>
        <w:t xml:space="preserve">création d’un compte administrateur via un script sécurisé (mot de passe chiffré avec bcrypt). Compte opérationnel.</w:t>
      </w:r>
    </w:p>
    <w:p>
      <w:pPr>
        <w:pStyle w:val="Heading1"/>
        <w:pBdr>
          <w:bottom w:val="single" w:color="1E88C8" w:sz="4" w:space="4"/>
        </w:pBdr>
        <w:spacing w:after="160" w:before="320"/>
      </w:pPr>
      <w:r>
        <w:rPr>
          <w:rFonts w:ascii="Arial" w:cs="Arial" w:eastAsia="Arial" w:hAnsi="Arial"/>
          <w:b/>
          <w:bCs/>
          <w:color w:val="1B4427"/>
          <w:sz w:val="28"/>
          <w:szCs w:val="28"/>
        </w:rPr>
        <w:t xml:space="preserve">5.  Actions en attente du client</w:t>
      </w:r>
    </w:p>
    <w:p>
      <w:pPr>
        <w:spacing w:after="120" w:before="0"/>
      </w:pPr>
      <w:r>
        <w:rPr>
          <w:rFonts w:ascii="Arial" w:cs="Arial" w:eastAsia="Arial" w:hAnsi="Arial"/>
          <w:color w:val="1a1a1a"/>
          <w:sz w:val="22"/>
          <w:szCs w:val="22"/>
        </w:rPr>
        <w:t xml:space="preserve">Les éléments suivants sont nécessaires pour la suite du développement et restent en attente de la part du client :</w:t>
      </w:r>
    </w:p>
    <w:p>
      <w:pPr>
        <w:spacing w:after="80" w:before="0"/>
      </w:pPr>
      <w: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single" w:color="1E88C8" w:sz="12"/>
              <w:bottom w:val="none"/>
              <w:right w:val="none"/>
            </w:tcBorders>
            <w:shd w:fill="EFF6FF" w:val="clear"/>
            <w:tcMar>
              <w:top w:type="dxa" w:w="80"/>
              <w:left w:type="dxa" w:w="200"/>
              <w:bottom w:type="dxa" w:w="80"/>
              <w:right w:type="dxa" w:w="120"/>
            </w:tcMar>
          </w:tcPr>
          <w:p>
            <w:pPr>
              <w:spacing w:after="60" w:before="0"/>
            </w:pPr>
            <w:r>
              <w:rPr>
                <w:rFonts w:ascii="Arial" w:cs="Arial" w:eastAsia="Arial" w:hAnsi="Arial"/>
                <w:b/>
                <w:bCs/>
                <w:color w:val="1a1a1a"/>
                <w:sz w:val="22"/>
                <w:szCs w:val="22"/>
              </w:rPr>
              <w:t xml:space="preserve">Démarches attendues du client :</w:t>
            </w:r>
          </w:p>
        </w:tc>
      </w:tr>
      <w:tr>
        <w:tc>
          <w:tcPr>
            <w:tcW w:type="dxa" w:w="9720"/>
            <w:tcBorders>
              <w:top w:val="none"/>
              <w:left w:val="single" w:color="1E88C8" w:sz="12"/>
              <w:bottom w:val="none"/>
              <w:right w:val="none"/>
            </w:tcBorders>
            <w:shd w:fill="EFF6FF" w:val="clear"/>
            <w:tcMar>
              <w:top w:type="dxa" w:w="0"/>
              <w:left w:type="dxa" w:w="200"/>
              <w:bottom w:type="dxa" w:w="0"/>
              <w:right w:type="dxa" w:w="120"/>
            </w:tcMar>
          </w:tcPr>
          <w:p>
            <w:pPr>
              <w:pStyle w:val="ListParagraph"/>
              <w:numPr>
                <w:ilvl w:val="0"/>
                <w:numId w:val="2"/>
              </w:numPr>
              <w:spacing w:after="60" w:before="0"/>
            </w:pPr>
            <w:r>
              <w:rPr>
                <w:rFonts w:ascii="Arial" w:cs="Arial" w:eastAsia="Arial" w:hAnsi="Arial"/>
                <w:color w:val="1a1a1a"/>
                <w:sz w:val="22"/>
                <w:szCs w:val="22"/>
              </w:rPr>
              <w:t xml:space="preserve">Créer des comptes développeurs pour les API Orange Money et MTN MoMo (paiements mobiles)</w:t>
            </w:r>
          </w:p>
        </w:tc>
      </w:tr>
      <w:tr>
        <w:tc>
          <w:tcPr>
            <w:tcW w:type="dxa" w:w="9720"/>
            <w:tcBorders>
              <w:top w:val="none"/>
              <w:left w:val="single" w:color="1E88C8" w:sz="12"/>
              <w:bottom w:val="none"/>
              <w:right w:val="none"/>
            </w:tcBorders>
            <w:shd w:fill="EFF6FF" w:val="clear"/>
            <w:tcMar>
              <w:top w:type="dxa" w:w="0"/>
              <w:left w:type="dxa" w:w="200"/>
              <w:bottom w:type="dxa" w:w="0"/>
              <w:right w:type="dxa" w:w="120"/>
            </w:tcMar>
          </w:tcPr>
          <w:p>
            <w:pPr>
              <w:pStyle w:val="ListParagraph"/>
              <w:numPr>
                <w:ilvl w:val="0"/>
                <w:numId w:val="2"/>
              </w:numPr>
              <w:spacing w:after="60" w:before="0"/>
            </w:pPr>
            <w:r>
              <w:rPr>
                <w:rFonts w:ascii="Arial" w:cs="Arial" w:eastAsia="Arial" w:hAnsi="Arial"/>
                <w:color w:val="1a1a1a"/>
                <w:sz w:val="22"/>
                <w:szCs w:val="22"/>
              </w:rPr>
              <w:t xml:space="preserve">Fournir les clés API Stripe pour le paiement international par carte bancaire</w:t>
            </w:r>
          </w:p>
        </w:tc>
      </w:tr>
      <w:tr>
        <w:tc>
          <w:tcPr>
            <w:tcW w:type="dxa" w:w="9720"/>
            <w:tcBorders>
              <w:top w:val="none"/>
              <w:left w:val="single" w:color="1E88C8" w:sz="12"/>
              <w:bottom w:val="none"/>
              <w:right w:val="none"/>
            </w:tcBorders>
            <w:shd w:fill="EFF6FF" w:val="clear"/>
            <w:tcMar>
              <w:top w:type="dxa" w:w="0"/>
              <w:left w:type="dxa" w:w="200"/>
              <w:bottom w:type="dxa" w:w="0"/>
              <w:right w:type="dxa" w:w="120"/>
            </w:tcMar>
          </w:tcPr>
          <w:p>
            <w:pPr>
              <w:pStyle w:val="ListParagraph"/>
              <w:numPr>
                <w:ilvl w:val="0"/>
                <w:numId w:val="2"/>
              </w:numPr>
              <w:spacing w:after="60" w:before="0"/>
            </w:pPr>
            <w:r>
              <w:rPr>
                <w:rFonts w:ascii="Arial" w:cs="Arial" w:eastAsia="Arial" w:hAnsi="Arial"/>
                <w:color w:val="1a1a1a"/>
                <w:sz w:val="22"/>
                <w:szCs w:val="22"/>
              </w:rPr>
              <w:t xml:space="preserve">Décider du nom de domaine définitif du journal</w:t>
            </w:r>
          </w:p>
        </w:tc>
      </w:tr>
    </w:tbl>
    <w:p>
      <w:pPr>
        <w:spacing w:after="80" w:before="0"/>
      </w:pPr>
      <w:r>
        <w:t xml:space="preserve"/>
      </w:r>
    </w:p>
    <w:p>
      <w:pPr>
        <w:pStyle w:val="Heading1"/>
        <w:pBdr>
          <w:bottom w:val="single" w:color="1E88C8" w:sz="4" w:space="4"/>
        </w:pBdr>
        <w:spacing w:after="160" w:before="320"/>
      </w:pPr>
      <w:r>
        <w:rPr>
          <w:rFonts w:ascii="Arial" w:cs="Arial" w:eastAsia="Arial" w:hAnsi="Arial"/>
          <w:b/>
          <w:bCs/>
          <w:color w:val="1B4427"/>
          <w:sz w:val="28"/>
          <w:szCs w:val="28"/>
        </w:rPr>
        <w:t xml:space="preserve">6.  Prévisions pour la semaine 3</w:t>
      </w:r>
    </w:p>
    <w:p>
      <w:pPr>
        <w:spacing w:after="120" w:before="0"/>
      </w:pPr>
      <w:r>
        <w:rPr>
          <w:rFonts w:ascii="Arial" w:cs="Arial" w:eastAsia="Arial" w:hAnsi="Arial"/>
          <w:color w:val="1a1a1a"/>
          <w:sz w:val="22"/>
          <w:szCs w:val="22"/>
        </w:rPr>
        <w:t xml:space="preserve">Les travaux de la semaine 3 porteront sur la Phase 3 : site public et intégration des paiements.</w:t>
      </w:r>
    </w:p>
    <w:p>
      <w:pPr>
        <w:pStyle w:val="ListParagraph"/>
        <w:numPr>
          <w:ilvl w:val="0"/>
          <w:numId w:val="2"/>
        </w:numPr>
        <w:spacing w:after="80" w:before="0"/>
      </w:pPr>
      <w:r>
        <w:rPr>
          <w:rFonts w:ascii="Arial" w:cs="Arial" w:eastAsia="Arial" w:hAnsi="Arial"/>
          <w:color w:val="1a1a1a"/>
          <w:sz w:val="22"/>
          <w:szCs w:val="22"/>
        </w:rPr>
        <w:t xml:space="preserve">Développement du site public (page d’accueil, catalogue des articles, moteur de recherche)</w:t>
      </w:r>
    </w:p>
    <w:p>
      <w:pPr>
        <w:pStyle w:val="ListParagraph"/>
        <w:numPr>
          <w:ilvl w:val="0"/>
          <w:numId w:val="2"/>
        </w:numPr>
        <w:spacing w:after="80" w:before="0"/>
      </w:pPr>
      <w:r>
        <w:rPr>
          <w:rFonts w:ascii="Arial" w:cs="Arial" w:eastAsia="Arial" w:hAnsi="Arial"/>
          <w:color w:val="1a1a1a"/>
          <w:sz w:val="22"/>
          <w:szCs w:val="22"/>
        </w:rPr>
        <w:t xml:space="preserve">Intégration du paiement par carte bancaire (Stripe)</w:t>
      </w:r>
    </w:p>
    <w:p>
      <w:pPr>
        <w:pStyle w:val="ListParagraph"/>
        <w:numPr>
          <w:ilvl w:val="0"/>
          <w:numId w:val="2"/>
        </w:numPr>
        <w:spacing w:after="80" w:before="0"/>
      </w:pPr>
      <w:r>
        <w:rPr>
          <w:rFonts w:ascii="Arial" w:cs="Arial" w:eastAsia="Arial" w:hAnsi="Arial"/>
          <w:color w:val="1a1a1a"/>
          <w:sz w:val="22"/>
          <w:szCs w:val="22"/>
        </w:rPr>
        <w:t xml:space="preserve">Intégration du paiement Mobile Money (Orange Money et MTN MoMo)</w:t>
      </w:r>
    </w:p>
    <w:p>
      <w:pPr>
        <w:pStyle w:val="ListParagraph"/>
        <w:numPr>
          <w:ilvl w:val="0"/>
          <w:numId w:val="2"/>
        </w:numPr>
        <w:spacing w:after="80" w:before="0"/>
      </w:pPr>
      <w:r>
        <w:rPr>
          <w:rFonts w:ascii="Arial" w:cs="Arial" w:eastAsia="Arial" w:hAnsi="Arial"/>
          <w:color w:val="1a1a1a"/>
          <w:sz w:val="22"/>
          <w:szCs w:val="22"/>
        </w:rPr>
        <w:t xml:space="preserve">Assistant IA intégré dans la plateforme (fonctionnalité optionnelle)</w:t>
      </w:r>
    </w:p>
    <w:p>
      <w:pPr>
        <w:spacing w:after="160" w:before="0"/>
      </w:pPr>
      <w:r>
        <w:t xml:space="preserve"/>
      </w:r>
    </w:p>
    <w:sectPr>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spacing w:after="0" w:before="80"/>
      <w:jc w:val="center"/>
    </w:pPr>
    <w:r>
      <w:rPr>
        <w:rFonts w:ascii="Arial" w:cs="Arial" w:eastAsia="Arial" w:hAnsi="Arial"/>
        <w:color w:val="666666"/>
        <w:sz w:val="18"/>
        <w:szCs w:val="18"/>
      </w:rPr>
      <w:t xml:space="preserve">Document préparé par le développeur  ●  Projet JAEI  ●  Semaine 2  ●  Mars 2026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4427"/>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654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2026-03-16T02:10:10.477Z</dcterms:created>
  <dcterms:modified xsi:type="dcterms:W3CDTF">2026-03-16T02:10:10.484Z</dcterms:modified>
</cp:coreProperties>
</file>

<file path=docProps/custom.xml><?xml version="1.0" encoding="utf-8"?>
<Properties xmlns="http://schemas.openxmlformats.org/officeDocument/2006/custom-properties" xmlns:vt="http://schemas.openxmlformats.org/officeDocument/2006/docPropsVTypes"/>
</file>